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SCHEDULE 14A INFORMATION</w:t>
      </w:r>
    </w:p>
    <w:p>
      <w:pPr>
        <w:spacing w:after="0" w:line="244"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Exchange Act of 1934</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00" w:hanging="391"/>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6" w:lineRule="exact"/>
        <w:rPr>
          <w:sz w:val="24"/>
          <w:szCs w:val="24"/>
          <w:color w:val="auto"/>
        </w:rPr>
      </w:pPr>
    </w:p>
    <w:p>
      <w:pPr>
        <w:ind w:left="400" w:hanging="391"/>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rFonts w:ascii="Arial" w:cs="Arial" w:eastAsia="Arial" w:hAnsi="Arial"/>
          <w:sz w:val="18"/>
          <w:szCs w:val="18"/>
          <w:color w:val="auto"/>
        </w:rPr>
      </w:pPr>
    </w:p>
    <w:p>
      <w:pPr>
        <w:ind w:left="400" w:hanging="391"/>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52" w:lineRule="exact"/>
        <w:rPr>
          <w:rFonts w:ascii="Arial" w:cs="Arial" w:eastAsia="Arial" w:hAnsi="Arial"/>
          <w:sz w:val="18"/>
          <w:szCs w:val="18"/>
          <w:color w:val="auto"/>
        </w:rPr>
      </w:pPr>
    </w:p>
    <w:p>
      <w:pPr>
        <w:ind w:left="400" w:hanging="391"/>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400" w:hanging="391"/>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(Name of Registrant as Specified in its Charter)</w:t>
      </w:r>
    </w:p>
    <w:p>
      <w:pPr>
        <w:spacing w:after="0" w:line="24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00" w:hanging="391"/>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00" w:hanging="391"/>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840" w:hanging="439"/>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161290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39" w:lineRule="exact"/>
        <w:rPr>
          <w:sz w:val="24"/>
          <w:szCs w:val="24"/>
          <w:color w:val="auto"/>
        </w:rPr>
      </w:pPr>
    </w:p>
    <w:p>
      <w:pPr>
        <w:ind w:left="1180" w:right="3719" w:hanging="779"/>
        <w:spacing w:after="0" w:line="274" w:lineRule="auto"/>
        <w:tabs>
          <w:tab w:leader="none" w:pos="829"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ind w:left="840" w:right="159" w:hanging="439"/>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8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 w:lineRule="exact"/>
        <w:rPr>
          <w:rFonts w:ascii="Arial" w:cs="Arial" w:eastAsia="Arial" w:hAnsi="Arial"/>
          <w:sz w:val="18"/>
          <w:szCs w:val="18"/>
          <w:color w:val="auto"/>
        </w:rPr>
      </w:pPr>
    </w:p>
    <w:p>
      <w:pPr>
        <w:ind w:left="840" w:hanging="43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-571500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-133985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165735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46" w:lineRule="exact"/>
        <w:rPr>
          <w:sz w:val="24"/>
          <w:szCs w:val="24"/>
          <w:color w:val="auto"/>
        </w:rPr>
      </w:pPr>
    </w:p>
    <w:p>
      <w:pPr>
        <w:ind w:left="840" w:hanging="439"/>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165735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00" w:hanging="391"/>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00" w:right="59" w:hanging="391"/>
        <w:spacing w:after="0" w:line="259"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sz w:val="24"/>
          <w:szCs w:val="24"/>
          <w:color w:val="auto"/>
        </w:rPr>
      </w:pPr>
    </w:p>
    <w:p>
      <w:pPr>
        <w:ind w:left="1180" w:right="6479" w:hanging="779"/>
        <w:spacing w:after="0" w:line="274" w:lineRule="auto"/>
        <w:tabs>
          <w:tab w:leader="none" w:pos="829"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 N/A</w:t>
      </w:r>
    </w:p>
    <w:p>
      <w:pPr>
        <w:ind w:left="1180" w:right="4939" w:hanging="779"/>
        <w:spacing w:after="0" w:line="274" w:lineRule="auto"/>
        <w:tabs>
          <w:tab w:leader="none" w:pos="82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ind w:left="840" w:hanging="43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-434340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-133985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165735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46" w:lineRule="exact"/>
        <w:rPr>
          <w:sz w:val="24"/>
          <w:szCs w:val="24"/>
          <w:color w:val="auto"/>
        </w:rPr>
      </w:pPr>
    </w:p>
    <w:p>
      <w:pPr>
        <w:ind w:left="1180" w:right="7459" w:hanging="779"/>
        <w:spacing w:after="0" w:line="367" w:lineRule="auto"/>
        <w:tabs>
          <w:tab w:leader="none" w:pos="829"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-720090</wp:posOffset>
            </wp:positionH>
            <wp:positionV relativeFrom="paragraph">
              <wp:posOffset>14605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-59690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9079"/>
          </w:cols>
          <w:pgMar w:left="1380" w:top="692" w:right="1440" w:bottom="521" w:gutter="0" w:footer="0" w:header="0"/>
        </w:sectPr>
      </w:pPr>
    </w:p>
    <w:bookmarkStart w:id="1" w:name="page2"/>
    <w:bookmarkEnd w:id="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4548505</wp:posOffset>
            </wp:positionH>
            <wp:positionV relativeFrom="page">
              <wp:posOffset>88900</wp:posOffset>
            </wp:positionV>
            <wp:extent cx="2855595" cy="69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855595" cy="694690"/>
                    </a:xfrm>
                    <a:prstGeom prst="rect">
                      <a:avLst/>
                    </a:prstGeom>
                    <a:noFill/>
                  </pic:spPr>
                </pic:pic>
              </a:graphicData>
            </a:graphic>
          </wp:anchor>
        </w:drawing>
      </w:r>
    </w:p>
    <w:p>
      <w:pPr>
        <w:jc w:val="center"/>
        <w:ind w:left="5180"/>
        <w:spacing w:after="0"/>
        <w:tabs>
          <w:tab w:leader="none" w:pos="180" w:val="left"/>
        </w:tabs>
        <w:rPr>
          <w:sz w:val="20"/>
          <w:szCs w:val="20"/>
          <w:color w:val="auto"/>
        </w:rPr>
      </w:pPr>
      <w:r>
        <w:rPr>
          <w:rFonts w:ascii="Arial" w:cs="Arial" w:eastAsia="Arial" w:hAnsi="Arial"/>
          <w:sz w:val="18"/>
          <w:szCs w:val="18"/>
          <w:color w:val="auto"/>
        </w:rPr>
        <w:t>April</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-13970</wp:posOffset>
            </wp:positionV>
            <wp:extent cx="111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which will be held at the offices of the Company located at 291, route d'Arlon, L-1150 Luxembourg City, Grand Duchy of Luxembourg on Wednesday, May 15, 2013, at 9:00 a.m., Central European Time. The matters to be considered by shareholders at the Annual Meeting of Shareholders are described in detail in the accompanying materials.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very important that you be represented at the Annual Meeting of Shareholders regardless of the number of shares you own or whether you are able to attend the Annual Meeting of Shareholders in person. We urge you to complete your proxy card in one of the manners described in the accompanying materials even if you plan to attend the Annual Meeting of Shareholders. This will not prevent you from voting in person but will ensure that your vote is counted if you are unable to attend.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7467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08902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930910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324485</wp:posOffset>
            </wp:positionV>
            <wp:extent cx="3756025"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56025" cy="47180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291, route d'Arlon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L-1150 Luxembourg City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R.C.S. Luxembourg B 72 391</w:t>
      </w:r>
    </w:p>
    <w:p>
      <w:pPr>
        <w:spacing w:after="0" w:line="213" w:lineRule="exact"/>
        <w:rPr>
          <w:sz w:val="20"/>
          <w:szCs w:val="20"/>
          <w:color w:val="auto"/>
        </w:rPr>
      </w:pPr>
    </w:p>
    <w:p>
      <w:pPr>
        <w:jc w:val="center"/>
        <w:ind w:left="360" w:right="2200"/>
        <w:spacing w:after="0" w:line="262"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ANNUAL MEETING OF SHAREHOLDERS TO BE HELD ON MAY 15,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00" w:lineRule="exact"/>
        <w:rPr>
          <w:sz w:val="20"/>
          <w:szCs w:val="20"/>
          <w:color w:val="auto"/>
        </w:rPr>
      </w:pPr>
    </w:p>
    <w:p>
      <w:pPr>
        <w:spacing w:after="0" w:line="384" w:lineRule="exact"/>
        <w:rPr>
          <w:sz w:val="20"/>
          <w:szCs w:val="20"/>
          <w:color w:val="auto"/>
        </w:rPr>
      </w:pPr>
    </w:p>
    <w:p>
      <w:pPr>
        <w:ind w:left="1500"/>
        <w:spacing w:after="0"/>
        <w:tabs>
          <w:tab w:leader="none" w:pos="24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15, 2013</w:t>
      </w:r>
    </w:p>
    <w:p>
      <w:pPr>
        <w:spacing w:after="0" w:line="225" w:lineRule="exact"/>
        <w:rPr>
          <w:sz w:val="20"/>
          <w:szCs w:val="20"/>
          <w:color w:val="auto"/>
        </w:rPr>
      </w:pPr>
    </w:p>
    <w:p>
      <w:pPr>
        <w:ind w:left="1500"/>
        <w:spacing w:after="0"/>
        <w:tabs>
          <w:tab w:leader="none" w:pos="24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25" w:lineRule="exact"/>
        <w:rPr>
          <w:sz w:val="20"/>
          <w:szCs w:val="20"/>
          <w:color w:val="auto"/>
        </w:rPr>
      </w:pPr>
    </w:p>
    <w:p>
      <w:pPr>
        <w:ind w:left="1500"/>
        <w:spacing w:after="0"/>
        <w:tabs>
          <w:tab w:leader="none" w:pos="24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2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Grand Duchy of Luxembourg</w:t>
      </w:r>
    </w:p>
    <w:p>
      <w:pPr>
        <w:spacing w:after="0" w:line="23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five (5) Directors for a one (1) year term and/or until their successors are elected and qualified;</w:t>
      </w:r>
    </w:p>
    <w:p>
      <w:pPr>
        <w:spacing w:after="0" w:line="252"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the appointment by the Audit Committee of our Board of Directors of Deloitte &amp; Touche LLP to be our independent registered certified public accounting firm for the year ending December 31, 2013 and Deloitte Audit S.à r.l. to be our certified auditor for all statutory accounts as required by Luxembourg law for the same period;</w:t>
      </w:r>
    </w:p>
    <w:p>
      <w:pPr>
        <w:spacing w:after="0" w:line="207"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Altisource Portfolio Solutions S.A.'s annual accounts prepared in accordance with accounting principles generally accepted in Luxembourg ("Luxembourg GAAP") for the year ended December 31, 2012 and as amended and restated for the years ended December 31, 2009 to 2011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for the year ended December 31, 2012 (the "Consolidated Accounts") (together, the "Luxembourg Statutory Accounts");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receive and approve the Directors' reports for the Luxembourg Statutory Accounts;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allocate the results and part of the distributable reserve in the Luxembourg Annual Accounts;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ratify the declaration and payment of the interim dividends in connection with the separation of Altisource Residential Corporation and Altisource Asset Management Corporation from Altisource Portfolio Solutions S.A.;</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discharge each of the current and past Directors of Altisource Portfolio Solutions S.A. for the performance of their mandate during the years ended December 31, 2009 to 2012;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45" w:lineRule="exact"/>
        <w:rPr>
          <w:sz w:val="20"/>
          <w:szCs w:val="20"/>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has fixed March 18, 2013 as the record date for the determination of shareholders entitled to notice of and to vote at the Annual Meeting of Shareholders.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 of Shareholders.</w:t>
      </w:r>
    </w:p>
    <w:p>
      <w:pPr>
        <w:spacing w:after="0" w:line="238"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proxy statement for our 2013 Annual Meeting of Shareholders and our annual report to shareholders on Form 10-K for the year ended December 31, 2012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Additionally, and in accordance with Securities and Exchange Commission ("SEC") rules, you may access our proxy statement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of the site, by entering the 12 digit Control Number found on your Beneficial Notice Card or on your Proxy Card in the space provided.</w:t>
      </w:r>
    </w:p>
    <w:p>
      <w:pPr>
        <w:spacing w:after="0" w:line="210"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and the statutory auditor's report on the Consolidated Accounts will be available for inspection from April 15, 2013 until the conclusion of the Annual Meeting of Shareholders at Altisource Portfolio Solutions S.A.'s registered office.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33794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9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-13970</wp:posOffset>
            </wp:positionV>
            <wp:extent cx="111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have made this proxy statement available to you on or about April , 2013 as a holder of common stock of Altisource Portfolio Solutions S.A. because our Board of Directors is soliciting your proxy to be used at our Annual Meeting of Shareholders and at any adjournment of this meeting. The Annual Meeting of Shareholders will be held at our offices located at 291, route d'Arlon, L-1150 Luxembourg City, Grand Duchy of Luxembourg on Wednesday, May 15, 2013, at 9:00 a.m., Central European Time for the purposes listed in the 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-462915</wp:posOffset>
            </wp:positionV>
            <wp:extent cx="111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you properly complete, sign and return your proxy to Altisource Portfolio Solutions S.A. ("Altisource" or the "Company") and do not revoke it prior to its use, it will be voted in accordance with your instructions. If no contrary instructions are given, other than as discussed below with respect to broker "non-votes," each proxy received will be voted for each of the nominees for Director; for approval of the appointment of Deloitte &amp; Touche LLP to be our independent registered certified public accounting firm for the year ending December 31, 2013 and Deloitte Audit S.à r.l. to be our certified auditor for all statutory accounts as required by Luxembourg law for the same period; for approval of Altisource Portfolio Solutions S.A.'s annual accounts prepared in accordance with Luxembourg GAAP for the year ended December 31, 2012 and as amended and restated for the years ended December 31, 2009 to 2011 (the "Luxembourg Annual Accounts"), and its consolidated financial statements prepared in accordance with U.S. GAAP including a footnote reconciliation of equity and net income to IFRS for the year ended December 31, 2012 (the "Consolidated Accounts") (together, the "Luxembourg Statutory Accounts"); for receipt and approval of the Directors' reports for the Luxembourg Statutory Accounts; for allocation of the results and part of the distributable reserve in the Luxembourg Annual Accounts; for ratification of the declaration and payment of the interim dividends in connection with the separation of Altisource Residential Corporation ("Residential") and Altisource Asset Management Corporation ("AAMC") from Altisource Portfolio Solutions S.A.; for approval of the discharge of each of the current and past Directors of Altisource Portfolio Solutions S.A. for the performance of their mandate during the years ended December 31, 2009 to 2012; and with regard to any other business that properly comes before the meeting in accordance with the best judgment of the persons appointed as proxies.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Your proxy may be used only at the Annual Meeting of Shareholders and any adjournment of this meeting and will not be used for any other meeting. You have the power to revoke your proxy at any time before it is exercised by:</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Kevin J. Wilcox, Corporate Secretary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Altisource Portfolio Solutions S.A.</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Grand Duchy of Luxembourg</w:t>
      </w:r>
    </w:p>
    <w:p>
      <w:pPr>
        <w:spacing w:after="0" w:line="246"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38" w:lineRule="exact"/>
        <w:rPr>
          <w:rFonts w:ascii="Arial" w:cs="Arial" w:eastAsia="Arial" w:hAnsi="Arial"/>
          <w:sz w:val="18"/>
          <w:szCs w:val="18"/>
          <w:color w:val="auto"/>
        </w:rPr>
      </w:pPr>
    </w:p>
    <w:p>
      <w:pPr>
        <w:jc w:val="center"/>
        <w:ind w:left="5680" w:right="1400" w:hanging="5132"/>
        <w:spacing w:after="0" w:line="519"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appearing at the Annual Meeting of Shareholders and giving the Corporate Secretary notice of your intention to vote in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Who May Vote</w:t>
      </w:r>
    </w:p>
    <w:p>
      <w:pPr>
        <w:spacing w:after="0" w:line="23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You are entitled to vote at the Annual Meeting of Shareholders or any adjournment of the Annual Meeting of Shareholders if you are a holder of record of our common stock at the close of business on March 18, 2013. At the close of business on March 18, 2013, there were 23,439,463 shares of common stock issued, outstanding and able to be voted and no other class of equity securities outstanding. Each share of our common stock is entitled to one (1) vote at the Annual Meeting of Shareholders on all matters properly presented. Abstentions and broker "non-votes" will be treated as present for purposes of a quorum.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presence at the Annual Meeting of Shareholders of a majority of the votes of our common stock entitled to be cast, represented in person or by proxy, will constitute a quorum for the transaction of business at the Annual Meeting of Shareholders.</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w:t>
      </w:r>
    </w:p>
    <w:p>
      <w:pPr>
        <w:spacing w:after="0" w:line="13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following proposals will be approved if the votes cast in favor of the action exceed the votes cast opposing the action: the proposal to approve the appointment of Deloitte &amp; Touche LLP to be our independent registered certified public accounting firm for 2013 and Deloitte Audit S.à r.l. to be our certified auditor for all statutory accounts as required by Luxembourg law for the same period; the proposal to approve the Luxembourg Statutory Accounts; the proposal to receive and approve the Directors' reports for the Luxembourg Statutory Accounts; the proposal to allocate the results and part of the distributable reserve in the Luxembourg Annual Accounts; the proposal to ratify the declaration and payment of the interim dividends in connection with the separation of Residential and AAMC from Altisource Portfolio Solutions S.A.; the proposal to approve the discharge of each of the current and past Directors of Altisource Portfolio Solutions S.A. for the performance of their mandate during the years ended December 31, 2009 to 2012; and any other matter properly submitted for your consideration at the Annual Meeting of Shareholders (other than the election of Directors).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Abstentions will not be counted in determining the votes cast in connection with the foregoing matters. Other than with respect to the approval of our independent registered accounting firm, in the event of a broker "non-vote," brokers may not vote on behalf of their clients on the above proposals. A broker "non-vote" occurs when a shareholder has not provided voting instructions to the broker on a non-routine item.</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materials. Please contact your bank or brokerage firm for further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One)</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Articles of Association provide that our Board of Directors shall consist of no less than three (3) and no more than seven (7) members with the exact number to be fixed by our Board of Directors.</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proposing the five (5) nominees listed below for election as Directors at the Annual Meeting of Shareholders for a one (1) year term or until their successors are elected and qualified. All nominees currently serve as our Directors. There are no arrangements or understandings between any nominee and any other person for selection as a nominee.</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any nominee is unable or unwilling to stand for election at the time of the Annual Meeting of Shareholders,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Nomination/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9"/>
              </w:rPr>
              <w:t>Age</w:t>
            </w:r>
            <w:r>
              <w:rPr>
                <w:rFonts w:ascii="Arial" w:cs="Arial" w:eastAsia="Arial" w:hAnsi="Arial"/>
                <w:sz w:val="29"/>
                <w:szCs w:val="29"/>
                <w:b w:val="1"/>
                <w:bCs w:val="1"/>
                <w:color w:val="auto"/>
                <w:w w:val="79"/>
                <w:vertAlign w:val="superscript"/>
              </w:rPr>
              <w:t>(1)</w:t>
            </w:r>
          </w:p>
        </w:tc>
        <w:tc>
          <w:tcPr>
            <w:tcW w:w="1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Director</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Audit</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Governance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Name</w:t>
            </w:r>
          </w:p>
        </w:tc>
        <w:tc>
          <w:tcPr>
            <w:tcW w:w="1020" w:type="dxa"/>
            <w:vAlign w:val="bottom"/>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Since</w:t>
            </w:r>
          </w:p>
        </w:tc>
        <w:tc>
          <w:tcPr>
            <w:tcW w:w="1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1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Committee</w:t>
            </w:r>
          </w:p>
        </w:tc>
        <w:tc>
          <w:tcPr>
            <w:tcW w:w="1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C. Erbey</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63</w:t>
            </w: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420"/>
              <w:spacing w:after="0" w:line="250"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00"/>
              <w:spacing w:after="0" w:line="250"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William B. Shepro</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ind w:left="42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2260" w:type="dxa"/>
            <w:vAlign w:val="bottom"/>
            <w:gridSpan w:val="4"/>
          </w:tcPr>
          <w:p>
            <w:pPr>
              <w:spacing w:after="0"/>
              <w:rPr>
                <w:sz w:val="20"/>
                <w:szCs w:val="20"/>
                <w:color w:val="auto"/>
              </w:rPr>
            </w:pPr>
            <w:r>
              <w:rPr>
                <w:rFonts w:ascii="Arial" w:cs="Arial" w:eastAsia="Arial" w:hAnsi="Arial"/>
                <w:sz w:val="18"/>
                <w:szCs w:val="18"/>
                <w:color w:val="auto"/>
              </w:rPr>
              <w:t>Timo Vättö</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tcPr>
          <w:p>
            <w:pPr>
              <w:spacing w:after="0"/>
              <w:rPr>
                <w:sz w:val="22"/>
                <w:szCs w:val="22"/>
                <w:color w:val="auto"/>
              </w:rPr>
            </w:pPr>
          </w:p>
        </w:tc>
        <w:tc>
          <w:tcPr>
            <w:tcW w:w="1300" w:type="dxa"/>
            <w:vAlign w:val="bottom"/>
          </w:tcPr>
          <w:p>
            <w:pPr>
              <w:ind w:left="54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w:t>
            </w:r>
          </w:p>
        </w:tc>
        <w:tc>
          <w:tcPr>
            <w:tcW w:w="180" w:type="dxa"/>
            <w:vAlign w:val="bottom"/>
          </w:tcPr>
          <w:p>
            <w:pPr>
              <w:spacing w:after="0"/>
              <w:rPr>
                <w:sz w:val="22"/>
                <w:szCs w:val="22"/>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Michael Linn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40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As of March 18, 2013</w:t>
      </w:r>
    </w:p>
    <w:p>
      <w:pPr>
        <w:spacing w:after="0" w:line="21" w:lineRule="exact"/>
        <w:rPr>
          <w:rFonts w:ascii="Arial" w:cs="Arial" w:eastAsia="Arial" w:hAnsi="Arial"/>
          <w:sz w:val="29"/>
          <w:szCs w:val="29"/>
          <w:color w:val="auto"/>
          <w:vertAlign w:val="superscript"/>
        </w:rPr>
      </w:pPr>
    </w:p>
    <w:p>
      <w:pPr>
        <w:ind w:left="1680" w:hanging="531"/>
        <w:spacing w:after="0" w:line="181" w:lineRule="auto"/>
        <w:tabs>
          <w:tab w:leader="none" w:pos="16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Committee Chairman for 2012</w:t>
      </w:r>
    </w:p>
    <w:p>
      <w:pPr>
        <w:spacing w:after="0" w:line="7" w:lineRule="exact"/>
        <w:rPr>
          <w:rFonts w:ascii="Arial" w:cs="Arial" w:eastAsia="Arial" w:hAnsi="Arial"/>
          <w:sz w:val="24"/>
          <w:szCs w:val="24"/>
          <w:color w:val="auto"/>
          <w:vertAlign w:val="superscript"/>
        </w:rPr>
      </w:pPr>
    </w:p>
    <w:p>
      <w:pPr>
        <w:ind w:left="1680" w:right="500" w:hanging="531"/>
        <w:spacing w:after="0" w:line="188" w:lineRule="auto"/>
        <w:tabs>
          <w:tab w:leader="none" w:pos="16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Mr. Erbey resigned from the Nomination/Governance Committee in March 2012. Mr. Linn was appointed to the Committee, and as Chairman of the Committee, in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is set forth below.</w:t>
      </w:r>
    </w:p>
    <w:p>
      <w:pPr>
        <w:spacing w:after="0" w:line="225"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All our Directors bring to Altisource's Board of Directors a wealth of executive leadership experience derived from their service as executives of large corporations.</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William C. Erbey. </w:t>
      </w:r>
      <w:r>
        <w:rPr>
          <w:rFonts w:ascii="Arial" w:cs="Arial" w:eastAsia="Arial" w:hAnsi="Arial"/>
          <w:sz w:val="16"/>
          <w:szCs w:val="16"/>
          <w:color w:val="auto"/>
        </w:rPr>
        <w:t>Mr. Erbey was appointed as the Chairman of the Board of Directors of Altisource in July 2009. Mr. Erbey has also served as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of Home Loan Servicing Solutions, Ltd. ("HLSS") and has served as its Chairman since December 2010. He also has served as Chairman of the Board of Directors of Residential since July 2012 and as Chairman of the Board of Directors of AAMC since March 2012. From 1975 to 1983, Mr. Erbey served at General Electric Capital Corporation in various capacities, including as President and Chief Operating Officer of General Electric Mortgage Insurance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320"/>
        <w:spacing w:after="0" w:line="332" w:lineRule="auto"/>
        <w:rPr>
          <w:sz w:val="20"/>
          <w:szCs w:val="20"/>
          <w:color w:val="auto"/>
        </w:rPr>
      </w:pPr>
      <w:r>
        <w:rPr>
          <w:rFonts w:ascii="Arial" w:cs="Arial" w:eastAsia="Arial" w:hAnsi="Arial"/>
          <w:sz w:val="16"/>
          <w:szCs w:val="16"/>
          <w:color w:val="auto"/>
        </w:rPr>
        <w:t>Corporation, Program and General Manager of the Commercial Financial Services Department and President of Acquisition Funding Corporation. He holds a Bachelor of Arts in Economics from Allegheny College and a Master of Business Administration from Harvard University.</w:t>
      </w:r>
    </w:p>
    <w:p>
      <w:pPr>
        <w:spacing w:after="0" w:line="13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1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President and Chief Operating Officer of Ocwen Solutions at Ocwen. From 2003 until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and operational insights.</w:t>
      </w:r>
    </w:p>
    <w:p>
      <w:pPr>
        <w:spacing w:after="0" w:line="194"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i w:val="1"/>
          <w:iCs w:val="1"/>
          <w:color w:val="auto"/>
        </w:rPr>
        <w:t>Roland Müller-Ineichen.</w:t>
      </w:r>
      <w:r>
        <w:rPr>
          <w:sz w:val="20"/>
          <w:szCs w:val="20"/>
          <w:color w:val="auto"/>
        </w:rPr>
        <w:tab/>
      </w:r>
      <w:r>
        <w:rPr>
          <w:rFonts w:ascii="Arial" w:cs="Arial" w:eastAsia="Arial" w:hAnsi="Arial"/>
          <w:sz w:val="16"/>
          <w:szCs w:val="16"/>
          <w:color w:val="auto"/>
        </w:rPr>
        <w:t>Mr. Müller-Ineichen was appointed to the Board of Altisource in July 2009. He also serves on the Board of Directors of Bank</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 Group that provides private banking services to High Net Worth Individuals; and of Sberbank (Switzerland) Ltd, based in Zurich, Switzerland, a subsidiary of Sberbank Russia, offering trade finance and corporate banking services. In addition, from May 2010 until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 xml:space="preserve">Timo Vättö. </w:t>
      </w:r>
      <w:r>
        <w:rPr>
          <w:rFonts w:ascii="Arial" w:cs="Arial" w:eastAsia="Arial" w:hAnsi="Arial"/>
          <w:sz w:val="16"/>
          <w:szCs w:val="16"/>
          <w:color w:val="auto"/>
        </w:rPr>
        <w:t>Mr. Vättö was appointed to the Board of Directors of Altisource in August 2009. He is the founder and owner of Vättö Management Services AG,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as Head of Swiss Investment Banking. In addition, from 2004 to 2009, Mr. Vättö served as a member of the Board of Directors, including as a member of the Audit Committee, of Citibank (Switzerland) AG, part of Citigroup's Wealth Management Business. Mr. Vättö holds a Master of Science, Economics and Business Administration from the University of Tampere (Finland).</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Vättö's experience with Vättö Management Services AG and Citigroup makes him financially literate and qualifies him as a financial expert as required pursuant to NASDAQ listing standards and SEC rules, and his knowledge of the financial services industry provides the Board of Directors with subject matter expertise.</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was appointed to the Board of Altisource in May 2011. Mr. Linn also serves on the Board of Directors and as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Greensleeves LLC, where he focuses on increasing the use of alternative energy to power buildings. In addition, he is a private investor in energy-related industries. Mr. Linn previously served on the Board of Directors of Ocwen from August 2002 to May 2008 and as the Executive Vice President of Sales and Marketing of Ocwen from February 2004 to May 2007. He served on the Board of Directors of National Lime and Stone from 1994 through 2012.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7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Our Board of Directors held six (6) meetings in 2012. Each incumbent Director attended at least 75%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2012 Annual Meeting of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NASDAQ listing standards and applicable law.</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Erbey, Linn, Müller-Ineichen and Vättö are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of Directors. As Chairman of the Board of Directors, Mr. Erbey leads the Board and oversees meetings of the Board of Directors and the delivery of information necessary for the Board's informed decision-making.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of Directors has established an Audit Committee, a Compensation Committee, a Nomination/Governance Committee and an Executive Committee. A brief description of these committees is provided below.</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 w:name="page11"/>
    <w:bookmarkEnd w:id="10"/>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accounting, internal controls, auditing and federal securities law matters and the review of the scope and results of the annual audit conducted by the independent registered certified public accounting firm.</w:t>
      </w:r>
    </w:p>
    <w:p>
      <w:pPr>
        <w:spacing w:after="0" w:line="19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The members of the Audit Committee for 2012 were Messrs. Linn, Müller-Ineichen and Vättö.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expertise within the meaning of NASDAQ listing standards and qualify as audit committee financial experts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Audit Committee in February 2013. The Committee met seven (7) times in 2012.</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named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has authority to administer awards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employees or other persons attend its meetings to provide advice, counsel or pertinent information as the Committee requests.</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members of the Compensation Committee for 2012 were Messrs. Linn, Müller-Ineichen and Vättö. Each member of the Compensation Committee is independent as defined by NASDAQ listing standards.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Generally, at the end of each scheduled meeting, all participants other than the Compensation Committee members withdraw from the meeting and the Compensation Committee meets in executive session.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Compensation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Compensation Committee in February 2013. The Committee met three (3) times in 2012.</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in consultation with the Chairman of the Board)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member of the Compensation Committee was at any time during the 2012 fiscal year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2012 fiscal year.</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members of the Nomination/Governance Committee during 2012 were Messrs. Erbey, Linn, Müller-Ineichen and Vättö. In March 2012, Mr. Linn replaced Mr. Erbey on the Committee. Each member of our Nomination/Governance Committee is independent as defined in NASDAQ listing standards.</w:t>
      </w:r>
    </w:p>
    <w:p>
      <w:pPr>
        <w:spacing w:after="0" w:line="1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Nomination/Governance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Nomination/Governance Committee in February 2013. The Committee met three (3) times in 2012.</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ind w:right="100"/>
        <w:spacing w:after="0" w:line="268" w:lineRule="auto"/>
        <w:rPr>
          <w:sz w:val="20"/>
          <w:szCs w:val="20"/>
          <w:color w:val="auto"/>
        </w:rPr>
      </w:pPr>
      <w:r>
        <w:rPr>
          <w:rFonts w:ascii="Arial" w:cs="Arial" w:eastAsia="Arial" w:hAnsi="Arial"/>
          <w:sz w:val="18"/>
          <w:szCs w:val="18"/>
          <w:color w:val="auto"/>
        </w:rPr>
        <w:t>as such factors as knowledge, experience, skills, expertise, diversity and the interplay of the candidate's experience with the background of other members of our Board of Directors.</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If you want to recommend persons for consideration by our Nomination/Governance Committee as nominees for election to our Board of Directors, you can do so by writing to our Corporate Secretary at Altisource Portfolio Solutions S.A., 291, route d'Arlon, L-1150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2014 Annual Meeting of Shareholders, we must receive your recommendations by December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-49530</wp:posOffset>
            </wp:positionV>
            <wp:extent cx="111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 meetings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Our Board of Directors has authorized the Committee to approve and/or to designate in writing certain individuals to approve ordinary course of business actions that are required to be documented by counterparties but do not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ind w:right="360"/>
        <w:spacing w:after="0" w:line="259" w:lineRule="auto"/>
        <w:rPr>
          <w:sz w:val="20"/>
          <w:szCs w:val="20"/>
          <w:color w:val="auto"/>
        </w:rPr>
      </w:pPr>
      <w:r>
        <w:rPr>
          <w:rFonts w:ascii="Arial" w:cs="Arial" w:eastAsia="Arial" w:hAnsi="Arial"/>
          <w:sz w:val="18"/>
          <w:szCs w:val="18"/>
          <w:color w:val="auto"/>
        </w:rPr>
        <w:t>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appraisals of the Board of Directors.</w:t>
      </w:r>
    </w:p>
    <w:p>
      <w:pPr>
        <w:spacing w:after="0" w:line="197"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our Board of Directors.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them by writing to our Corporate Secretary at Altisource Portfolio Solutions S.A., 291, route d'Arlon, L-1150 Luxembourg City, Grand Duchy of Luxembourg.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Non-management Directors met in executive session without management four (4) times in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291, route d'Arlon, L-1150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NASDAQ rules. We have also adopted a Code of Ethics for Senior Financial Officers that applies to our Chief Executive Officer and our Chief Financial Officer. Any waivers from the Code of Business Conduct and Ethics for Directors or named executive officers or the Code of Ethics for Senior Financial Officers must be approved by our Board of Directors or the Audit Committee and will be subsequently disclosed when required by SEC or NASDAQ rules.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291, route d'Arlon, L-1150 Luxembourg City, Grand Duchy of Luxembourg. Any amendments to the Code of Business Conduct and Ethics or the Code of Ethics for Senior Financial Officers, as well as any waivers that are required to be disclosed under SEC or NASDAQ rules, either will be posted on our website or otherwise disclosed in accordance with such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and each of its committees are involved in overseeing risk associated with the Company. The Board of Directors and the Audit Committee monitor Altisource's credit risk, liquidity risk, regulatory risk, operational risk and enterprise risk by regular reviews with management and internal and external auditors. In its periodic meetings with internal and external auditors, the Audit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color w:val="auto"/>
        </w:rPr>
        <w:t>Committee discusses the scope and plan for the internal audit and includes management in its review of accounting and financial controls, assessment of business risks and legal and ethical compliance programs. 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The Board of Directors and the Nomination/Governance Committee monitor the Company's governance and succession risks by regular reviews with management. The Board of Directors and the Compensation Committee monitor the Company's compensation policies and related risks by regular reviews with management. The Board of Directors' role in risk oversight is consistent with the Company's leadership structure, with the Chief Executive Officer and other members of senior management having responsibility for assessing and managing the Company's risk exposure, and the Chairman, the Board of Directors and its committees providing oversight in connection with these efforts.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BOARD OF DIRECTORS COMPENSATION</w:t>
      </w:r>
    </w:p>
    <w:p>
      <w:pPr>
        <w:spacing w:after="0" w:line="23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following table discloses compensation received by each non-management member of our Board of Directors who served as a Director during fiscal year 2012. Our management Directors do not receive an annual retainer or any other compensation for their service on the Board of Directors.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Fees Earned</w:t>
            </w:r>
          </w:p>
        </w:tc>
        <w:tc>
          <w:tcPr>
            <w:tcW w:w="16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Stock Awards</w:t>
            </w:r>
            <w:r>
              <w:rPr>
                <w:rFonts w:ascii="Arial" w:cs="Arial" w:eastAsia="Arial" w:hAnsi="Arial"/>
                <w:sz w:val="29"/>
                <w:szCs w:val="29"/>
                <w:b w:val="1"/>
                <w:bCs w:val="1"/>
                <w:color w:val="auto"/>
                <w:w w:val="84"/>
                <w:vertAlign w:val="superscript"/>
              </w:rPr>
              <w:t>(1)</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3"/>
              </w:rPr>
              <w:t>Or Paid in Cash</w:t>
            </w: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Option Awards</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6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$61,500.00</w:t>
            </w:r>
          </w:p>
        </w:tc>
        <w:tc>
          <w:tcPr>
            <w:tcW w:w="15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$73,811</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$135,311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Timo Vättö</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$59,000.00</w:t>
            </w:r>
          </w:p>
        </w:tc>
        <w:tc>
          <w:tcPr>
            <w:tcW w:w="152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$73,811</w:t>
            </w:r>
          </w:p>
        </w:tc>
        <w:tc>
          <w:tcPr>
            <w:tcW w:w="14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$132,811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C. Erbey</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$100,250.00</w:t>
            </w:r>
          </w:p>
        </w:tc>
        <w:tc>
          <w:tcPr>
            <w:tcW w:w="152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5"/>
              </w:rPr>
              <w:t>$383,823</w:t>
            </w:r>
            <w:r>
              <w:rPr>
                <w:rFonts w:ascii="Arial" w:cs="Arial" w:eastAsia="Arial" w:hAnsi="Arial"/>
                <w:sz w:val="29"/>
                <w:szCs w:val="29"/>
                <w:color w:val="auto"/>
                <w:w w:val="85"/>
                <w:vertAlign w:val="superscript"/>
              </w:rPr>
              <w:t>(2)</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$484,073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W. Michael Linn</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$57,750.00</w:t>
            </w:r>
          </w:p>
        </w:tc>
        <w:tc>
          <w:tcPr>
            <w:tcW w:w="152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$73,811</w:t>
            </w:r>
          </w:p>
        </w:tc>
        <w:tc>
          <w:tcPr>
            <w:tcW w:w="14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$131,561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80" w:right="120" w:hanging="531"/>
        <w:spacing w:after="0" w:line="235" w:lineRule="auto"/>
        <w:tabs>
          <w:tab w:leader="none" w:pos="168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Non-management Directors who attend an aggregate of at least 75% of all meetings of the Board of Directors and Committees on which they serve annually receive an award of Altisource common stock with an aggregate fair market value of $45,000 as determined on the first day of the service year by the average of the high and low prices of the common stock as reported on the NASDAQ.</w:t>
      </w:r>
    </w:p>
    <w:p>
      <w:pPr>
        <w:spacing w:after="0" w:line="224" w:lineRule="exact"/>
        <w:rPr>
          <w:rFonts w:ascii="Arial" w:cs="Arial" w:eastAsia="Arial" w:hAnsi="Arial"/>
          <w:sz w:val="26"/>
          <w:szCs w:val="26"/>
          <w:color w:val="auto"/>
          <w:vertAlign w:val="superscript"/>
        </w:rPr>
      </w:pPr>
    </w:p>
    <w:p>
      <w:pPr>
        <w:ind w:left="1680" w:hanging="531"/>
        <w:spacing w:after="0" w:line="210" w:lineRule="auto"/>
        <w:tabs>
          <w:tab w:leader="none" w:pos="16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On December 11, 2012, Mr. Erbey was granted (i) 52,589 shares of restricted common stock in AAMC (the "AAMC Restricted Stock") with an aggregate grant date fair value of $310,012. The AAMC Restricted Stock will vest in three tranches, subject to the achievement of the following performance hurdles:</w:t>
      </w:r>
    </w:p>
    <w:p>
      <w:pPr>
        <w:spacing w:after="0" w:line="200" w:lineRule="exact"/>
        <w:rPr>
          <w:rFonts w:ascii="Arial" w:cs="Arial" w:eastAsia="Arial" w:hAnsi="Arial"/>
          <w:sz w:val="29"/>
          <w:szCs w:val="29"/>
          <w:color w:val="auto"/>
          <w:vertAlign w:val="superscript"/>
        </w:rPr>
      </w:pPr>
    </w:p>
    <w:p>
      <w:pPr>
        <w:spacing w:after="0" w:line="239" w:lineRule="exact"/>
        <w:rPr>
          <w:rFonts w:ascii="Arial" w:cs="Arial" w:eastAsia="Arial" w:hAnsi="Arial"/>
          <w:sz w:val="29"/>
          <w:szCs w:val="29"/>
          <w:color w:val="auto"/>
          <w:vertAlign w:val="superscript"/>
        </w:rPr>
      </w:pPr>
    </w:p>
    <w:p>
      <w:pPr>
        <w:ind w:left="2220" w:hanging="531"/>
        <w:spacing w:after="0" w:line="256" w:lineRule="auto"/>
        <w:tabs>
          <w:tab w:leader="none" w:pos="2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25% will vest in accordance with the vesting schedule set forth below if the market value of AAMC stock meets all three of the following conditions: (i) the market value is at least equal to $250 million; (ii) the market value has realized a compounded annual gain of at least 20% over the market value on the date of the grant; and (iii) the market value is at least double the market value on the date of the grant.</w:t>
      </w:r>
    </w:p>
    <w:p>
      <w:pPr>
        <w:spacing w:after="0" w:line="210" w:lineRule="exact"/>
        <w:rPr>
          <w:rFonts w:ascii="Arial" w:cs="Arial" w:eastAsia="Arial" w:hAnsi="Arial"/>
          <w:sz w:val="18"/>
          <w:szCs w:val="18"/>
          <w:color w:val="auto"/>
        </w:rPr>
      </w:pPr>
    </w:p>
    <w:p>
      <w:pPr>
        <w:ind w:left="2220" w:hanging="531"/>
        <w:spacing w:after="0" w:line="256" w:lineRule="auto"/>
        <w:tabs>
          <w:tab w:leader="none" w:pos="2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50% will vest in accordance with the vesting schedule set forth below if the market value of AAMC stock meets all three of the following conditions: (i) the market value is at least equal to $500 million; (ii) the market value has realized a compounded annual gain of at least 22.5% over the market value on the date of the grant; and (iii) the market value is at least triple the market value on the date of the grant.</w:t>
      </w:r>
    </w:p>
    <w:p>
      <w:pPr>
        <w:spacing w:after="0" w:line="224" w:lineRule="exact"/>
        <w:rPr>
          <w:rFonts w:ascii="Arial" w:cs="Arial" w:eastAsia="Arial" w:hAnsi="Arial"/>
          <w:sz w:val="18"/>
          <w:szCs w:val="18"/>
          <w:color w:val="auto"/>
        </w:rPr>
      </w:pPr>
    </w:p>
    <w:p>
      <w:pPr>
        <w:ind w:left="2220" w:hanging="531"/>
        <w:spacing w:after="0" w:line="256" w:lineRule="auto"/>
        <w:tabs>
          <w:tab w:leader="none" w:pos="2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25% will vest in accordance with the vesting schedule set forth below if the market value of AAMC stock meets all three of the following conditions: (i) the market value is at least equal to $750 million; (ii) the market value has realized a compounded annual gain of at least 25% over the market value on the date of the grant; and (iii) the market value is at least quadruple the market value on the date of the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AAMC Restricted Stock will vest according to the following vesting schedule:</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 of each tranche will vest on the first anniversary of the date when the three conditions for that tranche are met.</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remaining 75% will vest in substantially equal installments on each of the first three anniversaries of the initial vesting of the applicable tranche.</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If an award recipient's service with the Company or any of its affiliates is terminated prior to full vesting of the AAMC Restricted Stock, then the award recipient will forfeit all unvested AAMC Restricted Stock to AAMC, except that if (i) an award recipient's service is terminated either by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line="268" w:lineRule="auto"/>
        <w:rPr>
          <w:sz w:val="20"/>
          <w:szCs w:val="20"/>
          <w:color w:val="auto"/>
        </w:rPr>
      </w:pPr>
      <w:r>
        <w:rPr>
          <w:rFonts w:ascii="Arial" w:cs="Arial" w:eastAsia="Arial" w:hAnsi="Arial"/>
          <w:sz w:val="18"/>
          <w:szCs w:val="18"/>
          <w:color w:val="auto"/>
        </w:rPr>
        <w:t>Company (or an affiliate) without cause or due to death or disability and (ii) a performance hurdle has already been achieved or is achieved within ninety days of termination, unvested stock for the corresponding tranche will continue to vest according to the above vesting schedule.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retainer of $49,000;</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$50,000 to the Chairman of the Board of Directors;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part of Director compensation, non-management Directors annually receive shares of common stock of Altisource with a fair market value of $45,000. "Fair Market Value" is defined as the average of the high and low prices of the common stock as reported on the NASDAQ on the first day of the service year.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service year. New non-management directors elected at the Annual Meeting of Shareholders are granted a one (1) time award of 500 shares of common stock. 25% of these shares vest on each anniversary of the award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Directors are reimbursed for reasonable travel and other expenses incurred in connection with attending meetings of the Board of Directors and its committees.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Luxembourg law and our Articles of Association, Directors' compensation is subject to review and adjustment by the shareholders from time to time.</w:t>
      </w:r>
    </w:p>
    <w:p>
      <w:pPr>
        <w:spacing w:after="0" w:line="2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Any Director compensation may be prorated for a Director serving less than a full one (1) year term as in the case of a Director joining the Board of Directors after an Annual Meeting of Shareholders but during the service year.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NAMED EXECUTIVE OFFICERS WHO ARE NOT DIRECTORS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named executive officers but does not serve on our Board of Directors. Our named executive officers are elected annually by our Board of Directors and generally serve at the discretion of our Board of Directors. There are no arrangements or understandings between us and any person for election as our named executive officer. None of our Directors and/or named executive officers are related to any other Director and/or named executive officer of Altisource or any of its subsidiaries by blood, marriage or adoption.</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9"/>
                <w:szCs w:val="29"/>
                <w:b w:val="1"/>
                <w:bCs w:val="1"/>
                <w:color w:val="auto"/>
                <w:vertAlign w:val="superscript"/>
              </w:rPr>
              <w:t>(1)</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Age</w:t>
            </w:r>
          </w:p>
        </w:tc>
        <w:tc>
          <w:tcPr>
            <w:tcW w:w="640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w:t>
            </w: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Chief Administration Officer and General Counsel</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680" w:hanging="531"/>
        <w:spacing w:after="0"/>
        <w:tabs>
          <w:tab w:leader="none" w:pos="16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All information set forth herein is as of March 18, 2013.</w:t>
      </w:r>
    </w:p>
    <w:p>
      <w:pPr>
        <w:spacing w:after="0" w:line="21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named executive officers that is not a Director is set forth below.</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serves as Chief Financial Officer of Altisource. Before joining Altisource in March 2012, she served as Senior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&amp; Enterprise Risk Services, for Deloitte &amp; Touche LLP since 2003 and in various positions within Deloitte &amp; Touche LLP from 1996 to 2003, including a two year rotation with Deloitte Touche Tohmatsu.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Prior to hiring Ms. Esterman, the Company determined that her employment with Deloitte &amp; Touche LLP presented no independence issues that could prevent her from assuming the position of Chief Financial Officer of the Company.</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 xml:space="preserve">Kevin J. Wilcox. </w:t>
      </w:r>
      <w:r>
        <w:rPr>
          <w:rFonts w:ascii="Arial" w:cs="Arial" w:eastAsia="Arial" w:hAnsi="Arial"/>
          <w:sz w:val="16"/>
          <w:szCs w:val="16"/>
          <w:color w:val="auto"/>
        </w:rPr>
        <w:t>Mr. Wilcox serves as Chief Administration Officer and General Counsel of Altisource. Before joining Altisource in August 2009,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RELATED SHAREHOLDER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Directors and named executive officers of Altisource as a group;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5% or more of the outstanding common stock.</w:t>
      </w:r>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Exchange Act. Unless otherwise indicated, the address of all persons below is: 291, Route d'Arlon, L-1150 Luxembourg City, Grand Duchy of Luxembourg.</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38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b w:val="1"/>
                <w:bCs w:val="1"/>
                <w:color w:val="auto"/>
              </w:rPr>
              <w:t>Shares Beneficially Owned as of March 18, 2013</w:t>
            </w:r>
            <w:r>
              <w:rPr>
                <w:rFonts w:ascii="Arial" w:cs="Arial" w:eastAsia="Arial" w:hAnsi="Arial"/>
                <w:sz w:val="29"/>
                <w:szCs w:val="29"/>
                <w:color w:val="auto"/>
                <w:vertAlign w:val="superscript"/>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280" w:type="dxa"/>
            <w:vAlign w:val="bottom"/>
            <w:gridSpan w:val="5"/>
          </w:tcPr>
          <w:p>
            <w:pPr>
              <w:spacing w:after="0"/>
              <w:rPr>
                <w:sz w:val="20"/>
                <w:szCs w:val="20"/>
                <w:color w:val="auto"/>
              </w:rPr>
            </w:pPr>
            <w:r>
              <w:rPr>
                <w:rFonts w:ascii="Arial" w:cs="Arial" w:eastAsia="Arial" w:hAnsi="Arial"/>
                <w:sz w:val="18"/>
                <w:szCs w:val="18"/>
                <w:b w:val="1"/>
                <w:bCs w:val="1"/>
                <w:color w:val="auto"/>
              </w:rPr>
              <w:t>Name of Beneficial Owner:</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continue"/>
          </w:tcPr>
          <w:p>
            <w:pPr>
              <w:spacing w:after="0"/>
              <w:rPr>
                <w:sz w:val="21"/>
                <w:szCs w:val="21"/>
                <w:color w:val="auto"/>
              </w:rPr>
            </w:pPr>
          </w:p>
        </w:tc>
        <w:tc>
          <w:tcPr>
            <w:tcW w:w="212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(2)</w:t>
            </w:r>
          </w:p>
        </w:tc>
        <w:tc>
          <w:tcPr>
            <w:tcW w:w="5140" w:type="dxa"/>
            <w:vAlign w:val="bottom"/>
            <w:gridSpan w:val="2"/>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2,031,803</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Neuberger Berman Group LLC</w:t>
            </w:r>
            <w:r>
              <w:rPr>
                <w:rFonts w:ascii="Arial" w:cs="Arial" w:eastAsia="Arial" w:hAnsi="Arial"/>
                <w:sz w:val="29"/>
                <w:szCs w:val="29"/>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1,885,767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306"/>
        </w:trPr>
        <w:tc>
          <w:tcPr>
            <w:tcW w:w="7280" w:type="dxa"/>
            <w:vAlign w:val="bottom"/>
            <w:gridSpan w:val="5"/>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40" w:type="dxa"/>
            <w:vAlign w:val="bottom"/>
            <w:tcBorders>
              <w:top w:val="single" w:sz="8" w:color="auto"/>
            </w:tcBorders>
            <w:gridSpan w:val="3"/>
            <w:shd w:val="clear" w:color="auto" w:fill="CCEEFF"/>
          </w:tcPr>
          <w:p>
            <w:pPr>
              <w:spacing w:after="0" w:line="251" w:lineRule="exact"/>
              <w:rPr>
                <w:sz w:val="20"/>
                <w:szCs w:val="20"/>
                <w:color w:val="auto"/>
              </w:rPr>
            </w:pPr>
            <w:r>
              <w:rPr>
                <w:rFonts w:ascii="Arial" w:cs="Arial" w:eastAsia="Arial" w:hAnsi="Arial"/>
                <w:sz w:val="18"/>
                <w:szCs w:val="18"/>
                <w:color w:val="auto"/>
              </w:rPr>
              <w:t>William C. Erbey</w:t>
            </w:r>
            <w:r>
              <w:rPr>
                <w:rFonts w:ascii="Arial" w:cs="Arial" w:eastAsia="Arial" w:hAnsi="Arial"/>
                <w:sz w:val="29"/>
                <w:szCs w:val="29"/>
                <w:color w:val="auto"/>
                <w:vertAlign w:val="superscript"/>
              </w:rPr>
              <w:t>(4)</w:t>
            </w:r>
          </w:p>
        </w:tc>
        <w:tc>
          <w:tcPr>
            <w:tcW w:w="40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6,780,071</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gridSpan w:val="4"/>
          </w:tcPr>
          <w:p>
            <w:pPr>
              <w:spacing w:after="0" w:line="256" w:lineRule="exact"/>
              <w:rPr>
                <w:sz w:val="20"/>
                <w:szCs w:val="20"/>
                <w:color w:val="auto"/>
              </w:rPr>
            </w:pPr>
            <w:r>
              <w:rPr>
                <w:rFonts w:ascii="Arial" w:cs="Arial" w:eastAsia="Arial" w:hAnsi="Arial"/>
                <w:sz w:val="18"/>
                <w:szCs w:val="18"/>
                <w:color w:val="auto"/>
              </w:rPr>
              <w:t>William B. Shepro</w:t>
            </w:r>
            <w:r>
              <w:rPr>
                <w:rFonts w:ascii="Arial" w:cs="Arial" w:eastAsia="Arial" w:hAnsi="Arial"/>
                <w:sz w:val="29"/>
                <w:szCs w:val="29"/>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432,379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gridSpan w:val="4"/>
          </w:tcPr>
          <w:p>
            <w:pPr>
              <w:spacing w:after="0" w:line="256" w:lineRule="exact"/>
              <w:rPr>
                <w:sz w:val="20"/>
                <w:szCs w:val="20"/>
                <w:color w:val="auto"/>
              </w:rPr>
            </w:pPr>
            <w:r>
              <w:rPr>
                <w:rFonts w:ascii="Arial" w:cs="Arial" w:eastAsia="Arial" w:hAnsi="Arial"/>
                <w:sz w:val="18"/>
                <w:szCs w:val="18"/>
                <w:color w:val="auto"/>
              </w:rPr>
              <w:t>Roland Müller-Ineichen</w:t>
            </w:r>
            <w:r>
              <w:rPr>
                <w:rFonts w:ascii="Arial" w:cs="Arial" w:eastAsia="Arial" w:hAnsi="Arial"/>
                <w:sz w:val="29"/>
                <w:szCs w:val="29"/>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9,998</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Timo Vättö</w:t>
            </w:r>
            <w:r>
              <w:rPr>
                <w:rFonts w:ascii="Arial" w:cs="Arial" w:eastAsia="Arial" w:hAnsi="Arial"/>
                <w:sz w:val="29"/>
                <w:szCs w:val="29"/>
                <w:color w:val="auto"/>
                <w:vertAlign w:val="superscript"/>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gridSpan w:val="4"/>
          </w:tcPr>
          <w:p>
            <w:pPr>
              <w:spacing w:after="0" w:line="256" w:lineRule="exact"/>
              <w:rPr>
                <w:sz w:val="20"/>
                <w:szCs w:val="20"/>
                <w:color w:val="auto"/>
              </w:rPr>
            </w:pPr>
            <w:r>
              <w:rPr>
                <w:rFonts w:ascii="Arial" w:cs="Arial" w:eastAsia="Arial" w:hAnsi="Arial"/>
                <w:sz w:val="18"/>
                <w:szCs w:val="18"/>
                <w:color w:val="auto"/>
              </w:rPr>
              <w:t>W. Michael Linn</w:t>
            </w:r>
            <w:r>
              <w:rPr>
                <w:rFonts w:ascii="Arial" w:cs="Arial" w:eastAsia="Arial" w:hAnsi="Arial"/>
                <w:sz w:val="29"/>
                <w:szCs w:val="29"/>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16,719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Kevin J. Wilcox</w:t>
            </w:r>
            <w:r>
              <w:rPr>
                <w:rFonts w:ascii="Arial" w:cs="Arial" w:eastAsia="Arial" w:hAnsi="Arial"/>
                <w:sz w:val="29"/>
                <w:szCs w:val="29"/>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All Directors and Named Executive Officers as a Group (7 persons)</w:t>
            </w:r>
          </w:p>
        </w:tc>
        <w:tc>
          <w:tcPr>
            <w:tcW w:w="840" w:type="dxa"/>
            <w:vAlign w:val="bottom"/>
          </w:tcPr>
          <w:p>
            <w:pPr>
              <w:jc w:val="right"/>
              <w:spacing w:after="0"/>
              <w:rPr>
                <w:sz w:val="20"/>
                <w:szCs w:val="20"/>
                <w:color w:val="auto"/>
              </w:rPr>
            </w:pPr>
            <w:r>
              <w:rPr>
                <w:rFonts w:ascii="Arial" w:cs="Arial" w:eastAsia="Arial" w:hAnsi="Arial"/>
                <w:sz w:val="18"/>
                <w:szCs w:val="18"/>
                <w:color w:val="auto"/>
              </w:rPr>
              <w:t>7,528,739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437"/>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960" w:type="dxa"/>
            <w:vAlign w:val="bottom"/>
            <w:gridSpan w:val="3"/>
          </w:tcPr>
          <w:p>
            <w:pPr>
              <w:ind w:left="220"/>
              <w:spacing w:after="0"/>
              <w:rPr>
                <w:sz w:val="20"/>
                <w:szCs w:val="20"/>
                <w:color w:val="auto"/>
              </w:rPr>
            </w:pPr>
            <w:r>
              <w:rPr>
                <w:rFonts w:ascii="Arial" w:cs="Arial" w:eastAsia="Arial" w:hAnsi="Arial"/>
                <w:sz w:val="18"/>
                <w:szCs w:val="18"/>
                <w:color w:val="auto"/>
              </w:rPr>
              <w:t>Less than 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680" w:right="200" w:hanging="531"/>
        <w:spacing w:after="0" w:line="218" w:lineRule="auto"/>
        <w:tabs>
          <w:tab w:leader="none" w:pos="16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13" w:lineRule="exact"/>
        <w:rPr>
          <w:rFonts w:ascii="Arial" w:cs="Arial" w:eastAsia="Arial" w:hAnsi="Arial"/>
          <w:sz w:val="29"/>
          <w:szCs w:val="29"/>
          <w:color w:val="auto"/>
          <w:vertAlign w:val="superscript"/>
        </w:rPr>
      </w:pPr>
    </w:p>
    <w:p>
      <w:pPr>
        <w:ind w:left="1680" w:hanging="531"/>
        <w:spacing w:after="0" w:line="210" w:lineRule="auto"/>
        <w:tabs>
          <w:tab w:leader="none" w:pos="16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 filed with the SEC on February 14, 2013 by FMR LLC ("FMR"). Includes 331,627 shares as to which sole voting power and 2,031,803 shares as to which sole dispositive power is claimed. FMR's address is 82 Devonshire Street, Boston, Massachusetts 02109.</w:t>
      </w:r>
    </w:p>
    <w:p>
      <w:pPr>
        <w:spacing w:after="0" w:line="210" w:lineRule="exact"/>
        <w:rPr>
          <w:rFonts w:ascii="Arial" w:cs="Arial" w:eastAsia="Arial" w:hAnsi="Arial"/>
          <w:sz w:val="29"/>
          <w:szCs w:val="29"/>
          <w:color w:val="auto"/>
          <w:vertAlign w:val="superscript"/>
        </w:rPr>
      </w:pPr>
    </w:p>
    <w:p>
      <w:pPr>
        <w:ind w:left="1680" w:right="40" w:hanging="531"/>
        <w:spacing w:after="0" w:line="218" w:lineRule="auto"/>
        <w:tabs>
          <w:tab w:leader="none" w:pos="16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 filed jointly with the SEC on February 13, 2013 by Neuberger Berman Group LLC, Neuberger Berman LLC, Neuberger Berman Management LLC and Neuberger Berman Equity Funds ("Neuberger"). Includes 1,841,670 shares as to which shared voting power and 1,885,767 shares as to which shared dispositive power is claimed. Neuberger's address is 605 Third Avenue, New York, New York 10158.</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ind w:left="1680" w:right="20" w:hanging="531"/>
        <w:spacing w:after="0" w:line="254" w:lineRule="auto"/>
        <w:tabs>
          <w:tab w:leader="none" w:pos="168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Includes options to acquire 844,728 shares which are exercisable on or within 60 days after March 18, 2013. Includes 5,933,524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 owned by Mr. Erbey. Includes 375 shares of unvested restricted common stock, subject to forfeiture until vested.</w:t>
      </w:r>
    </w:p>
    <w:p>
      <w:pPr>
        <w:spacing w:after="0" w:line="214" w:lineRule="exact"/>
        <w:rPr>
          <w:rFonts w:ascii="Arial" w:cs="Arial" w:eastAsia="Arial" w:hAnsi="Arial"/>
          <w:sz w:val="26"/>
          <w:szCs w:val="26"/>
          <w:color w:val="auto"/>
          <w:vertAlign w:val="superscript"/>
        </w:rPr>
      </w:pPr>
    </w:p>
    <w:p>
      <w:pPr>
        <w:ind w:left="1680" w:right="60" w:hanging="531"/>
        <w:spacing w:after="0" w:line="210" w:lineRule="auto"/>
        <w:tabs>
          <w:tab w:leader="none" w:pos="16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407,516 shares which are exercisable on or within 60 days after March 18, 2013. Includes 24,863 shares held by the William B. Shepro Revocable Trust. Mr. and Mrs. William B. Shepro share voting and dispositive power with respect to these shares.</w:t>
      </w:r>
    </w:p>
    <w:p>
      <w:pPr>
        <w:spacing w:after="0" w:line="99"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375 shares of unvested restricted common stock, subject to forfeiture until vested.</w:t>
      </w:r>
    </w:p>
    <w:p>
      <w:pPr>
        <w:spacing w:after="0" w:line="160" w:lineRule="exact"/>
        <w:rPr>
          <w:rFonts w:ascii="Arial" w:cs="Arial" w:eastAsia="Arial" w:hAnsi="Arial"/>
          <w:sz w:val="29"/>
          <w:szCs w:val="29"/>
          <w:color w:val="auto"/>
          <w:vertAlign w:val="superscript"/>
        </w:rPr>
      </w:pPr>
    </w:p>
    <w:p>
      <w:pPr>
        <w:ind w:left="1680" w:hanging="531"/>
        <w:spacing w:after="0" w:line="195" w:lineRule="auto"/>
        <w:tabs>
          <w:tab w:leader="none" w:pos="16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375 shares of unvested restricted common stock, subject to forfeiture until vested.</w:t>
      </w:r>
    </w:p>
    <w:p>
      <w:pPr>
        <w:spacing w:after="0" w:line="223" w:lineRule="exact"/>
        <w:rPr>
          <w:rFonts w:ascii="Arial" w:cs="Arial" w:eastAsia="Arial" w:hAnsi="Arial"/>
          <w:sz w:val="29"/>
          <w:szCs w:val="29"/>
          <w:color w:val="auto"/>
          <w:vertAlign w:val="superscript"/>
        </w:rPr>
      </w:pPr>
    </w:p>
    <w:p>
      <w:pPr>
        <w:ind w:left="1680" w:right="140" w:hanging="531"/>
        <w:spacing w:after="0" w:line="217" w:lineRule="auto"/>
        <w:tabs>
          <w:tab w:leader="none" w:pos="168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Includes (a) 1,000 shares held by Brown's Valley Development Co, LP, (b) 400 shares held by Mr. Linn's minor child(ren) and (c) 2,000 shares held by W M Linn Trust. Includes 375 shares of unvested restricted common stock, subject to forfeiture until vested.</w:t>
      </w:r>
    </w:p>
    <w:p>
      <w:pPr>
        <w:spacing w:after="0" w:line="100" w:lineRule="exact"/>
        <w:rPr>
          <w:rFonts w:ascii="Arial" w:cs="Arial" w:eastAsia="Arial" w:hAnsi="Arial"/>
          <w:sz w:val="26"/>
          <w:szCs w:val="26"/>
          <w:color w:val="auto"/>
          <w:vertAlign w:val="superscript"/>
        </w:rPr>
      </w:pPr>
    </w:p>
    <w:p>
      <w:pPr>
        <w:ind w:left="1680" w:hanging="531"/>
        <w:spacing w:after="0"/>
        <w:tabs>
          <w:tab w:leader="none" w:pos="16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268,873 shares which are exercisable on or within 60 days after March 18,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 to</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 average</w:t>
            </w:r>
          </w:p>
        </w:tc>
        <w:tc>
          <w:tcPr>
            <w:tcW w:w="160" w:type="dxa"/>
            <w:vAlign w:val="bottom"/>
          </w:tcPr>
          <w:p>
            <w:pPr>
              <w:spacing w:after="0"/>
              <w:rPr>
                <w:sz w:val="18"/>
                <w:szCs w:val="18"/>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Number of securities</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2"/>
              </w:rPr>
              <w:t>be issued upon exercise</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4"/>
              </w:rPr>
              <w:t>exercise price of</w:t>
            </w:r>
          </w:p>
        </w:tc>
        <w:tc>
          <w:tcPr>
            <w:tcW w:w="160" w:type="dxa"/>
            <w:vAlign w:val="bottom"/>
          </w:tcPr>
          <w:p>
            <w:pPr>
              <w:spacing w:after="0"/>
              <w:rPr>
                <w:sz w:val="18"/>
                <w:szCs w:val="18"/>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remaining available for</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5"/>
              </w:rPr>
              <w:t>of outstanding options,</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 options,</w:t>
            </w:r>
          </w:p>
        </w:tc>
        <w:tc>
          <w:tcPr>
            <w:tcW w:w="160" w:type="dxa"/>
            <w:vAlign w:val="bottom"/>
          </w:tcPr>
          <w:p>
            <w:pPr>
              <w:spacing w:after="0"/>
              <w:rPr>
                <w:sz w:val="18"/>
                <w:szCs w:val="18"/>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future issuance under</w:t>
            </w: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Plan Category</w:t>
            </w:r>
          </w:p>
        </w:tc>
        <w:tc>
          <w:tcPr>
            <w:tcW w:w="102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warrants and rights</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warrants and rights</w:t>
            </w:r>
          </w:p>
        </w:tc>
        <w:tc>
          <w:tcPr>
            <w:tcW w:w="1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equity compensation plans</w:t>
            </w:r>
          </w:p>
        </w:tc>
        <w:tc>
          <w:tcPr>
            <w:tcW w:w="1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3"/>
              </w:rPr>
              <w:t>Equity compensation plans approved by</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3,060,309</w:t>
            </w:r>
          </w:p>
        </w:tc>
        <w:tc>
          <w:tcPr>
            <w:tcW w:w="18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$17.69</w:t>
            </w:r>
          </w:p>
        </w:tc>
        <w:tc>
          <w:tcPr>
            <w:tcW w:w="23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2,585,741</w:t>
            </w:r>
          </w:p>
        </w:tc>
        <w:tc>
          <w:tcPr>
            <w:tcW w:w="1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Section 16(a) of the Exchange Act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Based upon the Company's review of Section 16(a) reports, the Company believes that all Section 16(a) filing requirements applicable to such reporting persons were complied with in 2012, except that the following Section 16 reports were filed late as a result of an administrative oversight: William C. Erbey filed one late report, which covered two transactions, and W. Michael Linn filed one late report, which covered two transactions.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to promote individual service longevity.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programs for our Chief Executive Officer, Chief Financial Officer and Chief Administration Officer and General Counsel;</w:t>
      </w:r>
    </w:p>
    <w:p>
      <w:pPr>
        <w:spacing w:after="0" w:line="59"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2012 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191"/>
        </w:trPr>
        <w:tc>
          <w:tcPr>
            <w:tcW w:w="4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79"/>
              </w:rPr>
              <w:t>William</w:t>
            </w:r>
          </w:p>
        </w:tc>
        <w:tc>
          <w:tcPr>
            <w:tcW w:w="2220" w:type="dxa"/>
            <w:vAlign w:val="bottom"/>
            <w:tcBorders>
              <w:top w:val="single" w:sz="8" w:color="CCEEFF"/>
            </w:tcBorders>
            <w:shd w:val="clear" w:color="auto" w:fill="CCEEFF"/>
          </w:tcPr>
          <w:p>
            <w:pPr>
              <w:ind w:left="140"/>
              <w:spacing w:after="0" w:line="191" w:lineRule="exact"/>
              <w:rPr>
                <w:sz w:val="20"/>
                <w:szCs w:val="20"/>
                <w:color w:val="auto"/>
              </w:rPr>
            </w:pPr>
            <w:r>
              <w:rPr>
                <w:rFonts w:ascii="Arial" w:cs="Arial" w:eastAsia="Arial" w:hAnsi="Arial"/>
                <w:sz w:val="18"/>
                <w:szCs w:val="18"/>
                <w:color w:val="auto"/>
              </w:rPr>
              <w:t>B. Shepro</w:t>
            </w:r>
          </w:p>
        </w:tc>
        <w:tc>
          <w:tcPr>
            <w:tcW w:w="87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Chief Executive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8720" w:type="dxa"/>
            <w:vAlign w:val="bottom"/>
          </w:tcPr>
          <w:p>
            <w:pPr>
              <w:spacing w:after="0"/>
              <w:rPr>
                <w:sz w:val="20"/>
                <w:szCs w:val="20"/>
                <w:color w:val="auto"/>
              </w:rPr>
            </w:pPr>
            <w:r>
              <w:rPr>
                <w:rFonts w:ascii="Arial" w:cs="Arial" w:eastAsia="Arial" w:hAnsi="Arial"/>
                <w:sz w:val="18"/>
                <w:szCs w:val="18"/>
                <w:color w:val="auto"/>
              </w:rPr>
              <w:t>Chief Administration Officer and General Counsel</w:t>
            </w:r>
          </w:p>
        </w:tc>
      </w:tr>
      <w:tr>
        <w:trPr>
          <w:trHeight w:val="257"/>
        </w:trPr>
        <w:tc>
          <w:tcPr>
            <w:tcW w:w="2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Michelle D. Esterman</w:t>
            </w:r>
            <w:r>
              <w:rPr>
                <w:rFonts w:ascii="Arial" w:cs="Arial" w:eastAsia="Arial" w:hAnsi="Arial"/>
                <w:sz w:val="29"/>
                <w:szCs w:val="29"/>
                <w:color w:val="auto"/>
                <w:vertAlign w:val="superscript"/>
              </w:rPr>
              <w:t>(1)</w:t>
            </w: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382"/>
        </w:trPr>
        <w:tc>
          <w:tcPr>
            <w:tcW w:w="2700" w:type="dxa"/>
            <w:vAlign w:val="bottom"/>
            <w:gridSpan w:val="2"/>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29"/>
                <w:szCs w:val="29"/>
                <w:color w:val="auto"/>
                <w:vertAlign w:val="superscript"/>
              </w:rPr>
              <w:t>(2)</w:t>
            </w:r>
          </w:p>
        </w:tc>
        <w:tc>
          <w:tcPr>
            <w:tcW w:w="8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ind w:left="540" w:hanging="532"/>
        <w:spacing w:after="0" w:line="229" w:lineRule="auto"/>
        <w:tabs>
          <w:tab w:leader="none" w:pos="5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Ms. Esterman joined the Company as Chief Financial Officer effective March 12, 2012</w:t>
      </w:r>
    </w:p>
    <w:p>
      <w:pPr>
        <w:spacing w:after="0" w:line="7" w:lineRule="exact"/>
        <w:rPr>
          <w:rFonts w:ascii="Arial" w:cs="Arial" w:eastAsia="Arial" w:hAnsi="Arial"/>
          <w:sz w:val="29"/>
          <w:szCs w:val="29"/>
          <w:color w:val="auto"/>
          <w:vertAlign w:val="superscript"/>
        </w:rPr>
      </w:pPr>
    </w:p>
    <w:p>
      <w:pPr>
        <w:ind w:left="540" w:hanging="532"/>
        <w:spacing w:after="0" w:line="181" w:lineRule="auto"/>
        <w:tabs>
          <w:tab w:leader="none" w:pos="5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Mr. Stiles resigned as Chief Financial Officer effective March 1,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further the objectives of our compensation program, our Compensation Committee conducted an analysis of the compensation levels of certain of our named executive officers in conjunction with Exequity LLP ("Exequity"), an independent compensation consultant, pursuant to the Compensation Committee's continuing engagement with Exequity.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200"/>
        <w:spacing w:after="0" w:line="298" w:lineRule="auto"/>
        <w:rPr>
          <w:sz w:val="20"/>
          <w:szCs w:val="20"/>
          <w:color w:val="auto"/>
        </w:rPr>
      </w:pPr>
      <w:r>
        <w:rPr>
          <w:rFonts w:ascii="Arial" w:cs="Arial" w:eastAsia="Arial" w:hAnsi="Arial"/>
          <w:sz w:val="16"/>
          <w:szCs w:val="16"/>
          <w:color w:val="auto"/>
        </w:rPr>
        <w:t>As part of its analysis, Exequity provided research and presented information to the Committee related to compensation trends and "best practices" in executive compensation among peer group companies in a similar line of business and of similar size to Altisource. Executive compensation data and other resources reviewed by Exequity set the foundation for the Committee's review and analysis of executive compensation levels. Please see "Compensation Increases for Certain Officers" for information on the peer group companies the Compensation Committee used in its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required by Luxembourg law, Altisource has entered into employment agreements with William B. Shepro, our Chief Executive Officer, Kevin J. Wilcox, our Chief Administration Officer and General Counsel, Michelle D. Esterman, our Chief Financial Officer and Robert D. Stiles, our former Chief Financial Officer (January – March 2012). The employment terms continue indefinitely until the executive's separation from the Company. The contracts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terminate the contract, each party must provide notice in accordance with the time periods set forth in article L.124-1 of the Luxembourg Labour Code. In the event of the executive's termination by the Company for "cause,"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Labour Code upon certain terminations.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contracts also provide for a covenant to maintain our confidential information and to enter into an intellectual property agreement. In addition, the executive is bound by a non-solicitation covenant for a period of one (1) year following the termination of the contract. The agreements are governed in accordance with the laws of the Grand Duchy of Luxembourg.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for our named executive officers are established based on individual qualifications and job responsibilities while taking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levels at similarly situated companies for similar positions.</w:t>
      </w:r>
    </w:p>
    <w:p>
      <w:pPr>
        <w:spacing w:after="0" w:line="18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Base salaries of the named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The Compensation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Committee sets the base salary for the Chief Executive Officer and approves the base salaries for all other named executive officers.</w:t>
      </w:r>
    </w:p>
    <w:p>
      <w:pPr>
        <w:spacing w:after="0" w:line="225"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Additionally, under Luxembourg law, all salaries are required to be adapted based upon the cost of living index in the Grand Duchy of Luxembourg. On October 1, 2012, there was a required 2.5% increase in all salaries pursuant to this law. Our Chief Executive Officer and named executive officers' salaries were adjusted accordingly. Please see "Compensation Increases of Certain Officers" for a discussion of other salary increases for our named executive officers.</w:t>
      </w:r>
    </w:p>
    <w:p>
      <w:pPr>
        <w:spacing w:after="0" w:line="14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 xml:space="preserve">Annual Incentive Compensation. </w:t>
      </w:r>
      <w:r>
        <w:rPr>
          <w:rFonts w:ascii="Arial" w:cs="Arial" w:eastAsia="Arial" w:hAnsi="Arial"/>
          <w:sz w:val="18"/>
          <w:szCs w:val="18"/>
          <w:color w:val="auto"/>
        </w:rPr>
        <w:t>Pursuant to an annual incentive plan, a participant can earn cash, restricted stock and stock option awards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The plan provides the Compensation Committee and our management with the authority to establish incentive award guidelines which are further discussed below.</w:t>
      </w:r>
    </w:p>
    <w:p>
      <w:pPr>
        <w:spacing w:after="0" w:line="19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Each named executive officer has a targeted annual cash incentive award that is expressed as a percentage of his or her annual cash total target compensation. In 2012, 40-60% of total annual cash target compensation was payable only upon achievement of certain minimum Company and individual performance levels. The appropriate targeted percentage varies based upon the nature and scope of each named executive officer's responsibilities. The table below reflects the percentage of each named executive officer's target total annual cash compensation that was allocated to each of base salary and incentive compensation in 2012 and each named executive officer's actual total annual cash compensation that was allocated to each of base salary and incentive compensation in 2012:</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Incentive</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 %</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 %</w:t>
            </w:r>
          </w:p>
        </w:tc>
        <w:tc>
          <w:tcPr>
            <w:tcW w:w="18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Compensation %</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of Target Total</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of Target Total</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of Actual Total</w:t>
            </w:r>
          </w:p>
        </w:tc>
        <w:tc>
          <w:tcPr>
            <w:tcW w:w="18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Actual Total</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w:t>
            </w:r>
          </w:p>
        </w:tc>
        <w:tc>
          <w:tcPr>
            <w:tcW w:w="18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Annual Cash</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8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r>
      <w:tr>
        <w:trPr>
          <w:trHeight w:val="22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5"/>
              </w:rPr>
              <w:t>Name</w:t>
            </w:r>
          </w:p>
        </w:tc>
        <w:tc>
          <w:tcPr>
            <w:tcW w:w="146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2012</w:t>
            </w:r>
          </w:p>
        </w:tc>
        <w:tc>
          <w:tcPr>
            <w:tcW w:w="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2012</w:t>
            </w:r>
          </w:p>
        </w:tc>
        <w:tc>
          <w:tcPr>
            <w:tcW w:w="1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2012</w:t>
            </w:r>
          </w:p>
        </w:tc>
        <w:tc>
          <w:tcPr>
            <w:tcW w:w="18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2012</w:t>
            </w:r>
          </w:p>
        </w:tc>
        <w:tc>
          <w:tcPr>
            <w:tcW w:w="2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40%</w:t>
            </w:r>
          </w:p>
        </w:tc>
        <w:tc>
          <w:tcPr>
            <w:tcW w:w="17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31%</w:t>
            </w:r>
          </w:p>
        </w:tc>
        <w:tc>
          <w:tcPr>
            <w:tcW w:w="17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69%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Kevin J. Wilcox</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50%</w:t>
            </w:r>
          </w:p>
        </w:tc>
        <w:tc>
          <w:tcPr>
            <w:tcW w:w="1700" w:type="dxa"/>
            <w:vAlign w:val="bottom"/>
            <w:gridSpan w:val="2"/>
          </w:tcPr>
          <w:p>
            <w:pPr>
              <w:jc w:val="right"/>
              <w:ind w:right="472"/>
              <w:spacing w:after="0"/>
              <w:rPr>
                <w:sz w:val="20"/>
                <w:szCs w:val="20"/>
                <w:color w:val="auto"/>
              </w:rPr>
            </w:pPr>
            <w:r>
              <w:rPr>
                <w:rFonts w:ascii="Arial" w:cs="Arial" w:eastAsia="Arial" w:hAnsi="Arial"/>
                <w:sz w:val="18"/>
                <w:szCs w:val="18"/>
                <w:color w:val="auto"/>
              </w:rPr>
              <w:t>50%</w:t>
            </w:r>
          </w:p>
        </w:tc>
        <w:tc>
          <w:tcPr>
            <w:tcW w:w="154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41%</w:t>
            </w:r>
          </w:p>
        </w:tc>
        <w:tc>
          <w:tcPr>
            <w:tcW w:w="172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59%</w:t>
            </w:r>
          </w:p>
        </w:tc>
        <w:tc>
          <w:tcPr>
            <w:tcW w:w="2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Michelle D. Esterman</w:t>
            </w:r>
            <w:r>
              <w:rPr>
                <w:rFonts w:ascii="Arial" w:cs="Arial" w:eastAsia="Arial" w:hAnsi="Arial"/>
                <w:sz w:val="29"/>
                <w:szCs w:val="29"/>
                <w:color w:val="auto"/>
                <w:vertAlign w:val="superscript"/>
              </w:rPr>
              <w:t>(1)</w:t>
            </w:r>
          </w:p>
        </w:tc>
        <w:tc>
          <w:tcPr>
            <w:tcW w:w="1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60%</w:t>
            </w:r>
          </w:p>
        </w:tc>
        <w:tc>
          <w:tcPr>
            <w:tcW w:w="17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w:t>
            </w:r>
          </w:p>
        </w:tc>
        <w:tc>
          <w:tcPr>
            <w:tcW w:w="15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51%</w:t>
            </w:r>
          </w:p>
        </w:tc>
        <w:tc>
          <w:tcPr>
            <w:tcW w:w="17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49%</w:t>
            </w:r>
          </w:p>
        </w:tc>
        <w:tc>
          <w:tcPr>
            <w:tcW w:w="200" w:type="dxa"/>
            <w:vAlign w:val="bottom"/>
            <w:shd w:val="clear" w:color="auto" w:fill="CCEEFF"/>
          </w:tcPr>
          <w:p>
            <w:pPr>
              <w:spacing w:after="0"/>
              <w:rPr>
                <w:sz w:val="22"/>
                <w:szCs w:val="22"/>
                <w:color w:val="auto"/>
              </w:rPr>
            </w:pPr>
          </w:p>
        </w:tc>
      </w:tr>
      <w:tr>
        <w:trPr>
          <w:trHeight w:val="382"/>
        </w:trPr>
        <w:tc>
          <w:tcPr>
            <w:tcW w:w="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29"/>
                <w:szCs w:val="29"/>
                <w:color w:val="auto"/>
                <w:vertAlign w:val="superscript"/>
              </w:rPr>
              <w:t>(2)</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60%</w:t>
            </w:r>
          </w:p>
        </w:tc>
        <w:tc>
          <w:tcPr>
            <w:tcW w:w="1700" w:type="dxa"/>
            <w:vAlign w:val="bottom"/>
            <w:gridSpan w:val="2"/>
          </w:tcPr>
          <w:p>
            <w:pPr>
              <w:jc w:val="right"/>
              <w:ind w:right="472"/>
              <w:spacing w:after="0"/>
              <w:rPr>
                <w:sz w:val="20"/>
                <w:szCs w:val="20"/>
                <w:color w:val="auto"/>
              </w:rPr>
            </w:pPr>
            <w:r>
              <w:rPr>
                <w:rFonts w:ascii="Arial" w:cs="Arial" w:eastAsia="Arial" w:hAnsi="Arial"/>
                <w:sz w:val="18"/>
                <w:szCs w:val="18"/>
                <w:color w:val="auto"/>
              </w:rPr>
              <w:t>40%</w:t>
            </w:r>
          </w:p>
        </w:tc>
        <w:tc>
          <w:tcPr>
            <w:tcW w:w="154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100%</w:t>
            </w:r>
          </w:p>
        </w:tc>
        <w:tc>
          <w:tcPr>
            <w:tcW w:w="172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0%</w:t>
            </w:r>
          </w:p>
        </w:tc>
        <w:tc>
          <w:tcPr>
            <w:tcW w:w="200" w:type="dxa"/>
            <w:vAlign w:val="bottom"/>
          </w:tcPr>
          <w:p>
            <w:pPr>
              <w:spacing w:after="0"/>
              <w:rPr>
                <w:sz w:val="24"/>
                <w:szCs w:val="24"/>
                <w:color w:val="auto"/>
              </w:rPr>
            </w:pPr>
          </w:p>
        </w:tc>
      </w:tr>
    </w:tbl>
    <w:p>
      <w:pPr>
        <w:spacing w:after="0" w:line="83" w:lineRule="exact"/>
        <w:rPr>
          <w:sz w:val="20"/>
          <w:szCs w:val="20"/>
          <w:color w:val="auto"/>
        </w:rPr>
      </w:pPr>
    </w:p>
    <w:p>
      <w:pPr>
        <w:ind w:left="1680" w:right="380" w:hanging="531"/>
        <w:spacing w:after="0" w:line="194"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Ms. Esterman joined the Company as Chief Financial Officer effective March 12, 2012, and her incentive compensation for the 2012 fiscal year has been prorated from that date.</w:t>
      </w:r>
    </w:p>
    <w:p>
      <w:pPr>
        <w:spacing w:after="0" w:line="224" w:lineRule="exact"/>
        <w:rPr>
          <w:rFonts w:ascii="Arial" w:cs="Arial" w:eastAsia="Arial" w:hAnsi="Arial"/>
          <w:sz w:val="29"/>
          <w:szCs w:val="29"/>
          <w:color w:val="auto"/>
          <w:vertAlign w:val="superscript"/>
        </w:rPr>
      </w:pPr>
    </w:p>
    <w:p>
      <w:pPr>
        <w:ind w:left="1680" w:hanging="531"/>
        <w:spacing w:after="0" w:line="194"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Mr. Stiles resigned as Chief Financial Officer of the Company effective March 1, 2012 and did not receive any incentive compensation for the 2012 fiscal year.</w:t>
      </w:r>
    </w:p>
    <w:p>
      <w:pPr>
        <w:spacing w:after="0" w:line="21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2012, our corporate scorecard was approved by our Board of Directors at our Board of Directors meeting on March 9, 2012. Certain amendments to our corporate scorecard were approved by our Board of Directors at subsequent Board of Directors meetings.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Our corporate scorecard for 2012, as amended, and corresponding achievement levels are detailed below:</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2012 Corporate Scorecard Elements</w:t>
      </w: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1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6"/>
              </w:rPr>
              <w:t>Achievement Levels</w:t>
            </w:r>
          </w:p>
        </w:tc>
        <w:tc>
          <w:tcPr>
            <w:tcW w:w="13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Element</w:t>
            </w:r>
          </w:p>
        </w:tc>
        <w:tc>
          <w:tcPr>
            <w:tcW w:w="13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Threshold</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Target</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Level Achieved</w:t>
            </w:r>
          </w:p>
        </w:tc>
      </w:tr>
      <w:tr>
        <w:trPr>
          <w:trHeight w:val="201"/>
        </w:trPr>
        <w:tc>
          <w:tcPr>
            <w:tcW w:w="314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87"/>
              </w:rPr>
              <w:t>Achieve Service Revenue Target</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3"/>
              </w:rPr>
              <w:t>$344.4 million</w:t>
            </w:r>
          </w:p>
        </w:tc>
        <w:tc>
          <w:tcPr>
            <w:tcW w:w="180" w:type="dxa"/>
            <w:vAlign w:val="bottom"/>
          </w:tcPr>
          <w:p>
            <w:pPr>
              <w:spacing w:after="0"/>
              <w:rPr>
                <w:sz w:val="17"/>
                <w:szCs w:val="17"/>
                <w:color w:val="auto"/>
              </w:rPr>
            </w:pPr>
          </w:p>
        </w:tc>
        <w:tc>
          <w:tcPr>
            <w:tcW w:w="15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$405.1 million</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3"/>
              </w:rPr>
              <w:t>$465.9 million</w:t>
            </w:r>
          </w:p>
        </w:tc>
        <w:tc>
          <w:tcPr>
            <w:tcW w:w="18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3"/>
              </w:rPr>
              <w:t>$466.9 million -</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Outstanding</w:t>
            </w:r>
          </w:p>
        </w:tc>
      </w:tr>
      <w:tr>
        <w:trPr>
          <w:trHeight w:val="453"/>
        </w:trPr>
        <w:tc>
          <w:tcPr>
            <w:tcW w:w="314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Achieve EPS Target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$3.81 diluted EPS</w:t>
            </w:r>
          </w:p>
        </w:tc>
        <w:tc>
          <w:tcPr>
            <w:tcW w:w="18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$4.12 diluted EPS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$4.43 diluted</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$4.43 diluted EPS -</w:t>
            </w:r>
          </w:p>
        </w:tc>
      </w:tr>
      <w:tr>
        <w:trPr>
          <w:trHeight w:val="38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0"/>
              </w:rPr>
              <w:t>EPS</w:t>
            </w:r>
            <w:r>
              <w:rPr>
                <w:rFonts w:ascii="Arial" w:cs="Arial" w:eastAsia="Arial" w:hAnsi="Arial"/>
                <w:sz w:val="29"/>
                <w:szCs w:val="29"/>
                <w:color w:val="auto"/>
                <w:w w:val="80"/>
                <w:vertAlign w:val="superscript"/>
              </w:rPr>
              <w:t>(1)</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Outstanding</w:t>
            </w:r>
          </w:p>
        </w:tc>
      </w:tr>
      <w:tr>
        <w:trPr>
          <w:trHeight w:val="333"/>
        </w:trPr>
        <w:tc>
          <w:tcPr>
            <w:tcW w:w="314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Successfully complete the key strategic</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18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See Strategic</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r>
      <w:tr>
        <w:trPr>
          <w:trHeight w:val="222"/>
        </w:trPr>
        <w:tc>
          <w:tcPr>
            <w:tcW w:w="3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initiatives of the Company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Initiatives below</w:t>
            </w:r>
          </w:p>
        </w:tc>
        <w:tc>
          <w:tcPr>
            <w:tcW w:w="180" w:type="dxa"/>
            <w:vAlign w:val="bottom"/>
          </w:tcPr>
          <w:p>
            <w:pPr>
              <w:spacing w:after="0"/>
              <w:rPr>
                <w:sz w:val="19"/>
                <w:szCs w:val="19"/>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Initiatives below</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Initiatives below</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Initiatives below</w:t>
            </w:r>
          </w:p>
        </w:tc>
      </w:tr>
    </w:tbl>
    <w:p>
      <w:pPr>
        <w:spacing w:after="0" w:line="234" w:lineRule="exact"/>
        <w:rPr>
          <w:sz w:val="20"/>
          <w:szCs w:val="20"/>
          <w:color w:val="auto"/>
        </w:rPr>
      </w:pPr>
    </w:p>
    <w:p>
      <w:pPr>
        <w:ind w:left="1140" w:firstLine="9"/>
        <w:spacing w:after="0" w:line="219" w:lineRule="auto"/>
        <w:tabs>
          <w:tab w:leader="none" w:pos="1331"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At our Board of Directors meeting on February 12, 2013, the Board of Directors approved an amendment to the 2012 executive scorecards whereby the Outstanding achievement level was amended. The amendment was designed to adjust for (a) unbudgeted interest expense associated with the Company's $200 million senior secured term loan and (b) higher-than budgeted expenses associated with the rental property management business and the spin-offs of AAMC and Residential. In making its determination, the Board of Directors considered that service revenue, market capitalization and diluted EPS grew by 39%, 73% and 60% respectively in 2012 over 2011 and that the Company accomplished certain significant strategic initiatives in 2012 that we believe positions the Company to achieve sustained long-term growth.</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866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86"/>
              </w:rPr>
              <w:t>Levels of Achievement</w:t>
            </w: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42"/>
        </w:trPr>
        <w:tc>
          <w:tcPr>
            <w:tcW w:w="260" w:type="dxa"/>
            <w:vAlign w:val="bottom"/>
            <w:vMerge w:val="restart"/>
          </w:tcPr>
          <w:p>
            <w:pPr>
              <w:jc w:val="right"/>
              <w:ind w:right="72"/>
              <w:spacing w:after="0"/>
              <w:rPr>
                <w:sz w:val="20"/>
                <w:szCs w:val="20"/>
                <w:color w:val="auto"/>
              </w:rPr>
            </w:pPr>
            <w:r>
              <w:rPr>
                <w:rFonts w:ascii="Arial" w:cs="Arial" w:eastAsia="Arial" w:hAnsi="Arial"/>
                <w:sz w:val="14"/>
                <w:szCs w:val="14"/>
                <w:color w:val="auto"/>
                <w:w w:val="85"/>
              </w:rPr>
              <w:t>1.</w:t>
            </w:r>
          </w:p>
        </w:tc>
        <w:tc>
          <w:tcPr>
            <w:tcW w:w="1060" w:type="dxa"/>
            <w:vAlign w:val="bottom"/>
            <w:vMerge w:val="restart"/>
          </w:tcPr>
          <w:p>
            <w:pPr>
              <w:ind w:left="140"/>
              <w:spacing w:after="0"/>
              <w:rPr>
                <w:sz w:val="20"/>
                <w:szCs w:val="20"/>
                <w:color w:val="auto"/>
              </w:rPr>
            </w:pPr>
            <w:r>
              <w:rPr>
                <w:rFonts w:ascii="Arial" w:cs="Arial" w:eastAsia="Arial" w:hAnsi="Arial"/>
                <w:sz w:val="14"/>
                <w:szCs w:val="14"/>
                <w:color w:val="auto"/>
              </w:rPr>
              <w:t>Improve REO</w:t>
            </w:r>
          </w:p>
        </w:tc>
        <w:tc>
          <w:tcPr>
            <w:tcW w:w="2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Element</w:t>
            </w:r>
          </w:p>
        </w:tc>
        <w:tc>
          <w:tcPr>
            <w:tcW w:w="1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Threshold</w:t>
            </w:r>
          </w:p>
        </w:tc>
        <w:tc>
          <w:tcPr>
            <w:tcW w:w="1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131"/>
        </w:trPr>
        <w:tc>
          <w:tcPr>
            <w:tcW w:w="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5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0"/>
              </w:rPr>
              <w:t>timelines</w:t>
            </w:r>
          </w:p>
        </w:tc>
        <w:tc>
          <w:tcPr>
            <w:tcW w:w="1480" w:type="dxa"/>
            <w:vAlign w:val="bottom"/>
          </w:tcPr>
          <w:p>
            <w:pPr>
              <w:spacing w:after="0"/>
              <w:rPr>
                <w:sz w:val="11"/>
                <w:szCs w:val="11"/>
                <w:color w:val="auto"/>
              </w:rPr>
            </w:pPr>
          </w:p>
        </w:tc>
        <w:tc>
          <w:tcPr>
            <w:tcW w:w="15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11"/>
                <w:szCs w:val="11"/>
                <w:color w:val="auto"/>
              </w:rPr>
            </w:pPr>
          </w:p>
        </w:tc>
        <w:tc>
          <w:tcPr>
            <w:tcW w:w="1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Achieve</w:t>
            </w:r>
          </w:p>
        </w:tc>
        <w:tc>
          <w:tcPr>
            <w:tcW w:w="180" w:type="dxa"/>
            <w:vAlign w:val="bottom"/>
          </w:tcPr>
          <w:p>
            <w:pPr>
              <w:spacing w:after="0"/>
              <w:rPr>
                <w:sz w:val="11"/>
                <w:szCs w:val="11"/>
                <w:color w:val="auto"/>
              </w:rPr>
            </w:pP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threshold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target</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outstanding</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level timelines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level timelines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0"/>
              </w:rPr>
              <w:t>level timelines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260" w:type="dxa"/>
            <w:vAlign w:val="bottom"/>
          </w:tcPr>
          <w:p>
            <w:pPr>
              <w:jc w:val="right"/>
              <w:ind w:right="72"/>
              <w:spacing w:after="0"/>
              <w:rPr>
                <w:sz w:val="20"/>
                <w:szCs w:val="20"/>
                <w:color w:val="auto"/>
              </w:rPr>
            </w:pPr>
            <w:r>
              <w:rPr>
                <w:rFonts w:ascii="Arial" w:cs="Arial" w:eastAsia="Arial" w:hAnsi="Arial"/>
                <w:sz w:val="14"/>
                <w:szCs w:val="14"/>
                <w:color w:val="auto"/>
                <w:w w:val="85"/>
              </w:rPr>
              <w:t>2.</w:t>
            </w: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Enhance recruiting, training and business unit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5% improvement in</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10% improvement in</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15% improvement in</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5"/>
              </w:rPr>
              <w:t>floor transition processes to increase pull through</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2"/>
              </w:rPr>
              <w:t>pull through</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0"/>
              </w:rPr>
              <w:t>pull through</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pull through</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and improve retention and performance</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260" w:type="dxa"/>
            <w:vAlign w:val="bottom"/>
          </w:tcPr>
          <w:p>
            <w:pPr>
              <w:jc w:val="right"/>
              <w:ind w:right="72"/>
              <w:spacing w:after="0"/>
              <w:rPr>
                <w:sz w:val="20"/>
                <w:szCs w:val="20"/>
                <w:color w:val="auto"/>
              </w:rPr>
            </w:pPr>
            <w:r>
              <w:rPr>
                <w:rFonts w:ascii="Arial" w:cs="Arial" w:eastAsia="Arial" w:hAnsi="Arial"/>
                <w:sz w:val="14"/>
                <w:szCs w:val="14"/>
                <w:color w:val="auto"/>
                <w:w w:val="85"/>
              </w:rPr>
              <w:t>3.</w:t>
            </w: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w w:val="95"/>
              </w:rPr>
              <w:t>Enhance quality of business product and process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for respective business department(s)</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threshold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target</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outstanding</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quality level</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quality level</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quality level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260" w:type="dxa"/>
            <w:vAlign w:val="bottom"/>
          </w:tcPr>
          <w:p>
            <w:pPr>
              <w:jc w:val="right"/>
              <w:ind w:right="72"/>
              <w:spacing w:after="0"/>
              <w:rPr>
                <w:sz w:val="20"/>
                <w:szCs w:val="20"/>
                <w:color w:val="auto"/>
              </w:rPr>
            </w:pPr>
            <w:r>
              <w:rPr>
                <w:rFonts w:ascii="Arial" w:cs="Arial" w:eastAsia="Arial" w:hAnsi="Arial"/>
                <w:sz w:val="14"/>
                <w:szCs w:val="14"/>
                <w:color w:val="auto"/>
                <w:w w:val="85"/>
              </w:rPr>
              <w:t>4.</w:t>
            </w: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Launch rental property management business</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Board of Directors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260" w:type="dxa"/>
            <w:vAlign w:val="bottom"/>
          </w:tcPr>
          <w:p>
            <w:pPr>
              <w:jc w:val="right"/>
              <w:ind w:right="72"/>
              <w:spacing w:after="0"/>
              <w:rPr>
                <w:sz w:val="20"/>
                <w:szCs w:val="20"/>
                <w:color w:val="auto"/>
              </w:rPr>
            </w:pPr>
            <w:r>
              <w:rPr>
                <w:rFonts w:ascii="Arial" w:cs="Arial" w:eastAsia="Arial" w:hAnsi="Arial"/>
                <w:sz w:val="14"/>
                <w:szCs w:val="14"/>
                <w:color w:val="auto"/>
                <w:w w:val="85"/>
              </w:rPr>
              <w:t>5.</w:t>
            </w: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w w:val="99"/>
              </w:rPr>
              <w:t>Create and implement an efficient legal and tax</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structure for the rental business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Board of Directors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jc w:val="center"/>
        <w:ind w:right="-239"/>
        <w:spacing w:after="0"/>
        <w:rPr>
          <w:sz w:val="20"/>
          <w:szCs w:val="20"/>
          <w:color w:val="auto"/>
        </w:rPr>
      </w:pPr>
      <w:r>
        <w:rPr>
          <w:rFonts w:ascii="Arial" w:cs="Arial" w:eastAsia="Arial" w:hAnsi="Arial"/>
          <w:sz w:val="14"/>
          <w:szCs w:val="14"/>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866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86"/>
              </w:rPr>
              <w:t>Levels of Achievement</w:t>
            </w: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Element</w:t>
            </w:r>
          </w:p>
        </w:tc>
        <w:tc>
          <w:tcPr>
            <w:tcW w:w="1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Threshold</w:t>
            </w:r>
          </w:p>
        </w:tc>
        <w:tc>
          <w:tcPr>
            <w:tcW w:w="1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Achieved</w:t>
            </w:r>
          </w:p>
        </w:tc>
      </w:tr>
      <w:tr>
        <w:trPr>
          <w:trHeight w:val="131"/>
        </w:trPr>
        <w:tc>
          <w:tcPr>
            <w:tcW w:w="280" w:type="dxa"/>
            <w:vAlign w:val="bottom"/>
            <w:gridSpan w:val="2"/>
          </w:tcPr>
          <w:p>
            <w:pPr>
              <w:spacing w:after="0" w:line="131" w:lineRule="exact"/>
              <w:rPr>
                <w:sz w:val="20"/>
                <w:szCs w:val="20"/>
                <w:color w:val="auto"/>
              </w:rPr>
            </w:pPr>
            <w:r>
              <w:rPr>
                <w:rFonts w:ascii="Arial" w:cs="Arial" w:eastAsia="Arial" w:hAnsi="Arial"/>
                <w:sz w:val="14"/>
                <w:szCs w:val="14"/>
                <w:color w:val="auto"/>
              </w:rPr>
              <w:t>6.</w:t>
            </w:r>
          </w:p>
        </w:tc>
        <w:tc>
          <w:tcPr>
            <w:tcW w:w="1100" w:type="dxa"/>
            <w:vAlign w:val="bottom"/>
          </w:tcPr>
          <w:p>
            <w:pPr>
              <w:ind w:left="120"/>
              <w:spacing w:after="0" w:line="131" w:lineRule="exact"/>
              <w:rPr>
                <w:sz w:val="20"/>
                <w:szCs w:val="20"/>
                <w:color w:val="auto"/>
              </w:rPr>
            </w:pPr>
            <w:r>
              <w:rPr>
                <w:rFonts w:ascii="Arial" w:cs="Arial" w:eastAsia="Arial" w:hAnsi="Arial"/>
                <w:sz w:val="14"/>
                <w:szCs w:val="14"/>
                <w:color w:val="auto"/>
                <w:w w:val="77"/>
              </w:rPr>
              <w:t>Improve foreclosure</w:t>
            </w:r>
          </w:p>
        </w:tc>
        <w:tc>
          <w:tcPr>
            <w:tcW w:w="520" w:type="dxa"/>
            <w:vAlign w:val="bottom"/>
            <w:tcBorders>
              <w:top w:val="single" w:sz="8" w:color="auto"/>
            </w:tcBorders>
            <w:gridSpan w:val="2"/>
          </w:tcPr>
          <w:p>
            <w:pPr>
              <w:ind w:left="160"/>
              <w:spacing w:after="0" w:line="132" w:lineRule="exact"/>
              <w:rPr>
                <w:sz w:val="20"/>
                <w:szCs w:val="20"/>
                <w:color w:val="auto"/>
              </w:rPr>
            </w:pPr>
            <w:r>
              <w:rPr>
                <w:rFonts w:ascii="Arial" w:cs="Arial" w:eastAsia="Arial" w:hAnsi="Arial"/>
                <w:sz w:val="12"/>
                <w:szCs w:val="12"/>
                <w:color w:val="auto"/>
                <w:w w:val="80"/>
              </w:rPr>
              <w:t>process</w:t>
            </w:r>
          </w:p>
        </w:tc>
        <w:tc>
          <w:tcPr>
            <w:tcW w:w="1540" w:type="dxa"/>
            <w:vAlign w:val="bottom"/>
          </w:tcPr>
          <w:p>
            <w:pPr>
              <w:ind w:left="80"/>
              <w:spacing w:after="0" w:line="131" w:lineRule="exact"/>
              <w:rPr>
                <w:sz w:val="20"/>
                <w:szCs w:val="20"/>
                <w:color w:val="auto"/>
              </w:rPr>
            </w:pPr>
            <w:r>
              <w:rPr>
                <w:rFonts w:ascii="Arial" w:cs="Arial" w:eastAsia="Arial" w:hAnsi="Arial"/>
                <w:sz w:val="14"/>
                <w:szCs w:val="14"/>
                <w:color w:val="auto"/>
              </w:rPr>
              <w:t>and maintain quality</w:t>
            </w:r>
          </w:p>
        </w:tc>
        <w:tc>
          <w:tcPr>
            <w:tcW w:w="15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11"/>
                <w:szCs w:val="11"/>
                <w:color w:val="auto"/>
              </w:rPr>
            </w:pPr>
          </w:p>
        </w:tc>
        <w:tc>
          <w:tcPr>
            <w:tcW w:w="1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Achieve</w:t>
            </w:r>
          </w:p>
        </w:tc>
        <w:tc>
          <w:tcPr>
            <w:tcW w:w="1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0"/>
              </w:rPr>
              <w:t>Above</w:t>
            </w: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jc w:val="center"/>
              <w:spacing w:after="0" w:line="144" w:lineRule="exact"/>
              <w:rPr>
                <w:sz w:val="20"/>
                <w:szCs w:val="20"/>
                <w:color w:val="auto"/>
              </w:rPr>
            </w:pPr>
            <w:r>
              <w:rPr>
                <w:rFonts w:ascii="Arial" w:cs="Arial" w:eastAsia="Arial" w:hAnsi="Arial"/>
                <w:sz w:val="14"/>
                <w:szCs w:val="14"/>
                <w:color w:val="auto"/>
                <w:w w:val="86"/>
              </w:rPr>
              <w:t>predetermined threshold</w:t>
            </w:r>
          </w:p>
        </w:tc>
        <w:tc>
          <w:tcPr>
            <w:tcW w:w="16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Arial" w:cs="Arial" w:eastAsia="Arial" w:hAnsi="Arial"/>
                <w:sz w:val="14"/>
                <w:szCs w:val="14"/>
                <w:color w:val="auto"/>
                <w:w w:val="86"/>
              </w:rPr>
              <w:t>predetermined target</w:t>
            </w:r>
          </w:p>
        </w:tc>
        <w:tc>
          <w:tcPr>
            <w:tcW w:w="16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4"/>
                <w:szCs w:val="14"/>
                <w:color w:val="auto"/>
                <w:w w:val="86"/>
              </w:rPr>
              <w:t>predetermined outstanding</w:t>
            </w:r>
          </w:p>
        </w:tc>
        <w:tc>
          <w:tcPr>
            <w:tcW w:w="18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4"/>
                <w:szCs w:val="14"/>
                <w:color w:val="auto"/>
                <w:w w:val="85"/>
              </w:rPr>
              <w:t>Target at</w:t>
            </w:r>
          </w:p>
        </w:tc>
      </w:tr>
      <w:tr>
        <w:trPr>
          <w:trHeight w:val="164"/>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level of performance</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level of performance</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level of performance</w:t>
            </w:r>
          </w:p>
        </w:tc>
        <w:tc>
          <w:tcPr>
            <w:tcW w:w="840" w:type="dxa"/>
            <w:vAlign w:val="bottom"/>
            <w:gridSpan w:val="2"/>
          </w:tcPr>
          <w:p>
            <w:pPr>
              <w:jc w:val="center"/>
              <w:ind w:left="74"/>
              <w:spacing w:after="0" w:line="164" w:lineRule="exact"/>
              <w:rPr>
                <w:sz w:val="20"/>
                <w:szCs w:val="20"/>
                <w:color w:val="auto"/>
              </w:rPr>
            </w:pPr>
            <w:r>
              <w:rPr>
                <w:rFonts w:ascii="Arial" w:cs="Arial" w:eastAsia="Arial" w:hAnsi="Arial"/>
                <w:sz w:val="12"/>
                <w:szCs w:val="12"/>
                <w:color w:val="auto"/>
                <w:w w:val="96"/>
              </w:rPr>
              <w:t>137.5%</w:t>
            </w:r>
            <w:r>
              <w:rPr>
                <w:rFonts w:ascii="Arial" w:cs="Arial" w:eastAsia="Arial" w:hAnsi="Arial"/>
                <w:sz w:val="19"/>
                <w:szCs w:val="19"/>
                <w:color w:val="auto"/>
                <w:w w:val="96"/>
                <w:vertAlign w:val="superscript"/>
              </w:rPr>
              <w:t>(1)</w:t>
            </w:r>
          </w:p>
        </w:tc>
      </w:tr>
      <w:tr>
        <w:trPr>
          <w:trHeight w:val="138"/>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83"/>
              </w:rPr>
              <w:t>standards and</w:t>
            </w:r>
          </w:p>
        </w:tc>
        <w:tc>
          <w:tcPr>
            <w:tcW w:w="160" w:type="dxa"/>
            <w:vAlign w:val="bottom"/>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Arial" w:cs="Arial" w:eastAsia="Arial" w:hAnsi="Arial"/>
                <w:sz w:val="14"/>
                <w:szCs w:val="14"/>
                <w:color w:val="auto"/>
                <w:w w:val="83"/>
              </w:rPr>
              <w:t>standards and</w:t>
            </w:r>
          </w:p>
        </w:tc>
        <w:tc>
          <w:tcPr>
            <w:tcW w:w="160" w:type="dxa"/>
            <w:vAlign w:val="bottom"/>
          </w:tcPr>
          <w:p>
            <w:pPr>
              <w:spacing w:after="0"/>
              <w:rPr>
                <w:sz w:val="11"/>
                <w:szCs w:val="11"/>
                <w:color w:val="auto"/>
              </w:rPr>
            </w:pPr>
          </w:p>
        </w:tc>
        <w:tc>
          <w:tcPr>
            <w:tcW w:w="1640" w:type="dxa"/>
            <w:vAlign w:val="bottom"/>
          </w:tcPr>
          <w:p>
            <w:pPr>
              <w:jc w:val="center"/>
              <w:spacing w:after="0" w:line="138" w:lineRule="exact"/>
              <w:rPr>
                <w:sz w:val="20"/>
                <w:szCs w:val="20"/>
                <w:color w:val="auto"/>
              </w:rPr>
            </w:pPr>
            <w:r>
              <w:rPr>
                <w:rFonts w:ascii="Arial" w:cs="Arial" w:eastAsia="Arial" w:hAnsi="Arial"/>
                <w:sz w:val="14"/>
                <w:szCs w:val="14"/>
                <w:color w:val="auto"/>
                <w:w w:val="83"/>
              </w:rPr>
              <w:t>standards and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quality levels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quality levels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quality levels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7.</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Deliver NextGen REAL Suite applications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3"/>
              </w:rPr>
              <w:t>Target</w:t>
            </w: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threshold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target</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outstanding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8.</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Enhance legacy REAL Suite application</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Threshold</w:t>
            </w: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threshold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target</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outstanding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9.</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Maintain business unit level compliance with</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840" w:type="dxa"/>
            <w:vAlign w:val="bottom"/>
            <w:gridSpan w:val="2"/>
          </w:tcPr>
          <w:p>
            <w:pPr>
              <w:jc w:val="center"/>
              <w:ind w:left="74"/>
              <w:spacing w:after="0"/>
              <w:rPr>
                <w:sz w:val="20"/>
                <w:szCs w:val="20"/>
                <w:color w:val="auto"/>
              </w:rPr>
            </w:pPr>
            <w:r>
              <w:rPr>
                <w:rFonts w:ascii="Arial" w:cs="Arial" w:eastAsia="Arial" w:hAnsi="Arial"/>
                <w:sz w:val="14"/>
                <w:szCs w:val="14"/>
                <w:color w:val="auto"/>
                <w:w w:val="87"/>
              </w:rPr>
              <w:t>Outstanding</w:t>
            </w: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regulatory requirements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10.</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w w:val="97"/>
              </w:rPr>
              <w:t>Improve effectiveness and efficiency of origination</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840" w:type="dxa"/>
            <w:vAlign w:val="bottom"/>
            <w:gridSpan w:val="2"/>
          </w:tcPr>
          <w:p>
            <w:pPr>
              <w:jc w:val="center"/>
              <w:ind w:left="74"/>
              <w:spacing w:after="0"/>
              <w:rPr>
                <w:sz w:val="20"/>
                <w:szCs w:val="20"/>
                <w:color w:val="auto"/>
              </w:rPr>
            </w:pPr>
            <w:r>
              <w:rPr>
                <w:rFonts w:ascii="Arial" w:cs="Arial" w:eastAsia="Arial" w:hAnsi="Arial"/>
                <w:sz w:val="14"/>
                <w:szCs w:val="14"/>
                <w:color w:val="auto"/>
                <w:w w:val="87"/>
              </w:rPr>
              <w:t>Outstanding</w:t>
            </w: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management services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11.</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Effectively implement a capacity management</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3"/>
              </w:rPr>
              <w:t>Target</w:t>
            </w: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strategy</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12.</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Hire key positions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Hire 15 of the 21</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Hire 17 of the 21</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Hire 19 of the 21</w:t>
            </w: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3"/>
              </w:rPr>
              <w:t>Target</w:t>
            </w: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9"/>
              </w:rPr>
              <w:t>positions by</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9"/>
              </w:rPr>
              <w:t>positions by</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positions by</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5"/>
              </w:rPr>
              <w:t>January 31, 2013</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5"/>
              </w:rPr>
              <w:t>January 31, 2013</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5"/>
              </w:rPr>
              <w:t>January 31, 2013</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13.</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w w:val="97"/>
              </w:rPr>
              <w:t>Implement workforce and workplace management</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3"/>
              </w:rPr>
              <w:t>Target</w:t>
            </w: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tool</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14.</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w w:val="97"/>
              </w:rPr>
              <w:t>Establish a rolling thirteen month forecast process</w:t>
            </w:r>
          </w:p>
        </w:tc>
        <w:tc>
          <w:tcPr>
            <w:tcW w:w="150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Achieve</w:t>
            </w:r>
          </w:p>
        </w:tc>
        <w:tc>
          <w:tcPr>
            <w:tcW w:w="840" w:type="dxa"/>
            <w:vAlign w:val="bottom"/>
            <w:gridSpan w:val="2"/>
          </w:tcPr>
          <w:p>
            <w:pPr>
              <w:jc w:val="center"/>
              <w:ind w:left="74"/>
              <w:spacing w:after="0"/>
              <w:rPr>
                <w:sz w:val="20"/>
                <w:szCs w:val="20"/>
                <w:color w:val="auto"/>
              </w:rPr>
            </w:pPr>
            <w:r>
              <w:rPr>
                <w:rFonts w:ascii="Arial" w:cs="Arial" w:eastAsia="Arial" w:hAnsi="Arial"/>
                <w:sz w:val="14"/>
                <w:szCs w:val="14"/>
                <w:color w:val="auto"/>
                <w:w w:val="87"/>
              </w:rPr>
              <w:t>Outstanding</w:t>
            </w: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and develop a 3-year annual forecast</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threshold</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target</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predetermined outstanding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levels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15.</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Complete build out and funding of NewSource</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840" w:type="dxa"/>
            <w:vAlign w:val="bottom"/>
            <w:gridSpan w:val="2"/>
          </w:tcPr>
          <w:p>
            <w:pPr>
              <w:jc w:val="center"/>
              <w:ind w:left="74"/>
              <w:spacing w:after="0"/>
              <w:rPr>
                <w:sz w:val="20"/>
                <w:szCs w:val="20"/>
                <w:color w:val="auto"/>
              </w:rPr>
            </w:pPr>
            <w:r>
              <w:rPr>
                <w:rFonts w:ascii="Arial" w:cs="Arial" w:eastAsia="Arial" w:hAnsi="Arial"/>
                <w:sz w:val="14"/>
                <w:szCs w:val="14"/>
                <w:color w:val="auto"/>
                <w:w w:val="87"/>
              </w:rPr>
              <w:t>Outstanding</w:t>
            </w: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94"/>
              </w:rPr>
              <w:t>Reinsurance Co. and establish direct title insurance</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in the U.S. and reinsurance to NewSource</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80" w:type="dxa"/>
            <w:vAlign w:val="bottom"/>
            <w:gridSpan w:val="2"/>
          </w:tcPr>
          <w:p>
            <w:pPr>
              <w:spacing w:after="0"/>
              <w:rPr>
                <w:sz w:val="20"/>
                <w:szCs w:val="20"/>
                <w:color w:val="auto"/>
              </w:rPr>
            </w:pPr>
            <w:r>
              <w:rPr>
                <w:rFonts w:ascii="Arial" w:cs="Arial" w:eastAsia="Arial" w:hAnsi="Arial"/>
                <w:sz w:val="14"/>
                <w:szCs w:val="14"/>
                <w:color w:val="auto"/>
              </w:rPr>
              <w:t>16.</w:t>
            </w: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Develop additional mortgage related insurance</w:t>
            </w:r>
          </w:p>
        </w:tc>
        <w:tc>
          <w:tcPr>
            <w:tcW w:w="150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As determined by the</w:t>
            </w: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6"/>
              </w:rPr>
              <w:t>Threshold</w:t>
            </w: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products and services through data and market</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88"/>
              </w:rPr>
              <w:t>Board of Directors</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8"/>
              </w:rPr>
              <w:t>Board of Directors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analytics</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95"/>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6"/>
        </w:numPr>
        <w:rPr>
          <w:rFonts w:ascii="Arial" w:cs="Arial" w:eastAsia="Arial" w:hAnsi="Arial"/>
          <w:sz w:val="11"/>
          <w:szCs w:val="11"/>
          <w:color w:val="auto"/>
        </w:rPr>
      </w:pPr>
      <w:r>
        <w:rPr>
          <w:rFonts w:ascii="Arial" w:cs="Arial" w:eastAsia="Arial" w:hAnsi="Arial"/>
          <w:sz w:val="14"/>
          <w:szCs w:val="14"/>
          <w:color w:val="auto"/>
        </w:rPr>
        <w:t>Three out of four metrics achieved at Outstanding and one at Target.</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scorecard (80%) (of which 50% or more is weighted on Corporate Financial Objectives), and (ii) a performance appraisal (20%).</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reviewed with senior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The 2012 personal scorecards for our Chief Executive Officer and other named executive officers and their corresponding levels of achievement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Michelle D. Esterman</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2012 Scorecard</w:t>
            </w:r>
          </w:p>
        </w:tc>
        <w:tc>
          <w:tcPr>
            <w:tcW w:w="1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Levels of Achievement</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r>
      <w:tr>
        <w:trPr>
          <w:trHeight w:val="142"/>
        </w:trPr>
        <w:tc>
          <w:tcPr>
            <w:tcW w:w="4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2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Elements</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Threshold</w:t>
            </w:r>
          </w:p>
        </w:tc>
        <w:tc>
          <w:tcPr>
            <w:tcW w:w="1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Achieved</w:t>
            </w:r>
          </w:p>
        </w:tc>
      </w:tr>
      <w:tr>
        <w:trPr>
          <w:trHeight w:val="216"/>
        </w:trPr>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Achieve Service Revenue Target</w:t>
            </w:r>
          </w:p>
        </w:tc>
        <w:tc>
          <w:tcPr>
            <w:tcW w:w="16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$344.4 million</w:t>
            </w:r>
          </w:p>
        </w:tc>
        <w:tc>
          <w:tcPr>
            <w:tcW w:w="1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$405.1 million</w:t>
            </w:r>
          </w:p>
        </w:tc>
        <w:tc>
          <w:tcPr>
            <w:tcW w:w="1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$465.9 million</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$466.9 million</w:t>
            </w:r>
          </w:p>
        </w:tc>
      </w:tr>
      <w:tr>
        <w:trPr>
          <w:trHeight w:val="444"/>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Achieve EPS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$3.81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$4.12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$4.43 diluted EPS</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$4.43 diluted</w:t>
            </w:r>
          </w:p>
        </w:tc>
      </w:tr>
      <w:tr>
        <w:trPr>
          <w:trHeight w:val="222"/>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r>
      <w:tr>
        <w:trPr>
          <w:trHeight w:val="453"/>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Successfully complete the key strategic</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Achievement</w:t>
            </w:r>
          </w:p>
        </w:tc>
      </w:tr>
      <w:tr>
        <w:trPr>
          <w:trHeight w:val="216"/>
        </w:trPr>
        <w:tc>
          <w:tcPr>
            <w:tcW w:w="42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initiatives of the Company</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Average of 60%</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Average of 80%</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Average of 100%</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of 150%</w:t>
            </w: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for Strategic</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for Strategic</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for Strategic</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1,4,5,6,7,8,9,</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1,4,5,6,7,8,9,</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1,4,5,6,7,8,9,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12,14,15,16</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12,14,15,16</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12,14,15,16</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59"/>
        </w:trPr>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Achieve Service Revenue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$344.4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$405.1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$465.9 million</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$466.9 million</w:t>
            </w:r>
          </w:p>
        </w:tc>
      </w:tr>
      <w:tr>
        <w:trPr>
          <w:trHeight w:val="453"/>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Achieve EPS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$3.81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$4.12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$4.43 diluted EPS</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$4.43 diluted</w:t>
            </w:r>
          </w:p>
        </w:tc>
      </w:tr>
      <w:tr>
        <w:trPr>
          <w:trHeight w:val="222"/>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r>
      <w:tr>
        <w:trPr>
          <w:trHeight w:val="453"/>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Successfully complete the key strategic</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Weighted</w:t>
            </w:r>
          </w:p>
        </w:tc>
      </w:tr>
      <w:tr>
        <w:trPr>
          <w:trHeight w:val="216"/>
        </w:trPr>
        <w:tc>
          <w:tcPr>
            <w:tcW w:w="42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initiatives of the Company</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2,3,5,9,10,11,12</w:t>
            </w:r>
          </w:p>
        </w:tc>
        <w:tc>
          <w:tcPr>
            <w:tcW w:w="15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2,3,5,9,10,11,12</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2,3,5,9,10,11,12</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Achievement</w:t>
            </w:r>
          </w:p>
        </w:tc>
      </w:tr>
      <w:tr>
        <w:trPr>
          <w:trHeight w:val="222"/>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of 130%</w:t>
            </w:r>
          </w:p>
        </w:tc>
      </w:tr>
      <w:tr>
        <w:trPr>
          <w:trHeight w:val="459"/>
        </w:trPr>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w w:val="92"/>
              </w:rPr>
              <w:t>Achieve Corporate Service Revenue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$344.4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$405.1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$465.9 million</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$466.9 million</w:t>
            </w:r>
          </w:p>
        </w:tc>
      </w:tr>
      <w:tr>
        <w:trPr>
          <w:trHeight w:val="453"/>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Achieve EPS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$3.81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$4.12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$4.43 diluted EPS</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$4.43 diluted</w:t>
            </w:r>
          </w:p>
        </w:tc>
      </w:tr>
      <w:tr>
        <w:trPr>
          <w:trHeight w:val="222"/>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r>
      <w:tr>
        <w:trPr>
          <w:trHeight w:val="453"/>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Successfully complete the key strategic</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Weighted</w:t>
            </w:r>
          </w:p>
        </w:tc>
      </w:tr>
      <w:tr>
        <w:trPr>
          <w:trHeight w:val="216"/>
        </w:trPr>
        <w:tc>
          <w:tcPr>
            <w:tcW w:w="420" w:type="dxa"/>
            <w:vAlign w:val="bottom"/>
          </w:tcPr>
          <w:p>
            <w:pPr>
              <w:spacing w:after="0"/>
              <w:rPr>
                <w:sz w:val="18"/>
                <w:szCs w:val="18"/>
                <w:color w:val="auto"/>
              </w:rPr>
            </w:pP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initiatives of the Company</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Initiatives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5,13,14,15</w:t>
            </w:r>
          </w:p>
        </w:tc>
        <w:tc>
          <w:tcPr>
            <w:tcW w:w="1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5,13,14,15</w:t>
            </w:r>
          </w:p>
        </w:tc>
        <w:tc>
          <w:tcPr>
            <w:tcW w:w="15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5,13,14,15</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Achievement</w:t>
            </w:r>
          </w:p>
        </w:tc>
      </w:tr>
      <w:tr>
        <w:trPr>
          <w:trHeight w:val="222"/>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of 140%</w:t>
            </w:r>
          </w:p>
        </w:tc>
      </w:tr>
      <w:tr>
        <w:trPr>
          <w:trHeight w:val="459"/>
        </w:trPr>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w w:val="92"/>
              </w:rPr>
              <w:t>Achieve Corporate Service Revenue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r>
      <w:tr>
        <w:trPr>
          <w:trHeight w:val="459"/>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Achieve EPS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r>
      <w:tr>
        <w:trPr>
          <w:trHeight w:val="493"/>
        </w:trPr>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Successfully complete the key strategic</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r>
      <w:tr>
        <w:trPr>
          <w:trHeight w:val="222"/>
        </w:trPr>
        <w:tc>
          <w:tcPr>
            <w:tcW w:w="420" w:type="dxa"/>
            <w:vAlign w:val="bottom"/>
          </w:tcPr>
          <w:p>
            <w:pPr>
              <w:spacing w:after="0"/>
              <w:rPr>
                <w:sz w:val="19"/>
                <w:szCs w:val="19"/>
                <w:color w:val="auto"/>
              </w:rPr>
            </w:pPr>
          </w:p>
        </w:tc>
        <w:tc>
          <w:tcPr>
            <w:tcW w:w="3460" w:type="dxa"/>
            <w:vAlign w:val="bottom"/>
            <w:gridSpan w:val="3"/>
          </w:tcPr>
          <w:p>
            <w:pPr>
              <w:ind w:left="220"/>
              <w:spacing w:after="0"/>
              <w:rPr>
                <w:sz w:val="20"/>
                <w:szCs w:val="20"/>
                <w:color w:val="auto"/>
              </w:rPr>
            </w:pPr>
            <w:r>
              <w:rPr>
                <w:rFonts w:ascii="Arial" w:cs="Arial" w:eastAsia="Arial" w:hAnsi="Arial"/>
                <w:sz w:val="18"/>
                <w:szCs w:val="18"/>
                <w:color w:val="auto"/>
              </w:rPr>
              <w:t>initiatives of the Company</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1720" w:space="180"/>
            <w:col w:w="9520"/>
          </w:cols>
          <w:pgMar w:left="240" w:top="131" w:right="239" w:bottom="1440" w:gutter="0" w:footer="0" w:header="0"/>
          <w:type w:val="continuous"/>
        </w:sectPr>
      </w:pPr>
    </w:p>
    <w:p>
      <w:pPr>
        <w:spacing w:after="0" w:line="10" w:lineRule="exact"/>
        <w:rPr>
          <w:sz w:val="20"/>
          <w:szCs w:val="20"/>
          <w:color w:val="auto"/>
        </w:rPr>
      </w:pPr>
    </w:p>
    <w:p>
      <w:pPr>
        <w:ind w:left="540" w:right="100" w:hanging="532"/>
        <w:spacing w:after="0" w:line="194" w:lineRule="auto"/>
        <w:tabs>
          <w:tab w:leader="none" w:pos="5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Ms. Esterman joined the Company as Chief Financial Officer effective March 12, 2012, and her incentive compensation for the 2012 fiscal year has been prorated from that date.</w:t>
      </w:r>
    </w:p>
    <w:p>
      <w:pPr>
        <w:spacing w:after="0" w:line="125"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Mr. Stiles resigned as Chief Financial Officer effective March 1, 2012, and he was therefore not eligible for 2012 incentive compensation.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ind w:right="80"/>
        <w:spacing w:after="0" w:line="255" w:lineRule="auto"/>
        <w:rPr>
          <w:sz w:val="20"/>
          <w:szCs w:val="20"/>
          <w:color w:val="auto"/>
        </w:rPr>
      </w:pPr>
      <w:r>
        <w:rPr>
          <w:rFonts w:ascii="Arial" w:cs="Arial" w:eastAsia="Arial" w:hAnsi="Arial"/>
          <w:sz w:val="18"/>
          <w:szCs w:val="18"/>
          <w:color w:val="auto"/>
        </w:rPr>
        <w:t>Executives have 20% of their incentive compensation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Chief Executive Officer's scorecard performance and personal performance appraisal are determined by the Compensation Committee in consultation with the Chairman taking into consideration whether the Company's performance and corresponding incentive results present a fair representation of the Chief Executive Officer's performance.</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our executives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2012, incentive compensation was awarded accordingly. Please see the Summary Compensation Table under Executive Compensation for the actual amounts awarded in 2012.</w:t>
      </w:r>
    </w:p>
    <w:p>
      <w:pPr>
        <w:spacing w:after="0" w:line="1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Chief Executive Officer and other executives for the upcoming year. The Company's 2013 key performance indicators have been developed and approved by the Board of Directors at the February 12, 2013 Board of Directors meeting.</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corporate scorecard for 2013 includes achieving an overall revenue target, achieving business segment specific revenue and pre-tax income targets and increasing earnings per share. In addition, the corporate scorecard provides for successful completion of strategic initiatives established to enhance long-term corporate and shareholder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2013 corporate strategic initiatives relate to:</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performance through operational effectiveness and efficiency</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implementing and scaling new services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Diversifying revenue and customer base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compliance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executive compensation programs are effectively designed and working well in alignment with the interests of our shareholders and are instrumental to achieving our business strategy. In determining executive compensation for fiscal year 2012, our Compensation Committee considered the overwhelming shareholder support that the "Say-on-Pay" proposal received at our May 18, 2011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60"/>
        <w:spacing w:after="0" w:line="332" w:lineRule="auto"/>
        <w:rPr>
          <w:sz w:val="20"/>
          <w:szCs w:val="20"/>
          <w:color w:val="auto"/>
        </w:rPr>
      </w:pPr>
      <w:r>
        <w:rPr>
          <w:rFonts w:ascii="Arial" w:cs="Arial" w:eastAsia="Arial" w:hAnsi="Arial"/>
          <w:sz w:val="16"/>
          <w:szCs w:val="16"/>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Increases for Certain Officers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third quarter 2012, our Compensation Committee most recently conducted compensation benchmarking with the assistance of its compensation consultant, Exequity. Exequity assisted the Compensation Committee in reviewing the compensation levels for the Chief Executive Officer and the Chief Administration Officer and General Counsel.</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Exequity reviewed the pay levels for these named executive officers compared to pay levels among our peer companies, as analyzed by management, to help identify the competitive positioning of our pay practices.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order to provide a robust array of pay benchmarking data, Exequity reviewed executive pay among two sets of companies:</w:t>
      </w:r>
    </w:p>
    <w:p>
      <w:pPr>
        <w:spacing w:after="0" w:line="239" w:lineRule="exact"/>
        <w:rPr>
          <w:sz w:val="20"/>
          <w:szCs w:val="20"/>
          <w:color w:val="auto"/>
        </w:rPr>
      </w:pPr>
    </w:p>
    <w:p>
      <w:pPr>
        <w:ind w:left="1080" w:right="340" w:hanging="532"/>
        <w:spacing w:after="0" w:line="298"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primary peer group of 14 companies with similar operational dynamics as Altisource, but which includes companies larger than Altisource (revenues ranging from $278MM - $3.8B). This peer group consists of the following companies: CoreLogic, Inc., Equifax, EXL Service Holdings Inc., First American Financial Corporation, Fleetcor Technologies Inc., Genpact Ltd., Highwoods Properties Inc., iGate, Lenders Processing Services, Nationstar Mortgage Holdings, TNS Inc., Virtusa Corp., WP Carey &amp; Co LLC and Wright Express.</w:t>
      </w:r>
    </w:p>
    <w:p>
      <w:pPr>
        <w:spacing w:after="0" w:line="193" w:lineRule="exact"/>
        <w:rPr>
          <w:rFonts w:ascii="Arial" w:cs="Arial" w:eastAsia="Arial" w:hAnsi="Arial"/>
          <w:sz w:val="16"/>
          <w:szCs w:val="16"/>
          <w:color w:val="auto"/>
        </w:rPr>
      </w:pPr>
    </w:p>
    <w:p>
      <w:pPr>
        <w:jc w:val="both"/>
        <w:ind w:left="1080" w:right="8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secondary peer group of 8 of the 14 above companies (revenues ranging between $278MM - $780MM) that excluded the peer companies with considerably greater annual revenues than Altisource. This peer group consists of the following companies: EXL Service Holdings Inc., Fleetcor Technologies Inc., Highwoods Properties Inc., iGate, Nationstar Mortgage Holdings, TNS Inc., Virtusa Corp., WP Carey &amp; Co LLC and Wright Express.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Additionally, utilizing a similar benchmarking analysis and other relevant factors, the Compensation Committee reviewed the compensation levels for the Chief Financial Officer in the first quarter of 2013.</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All information was obtained from publicly available proxy disclosures and included base salary, annual incentive compensation and long-term incentive compensation.</w:t>
      </w:r>
    </w:p>
    <w:p>
      <w:pPr>
        <w:spacing w:after="0" w:line="18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the benchmarking analyses, performance, retention and other relevant considerations, the Compensation Committee reviewed recommendations and determined appropriate base salary and annual incentive compensation targets for the Chief Executive Officer and the Chief Administration Officer and General Counsel in the third quarter of 2012, and for the Chief Financial Officer in the first quarter of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Please see "Role of Compensation Consultant" for further information regarding our use of an independent compensation consultant.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line="268" w:lineRule="auto"/>
        <w:rPr>
          <w:sz w:val="20"/>
          <w:szCs w:val="20"/>
          <w:color w:val="auto"/>
        </w:rPr>
      </w:pPr>
      <w:r>
        <w:rPr>
          <w:rFonts w:ascii="Arial" w:cs="Arial" w:eastAsia="Arial" w:hAnsi="Arial"/>
          <w:sz w:val="18"/>
          <w:szCs w:val="18"/>
          <w:color w:val="auto"/>
        </w:rPr>
        <w:t>The Board approved the following increases to the base salaries of the following named executive officers, effective as of September 1, 2012 for Messrs. Shepro and Wilcox, and March 1, 2013 for Ms. Esterman:</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85"/>
              </w:rPr>
              <w:t>Previous Base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New Base</w:t>
            </w:r>
          </w:p>
        </w:tc>
        <w:tc>
          <w:tcPr>
            <w:tcW w:w="16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Resulting Base</w:t>
            </w:r>
          </w:p>
        </w:tc>
        <w:tc>
          <w:tcPr>
            <w:tcW w:w="0" w:type="dxa"/>
            <w:vAlign w:val="bottom"/>
          </w:tcPr>
          <w:p>
            <w:pPr>
              <w:spacing w:after="0"/>
              <w:rPr>
                <w:sz w:val="1"/>
                <w:szCs w:val="1"/>
                <w:color w:val="auto"/>
              </w:rPr>
            </w:pPr>
          </w:p>
        </w:tc>
      </w:tr>
      <w:tr>
        <w:trPr>
          <w:trHeight w:val="229"/>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Officer</w:t>
            </w:r>
          </w:p>
        </w:tc>
        <w:tc>
          <w:tcPr>
            <w:tcW w:w="1120" w:type="dxa"/>
            <w:vAlign w:val="bottom"/>
          </w:tcPr>
          <w:p>
            <w:pPr>
              <w:jc w:val="right"/>
              <w:ind w:right="112"/>
              <w:spacing w:after="0"/>
              <w:rPr>
                <w:sz w:val="20"/>
                <w:szCs w:val="20"/>
                <w:color w:val="auto"/>
              </w:rPr>
            </w:pPr>
            <w:r>
              <w:rPr>
                <w:rFonts w:ascii="Arial" w:cs="Arial" w:eastAsia="Arial" w:hAnsi="Arial"/>
                <w:sz w:val="18"/>
                <w:szCs w:val="18"/>
                <w:b w:val="1"/>
                <w:bCs w:val="1"/>
                <w:color w:val="auto"/>
              </w:rPr>
              <w:t>Salary ($)</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1"/>
              </w:rPr>
              <w:t xml:space="preserve">Salary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0"/>
              </w:rPr>
              <w:t>Salary Increase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William B. Shepro,</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Mr. Kevin J. Wilcox,</w:t>
            </w: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8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Chief Administration Officer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color w:val="auto"/>
              </w:rPr>
              <w:t>General Counsel</w:t>
            </w:r>
          </w:p>
        </w:tc>
        <w:tc>
          <w:tcPr>
            <w:tcW w:w="1120" w:type="dxa"/>
            <w:vAlign w:val="bottom"/>
          </w:tcPr>
          <w:p>
            <w:pPr>
              <w:jc w:val="right"/>
              <w:spacing w:after="0"/>
              <w:rPr>
                <w:sz w:val="20"/>
                <w:szCs w:val="20"/>
                <w:color w:val="auto"/>
              </w:rPr>
            </w:pPr>
            <w:r>
              <w:rPr>
                <w:rFonts w:ascii="Arial" w:cs="Arial" w:eastAsia="Arial" w:hAnsi="Arial"/>
                <w:sz w:val="18"/>
                <w:szCs w:val="18"/>
                <w:color w:val="auto"/>
              </w:rPr>
              <w:t>382,325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 Michelle D. Esterman,</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Board determined that the ratio of the base compensation and the incentive compensation to the total compensation would remain the same. The target incentive compensation for each executive was therefore increased by the same percentage as the executive's base salary:</w:t>
      </w:r>
    </w:p>
    <w:p>
      <w:pPr>
        <w:spacing w:after="0" w:line="13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Resulting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Previous Target</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New Target</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29"/>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Officer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 xml:space="preserve">Compensation </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w:t>
            </w:r>
          </w:p>
        </w:tc>
        <w:tc>
          <w:tcPr>
            <w:tcW w:w="1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 xml:space="preserve">Compensation </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Increase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William B. Shepro,</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696,564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Mr. Kevin J. Wilcox,</w:t>
            </w: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6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Chief Administration Officer and</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General Counsel</w:t>
            </w:r>
          </w:p>
        </w:tc>
        <w:tc>
          <w:tcPr>
            <w:tcW w:w="1380" w:type="dxa"/>
            <w:vAlign w:val="bottom"/>
          </w:tcPr>
          <w:p>
            <w:pPr>
              <w:jc w:val="right"/>
              <w:spacing w:after="0"/>
              <w:rPr>
                <w:sz w:val="20"/>
                <w:szCs w:val="20"/>
                <w:color w:val="auto"/>
              </w:rPr>
            </w:pPr>
            <w:r>
              <w:rPr>
                <w:rFonts w:ascii="Arial" w:cs="Arial" w:eastAsia="Arial" w:hAnsi="Arial"/>
                <w:sz w:val="18"/>
                <w:szCs w:val="18"/>
                <w:color w:val="auto"/>
              </w:rPr>
              <w:t>382,325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 Michelle D. Esterman,</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Mr. Shepro, Mr. Wilcox and Ms. Esterman's employment contracts were amended accordingly.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(the "Code"), or nonqualified stock options, as determined by the Compensation Committee.</w:t>
      </w:r>
    </w:p>
    <w:p>
      <w:pPr>
        <w:spacing w:after="0" w:line="17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lapses without being exercised, shares of common stock subject to such award will again be available for future award.</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line with the objectives of our compensation philosophy, Ms. Esterman received 58,500 stock options to purchase the Company's common stock pursuant to the 2009 Equity Incentive Plan when she joined the Company as Chief Financial Officer on March 12, 2012.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Additionally, on August 14, 2012, the Board of the Company approved, on the recommendation of our Compensation Committee, a plan pursuant to which AAMC Restricted Stock would be granted to our named executives. On December 11, 2012, the following grants were made pursuant to the plan. Mr. Shepro was granted 29,216 shares of AAMC Restricted Stock with an aggregate fair value of $172,228. Mr. Wilcox was granted 14,608 shares of AAMC Restricted Stock with an aggregate fair value of $86,114. Ms. Esterman was granted 8,765 shares of AAMC Restricted Stock with an aggregate fair value of $51,670.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AAMC Restricted Stock will vest in three tranches, subject to the achievement of the following performance hurdles:</w:t>
      </w:r>
    </w:p>
    <w:p>
      <w:pPr>
        <w:spacing w:after="0" w:line="239" w:lineRule="exact"/>
        <w:rPr>
          <w:sz w:val="20"/>
          <w:szCs w:val="20"/>
          <w:color w:val="auto"/>
        </w:rPr>
      </w:pPr>
    </w:p>
    <w:p>
      <w:pPr>
        <w:ind w:left="1080" w:right="10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25% will vest in accordance with the vesting schedule set forth below if the market value of AAMC stock meets all three of the following conditions: (i) the market value is at least equal to $250 million; (ii) the market value has realized a compounded annual gain of at least 20% over the market value on the date of the grant; and (iii) the market value is at least double the market value on the date of the grant.</w:t>
      </w:r>
    </w:p>
    <w:p>
      <w:pPr>
        <w:spacing w:after="0" w:line="187" w:lineRule="exact"/>
        <w:rPr>
          <w:rFonts w:ascii="Arial" w:cs="Arial" w:eastAsia="Arial" w:hAnsi="Arial"/>
          <w:sz w:val="16"/>
          <w:szCs w:val="16"/>
          <w:color w:val="auto"/>
        </w:rPr>
      </w:pPr>
    </w:p>
    <w:p>
      <w:pPr>
        <w:ind w:left="1080" w:right="3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50% will vest in accordance with the vesting schedule set forth below if the market value of AAMC stock meets all three of the following conditions: (i) the market value is at least equal to $500 million; (ii) the market value has realized a compounded annual gain of at least 22.5% over the market value on the date of the grant; and (iii) the market value is at least triple the market value on the date of the grant.</w:t>
      </w:r>
    </w:p>
    <w:p>
      <w:pPr>
        <w:spacing w:after="0" w:line="174" w:lineRule="exact"/>
        <w:rPr>
          <w:rFonts w:ascii="Arial" w:cs="Arial" w:eastAsia="Arial" w:hAnsi="Arial"/>
          <w:sz w:val="16"/>
          <w:szCs w:val="16"/>
          <w:color w:val="auto"/>
        </w:rPr>
      </w:pPr>
    </w:p>
    <w:p>
      <w:pPr>
        <w:ind w:left="1080" w:right="10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25% will vest in accordance with the vesting schedule set forth below if the market value of AAMC stock meets all three of the following conditions: (i) the market value is at least equal to $750 million; (ii) the market value has realized a compounded annual gain of at least 25% over the market value on the date of the grant; and (iii) the market value is at least quadruple the market value on the date of the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AAMC Restricted Stock will vest according to the following vesting schedule:</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 of each tranche will vest on the first anniversary of the date when the three conditions for that tranche are met.</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remaining 75% will vest in substantially equal installments on each of the first three anniversaries of the initial vesting of the applicable tranche.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40"/>
        <w:spacing w:after="0" w:line="298" w:lineRule="auto"/>
        <w:rPr>
          <w:sz w:val="20"/>
          <w:szCs w:val="20"/>
          <w:color w:val="auto"/>
        </w:rPr>
      </w:pPr>
      <w:r>
        <w:rPr>
          <w:rFonts w:ascii="Arial" w:cs="Arial" w:eastAsia="Arial" w:hAnsi="Arial"/>
          <w:sz w:val="16"/>
          <w:szCs w:val="16"/>
          <w:color w:val="auto"/>
        </w:rPr>
        <w:t>If an award recipient's service with the Company or any of its affiliates is terminated prior to full vesting of the AAMC Restricted Stock, then the award recipient will forfeit all unvested AAMC Restricted Stock to AAMC, except that if (i) an award recipient's service is terminated either by the Company (or an affiliate) without cause or due to death or disability and (ii) a performance hurdle has already been achieved or is achieved within ninety days of termination, unvested stock for the corresponding tranche will continue to vest according to the above vesting schedule.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plans are adequate to achieve this philosophy. We also maintain a management directive detailing our trading window period policy for Directors, executive officers and other employees and our insider trading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our executive officers, that are comparable to benefits offered by companies of a similar size to ours. A competitive comprehensive benefit program is essential to achieving the goal of attracting and retaining highly qualified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2012 (the last business day of fiscal year 2012). Due to the number of factors that affect the nature and amount of any benefits under the various scenarios, actual amounts paid or distributed may be different.</w:t>
      </w:r>
    </w:p>
    <w:p>
      <w:pPr>
        <w:spacing w:after="0" w:line="19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employment of the officer other than for "cause" and, in some instances, where employment is terminated for "good reason" by the officer, the Company is obligated to make a cash payment of between four and twelve months' salary. In the case of the Chief Executive Officer and Chief Administration Officer, the Company will be obligated to pay one (1) year's target incentive compensation in such instance. Additionally, in the event that the Company terminates the employment of the officer other than for "cause" after October 1 of the service year and before incentives are paid for the prior service year, the officer is entitled to receive incentive compensation for such service year. In these instances, the Company will also pay all standard relocation costs to relocate the named executive officer to the United States. If the named executive officer is terminated by the Company for "cause", the Company may terminate without notice and with no liability to make any further payment to the executive, other than amounts accrued and unpaid at the date of termination.</w:t>
      </w:r>
    </w:p>
    <w:p>
      <w:pPr>
        <w:spacing w:after="0" w:line="17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All named executive officers have options granted pursuant to the 2009 Equity Incentive Plan. A portion of the options vest over time in equal installments (the "Service-based Options"), and the remaining options will vest based on applicable Company performance (the "Market-based Options"). Upon termination of an executive officer's employment other than for cause, the executive officer would be entitled to retain any vested portion of prior equity awards granted as well as any unvested Market-based Options where the vesting hurdles have already been achieved. Additionally, upon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ind w:right="100"/>
        <w:spacing w:after="0" w:line="254" w:lineRule="auto"/>
        <w:rPr>
          <w:sz w:val="20"/>
          <w:szCs w:val="20"/>
          <w:color w:val="auto"/>
        </w:rPr>
      </w:pPr>
      <w:r>
        <w:rPr>
          <w:rFonts w:ascii="Arial" w:cs="Arial" w:eastAsia="Arial" w:hAnsi="Arial"/>
          <w:sz w:val="18"/>
          <w:szCs w:val="18"/>
          <w:color w:val="auto"/>
        </w:rPr>
        <w:t>termination of an executive officer's employment without cause or upon his or her retirement, the executive officer would be entitled to retain unvested Market-based Options where the vesting hurdles are achieved within ninety (90) days of the termination.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in the discretion of the Compensation Committee. Furthermore, pursuant to each stock option agreement granting an equity award, upon termination of an executive for cause, all outstanding stock options awarded pursuant to such stock option agreement are forfeited.</w:t>
      </w:r>
    </w:p>
    <w:p>
      <w:pPr>
        <w:spacing w:after="0" w:line="19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of the stock option agreements provide for accelerated vesting as set forth below. Upon a named executive officer's retirement, disability, death, termination by the Company without "cause" or termination by the named executive officer for "good reason," all Service-based Options will immediately vest. Additionally, pursuant to these certain agreements, if there is a "change of control event," as defined in the applicable stock option agreement, all options, including Service-based Options and Market-based Options, will vest.</w:t>
      </w:r>
    </w:p>
    <w:p>
      <w:pPr>
        <w:spacing w:after="0" w:line="197"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Shepro for "good reason," Mr. Shepro would receive $1,885,500 from the accelerated vesting of options. Upon a "change in control," Mr. Shepro would receive $6,988,664 from the accelerated vesting of options.</w:t>
      </w:r>
    </w:p>
    <w:p>
      <w:pPr>
        <w:spacing w:after="0" w:line="13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Wilcox for "good reason," Mr. Wilcox would receive $927,000 from the accelerated vesting of options. Upon a "change in control," Mr. Wilcox would receive $3,776,887 from the accelerated vesting of options.</w:t>
      </w:r>
    </w:p>
    <w:p>
      <w:pPr>
        <w:spacing w:after="0" w:line="13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Upon her retirement, disability, death, or termination by the Company without "cause," Ms. Esterman would receive $339,593 from the accelerated vesting of options. Upon a "change in control," Ms. Esterman would receive $1,188,562 from the accelerated vesting of options.</w:t>
      </w:r>
    </w:p>
    <w:p>
      <w:pPr>
        <w:spacing w:after="0" w:line="1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his Separation Agreement, Mr. Stiles retained all of his vested options, received a $100,000 severance payment and a $52,330 tax equalization payment for 2011 earnings and will be provided tax equalization and preparation for 2012 consistent with past practice during the term of Mr. Stiles'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timing of compensation decisions is driven by a variety of tax considerations. In order to avoid being considered deferred compensation under Section 409A of the Code and to be deductible for the prior tax year, our annual incentive awards with respect to the prior year must be paid out by March 18 for employees of the Company who are U.S. taxpayers.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20 through 32 of this proxy statement with management.</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 Vättö, Chairman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 Michael Linn, Director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Roland Müller-Ineichen, Director</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-13970</wp:posOffset>
            </wp:positionV>
            <wp:extent cx="111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Chief Administration Officer and General Counsel for fiscal years 2010, 2011 and 2012.</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Name and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Principal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260" w:type="dxa"/>
            <w:vAlign w:val="bottom"/>
            <w:vMerge w:val="restart"/>
          </w:tcPr>
          <w:p>
            <w:pPr>
              <w:spacing w:after="0"/>
              <w:rPr>
                <w:sz w:val="12"/>
                <w:szCs w:val="12"/>
                <w:color w:val="auto"/>
              </w:rPr>
            </w:pPr>
          </w:p>
        </w:tc>
        <w:tc>
          <w:tcPr>
            <w:tcW w:w="7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920" w:type="dxa"/>
            <w:vAlign w:val="bottom"/>
          </w:tcPr>
          <w:p>
            <w:pPr>
              <w:jc w:val="right"/>
              <w:ind w:right="184"/>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2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(2)</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44"/>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(3)(4)</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(5)</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4"/>
              <w:spacing w:after="0" w:line="176"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20"/>
                <w:szCs w:val="20"/>
                <w:b w:val="1"/>
                <w:bCs w:val="1"/>
                <w:color w:val="auto"/>
                <w:w w:val="95"/>
                <w:vertAlign w:val="superscript"/>
              </w:rPr>
              <w:t>(6)</w:t>
            </w:r>
          </w:p>
        </w:tc>
        <w:tc>
          <w:tcPr>
            <w:tcW w:w="260" w:type="dxa"/>
            <w:vAlign w:val="bottom"/>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William B. Shepro</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2010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$445,471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$106,425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$4,438,396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$455,888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$854,789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$274,584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$1,585,261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2012</w:t>
            </w:r>
          </w:p>
        </w:tc>
        <w:tc>
          <w:tcPr>
            <w:tcW w:w="120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6"/>
                <w:szCs w:val="16"/>
                <w:color w:val="auto"/>
              </w:rPr>
              <w:t>$488,487</w:t>
            </w:r>
            <w:r>
              <w:rPr>
                <w:rFonts w:ascii="Arial" w:cs="Arial" w:eastAsia="Arial" w:hAnsi="Arial"/>
                <w:sz w:val="25"/>
                <w:szCs w:val="25"/>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$172,228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$1,099,095</w:t>
            </w:r>
          </w:p>
        </w:tc>
        <w:tc>
          <w:tcPr>
            <w:tcW w:w="150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6"/>
                <w:szCs w:val="16"/>
                <w:color w:val="auto"/>
              </w:rPr>
              <w:t>$385,512</w:t>
            </w:r>
            <w:r>
              <w:rPr>
                <w:rFonts w:ascii="Arial" w:cs="Arial" w:eastAsia="Arial" w:hAnsi="Arial"/>
                <w:sz w:val="25"/>
                <w:szCs w:val="25"/>
                <w:color w:val="auto"/>
                <w:vertAlign w:val="superscript"/>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$2,145,322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40" w:type="dxa"/>
            <w:vAlign w:val="bottom"/>
            <w:gridSpan w:val="4"/>
          </w:tcPr>
          <w:p>
            <w:pPr>
              <w:spacing w:after="0"/>
              <w:rPr>
                <w:sz w:val="20"/>
                <w:szCs w:val="20"/>
                <w:color w:val="auto"/>
              </w:rPr>
            </w:pPr>
            <w:r>
              <w:rPr>
                <w:rFonts w:ascii="Arial" w:cs="Arial" w:eastAsia="Arial" w:hAnsi="Arial"/>
                <w:sz w:val="18"/>
                <w:szCs w:val="18"/>
                <w:b w:val="1"/>
                <w:bCs w:val="1"/>
                <w:color w:val="auto"/>
              </w:rPr>
              <w:t>Kevin J. Wilcox</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$363,632</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$1,446,000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$500,500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$150,076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$2,460,208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gridSpan w:val="4"/>
          </w:tcPr>
          <w:p>
            <w:pPr>
              <w:spacing w:after="0"/>
              <w:rPr>
                <w:sz w:val="20"/>
                <w:szCs w:val="20"/>
                <w:color w:val="auto"/>
              </w:rPr>
            </w:pPr>
            <w:r>
              <w:rPr>
                <w:rFonts w:ascii="Arial" w:cs="Arial" w:eastAsia="Arial" w:hAnsi="Arial"/>
                <w:sz w:val="18"/>
                <w:szCs w:val="18"/>
                <w:color w:val="auto"/>
              </w:rPr>
              <w:t>Chief Administration</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$375,437</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$425,182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$131,143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40" w:type="dxa"/>
            <w:vAlign w:val="bottom"/>
            <w:gridSpan w:val="4"/>
          </w:tcPr>
          <w:p>
            <w:pPr>
              <w:spacing w:after="0"/>
              <w:rPr>
                <w:sz w:val="20"/>
                <w:szCs w:val="20"/>
                <w:color w:val="auto"/>
              </w:rPr>
            </w:pPr>
            <w:r>
              <w:rPr>
                <w:rFonts w:ascii="Arial" w:cs="Arial" w:eastAsia="Arial" w:hAnsi="Arial"/>
                <w:sz w:val="18"/>
                <w:szCs w:val="18"/>
                <w:color w:val="auto"/>
                <w:w w:val="88"/>
              </w:rPr>
              <w:t>Officer and General Counsel</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2012</w:t>
            </w:r>
          </w:p>
        </w:tc>
        <w:tc>
          <w:tcPr>
            <w:tcW w:w="1200" w:type="dxa"/>
            <w:vAlign w:val="bottom"/>
            <w:gridSpan w:val="3"/>
          </w:tcPr>
          <w:p>
            <w:pPr>
              <w:jc w:val="right"/>
              <w:ind w:right="100"/>
              <w:spacing w:after="0" w:line="225" w:lineRule="exact"/>
              <w:rPr>
                <w:sz w:val="20"/>
                <w:szCs w:val="20"/>
                <w:color w:val="auto"/>
              </w:rPr>
            </w:pPr>
            <w:r>
              <w:rPr>
                <w:rFonts w:ascii="Arial" w:cs="Arial" w:eastAsia="Arial" w:hAnsi="Arial"/>
                <w:sz w:val="16"/>
                <w:szCs w:val="16"/>
                <w:color w:val="auto"/>
              </w:rPr>
              <w:t>$395,686</w:t>
            </w:r>
            <w:r>
              <w:rPr>
                <w:rFonts w:ascii="Arial" w:cs="Arial" w:eastAsia="Arial" w:hAnsi="Arial"/>
                <w:sz w:val="26"/>
                <w:szCs w:val="26"/>
                <w:color w:val="auto"/>
                <w:vertAlign w:val="superscript"/>
              </w:rPr>
              <w:t>(9)</w:t>
            </w:r>
          </w:p>
        </w:tc>
        <w:tc>
          <w:tcPr>
            <w:tcW w:w="720" w:type="dxa"/>
            <w:vAlign w:val="bottom"/>
          </w:tcPr>
          <w:p>
            <w:pPr>
              <w:jc w:val="right"/>
              <w:spacing w:after="0"/>
              <w:rPr>
                <w:sz w:val="20"/>
                <w:szCs w:val="20"/>
                <w:color w:val="auto"/>
              </w:rPr>
            </w:pPr>
            <w:r>
              <w:rPr>
                <w:rFonts w:ascii="Arial" w:cs="Arial" w:eastAsia="Arial" w:hAnsi="Arial"/>
                <w:sz w:val="18"/>
                <w:szCs w:val="18"/>
                <w:color w:val="auto"/>
              </w:rPr>
              <w:t>$86,114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$569,788</w:t>
            </w:r>
          </w:p>
        </w:tc>
        <w:tc>
          <w:tcPr>
            <w:tcW w:w="1500" w:type="dxa"/>
            <w:vAlign w:val="bottom"/>
            <w:gridSpan w:val="3"/>
          </w:tcPr>
          <w:p>
            <w:pPr>
              <w:jc w:val="right"/>
              <w:ind w:right="20"/>
              <w:spacing w:after="0" w:line="225" w:lineRule="exact"/>
              <w:rPr>
                <w:sz w:val="20"/>
                <w:szCs w:val="20"/>
                <w:color w:val="auto"/>
              </w:rPr>
            </w:pPr>
            <w:r>
              <w:rPr>
                <w:rFonts w:ascii="Arial" w:cs="Arial" w:eastAsia="Arial" w:hAnsi="Arial"/>
                <w:sz w:val="16"/>
                <w:szCs w:val="16"/>
                <w:color w:val="auto"/>
              </w:rPr>
              <w:t>$236,419</w:t>
            </w:r>
            <w:r>
              <w:rPr>
                <w:rFonts w:ascii="Arial" w:cs="Arial" w:eastAsia="Arial" w:hAnsi="Arial"/>
                <w:sz w:val="26"/>
                <w:szCs w:val="26"/>
                <w:color w:val="auto"/>
                <w:vertAlign w:val="superscript"/>
              </w:rPr>
              <w:t>(10)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$1,288,007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Michelle D. Esterman</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2010</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02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w w:val="94"/>
              </w:rPr>
              <w:t>Chief Financial Officer</w:t>
            </w:r>
            <w:r>
              <w:rPr>
                <w:rFonts w:ascii="Arial" w:cs="Arial" w:eastAsia="Arial" w:hAnsi="Arial"/>
                <w:sz w:val="29"/>
                <w:szCs w:val="29"/>
                <w:color w:val="auto"/>
                <w:w w:val="94"/>
                <w:vertAlign w:val="superscript"/>
              </w:rPr>
              <w:t>(11)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2012</w:t>
            </w:r>
          </w:p>
        </w:tc>
        <w:tc>
          <w:tcPr>
            <w:tcW w:w="120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6"/>
                <w:szCs w:val="16"/>
                <w:color w:val="auto"/>
              </w:rPr>
              <w:t>$223,564</w:t>
            </w:r>
            <w:r>
              <w:rPr>
                <w:rFonts w:ascii="Arial" w:cs="Arial" w:eastAsia="Arial" w:hAnsi="Arial"/>
                <w:sz w:val="25"/>
                <w:szCs w:val="25"/>
                <w:color w:val="auto"/>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$1,009,418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$218,012</w:t>
            </w:r>
          </w:p>
        </w:tc>
        <w:tc>
          <w:tcPr>
            <w:tcW w:w="150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6"/>
                <w:szCs w:val="16"/>
                <w:color w:val="auto"/>
              </w:rPr>
              <w:t>$82,553</w:t>
            </w:r>
            <w:r>
              <w:rPr>
                <w:rFonts w:ascii="Arial" w:cs="Arial" w:eastAsia="Arial" w:hAnsi="Arial"/>
                <w:sz w:val="25"/>
                <w:szCs w:val="25"/>
                <w:color w:val="auto"/>
                <w:vertAlign w:val="superscript"/>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$1,585,217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40" w:type="dxa"/>
            <w:vAlign w:val="bottom"/>
            <w:gridSpan w:val="4"/>
          </w:tcPr>
          <w:p>
            <w:pPr>
              <w:spacing w:after="0"/>
              <w:rPr>
                <w:sz w:val="20"/>
                <w:szCs w:val="20"/>
                <w:color w:val="auto"/>
              </w:rPr>
            </w:pPr>
            <w:r>
              <w:rPr>
                <w:rFonts w:ascii="Arial" w:cs="Arial" w:eastAsia="Arial" w:hAnsi="Arial"/>
                <w:sz w:val="18"/>
                <w:szCs w:val="18"/>
                <w:b w:val="1"/>
                <w:bCs w:val="1"/>
                <w:color w:val="auto"/>
              </w:rPr>
              <w:t>Robert D. Stiles</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$272,065</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$1,960,737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$243,800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$56,890</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$2,533,492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40" w:type="dxa"/>
            <w:vAlign w:val="bottom"/>
            <w:gridSpan w:val="4"/>
          </w:tcPr>
          <w:p>
            <w:pPr>
              <w:spacing w:after="0" w:line="256" w:lineRule="exact"/>
              <w:rPr>
                <w:sz w:val="20"/>
                <w:szCs w:val="20"/>
                <w:color w:val="auto"/>
              </w:rPr>
            </w:pPr>
            <w:r>
              <w:rPr>
                <w:rFonts w:ascii="Arial" w:cs="Arial" w:eastAsia="Arial" w:hAnsi="Arial"/>
                <w:sz w:val="18"/>
                <w:szCs w:val="18"/>
                <w:color w:val="auto"/>
                <w:w w:val="95"/>
              </w:rPr>
              <w:t>Chief Financial Officer</w:t>
            </w:r>
            <w:r>
              <w:rPr>
                <w:rFonts w:ascii="Arial" w:cs="Arial" w:eastAsia="Arial" w:hAnsi="Arial"/>
                <w:sz w:val="29"/>
                <w:szCs w:val="29"/>
                <w:color w:val="auto"/>
                <w:w w:val="95"/>
                <w:vertAlign w:val="superscript"/>
              </w:rPr>
              <w:t>(14)</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$284,672</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$90,588</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$375,260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$48,952</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$178,532</w:t>
            </w:r>
            <w:r>
              <w:rPr>
                <w:rFonts w:ascii="Arial" w:cs="Arial" w:eastAsia="Arial" w:hAnsi="Arial"/>
                <w:sz w:val="29"/>
                <w:szCs w:val="29"/>
                <w:color w:val="auto"/>
                <w:vertAlign w:val="superscript"/>
              </w:rPr>
              <w:t>(15)</w:t>
            </w:r>
          </w:p>
        </w:tc>
        <w:tc>
          <w:tcPr>
            <w:tcW w:w="880" w:type="dxa"/>
            <w:vAlign w:val="bottom"/>
          </w:tcPr>
          <w:p>
            <w:pPr>
              <w:jc w:val="right"/>
              <w:spacing w:after="0"/>
              <w:rPr>
                <w:sz w:val="20"/>
                <w:szCs w:val="20"/>
                <w:color w:val="auto"/>
              </w:rPr>
            </w:pPr>
            <w:r>
              <w:rPr>
                <w:rFonts w:ascii="Arial" w:cs="Arial" w:eastAsia="Arial" w:hAnsi="Arial"/>
                <w:sz w:val="18"/>
                <w:szCs w:val="18"/>
                <w:color w:val="auto"/>
              </w:rPr>
              <w:t>$227,484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40" w:hanging="532"/>
        <w:spacing w:after="0" w:line="195" w:lineRule="auto"/>
        <w:tabs>
          <w:tab w:leader="none" w:pos="5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Represents amounts earned in corresponding year.</w:t>
      </w:r>
    </w:p>
    <w:p>
      <w:pPr>
        <w:spacing w:after="0" w:line="223" w:lineRule="exact"/>
        <w:rPr>
          <w:rFonts w:ascii="Arial" w:cs="Arial" w:eastAsia="Arial" w:hAnsi="Arial"/>
          <w:sz w:val="29"/>
          <w:szCs w:val="29"/>
          <w:color w:val="auto"/>
          <w:vertAlign w:val="superscript"/>
        </w:rPr>
      </w:pPr>
    </w:p>
    <w:p>
      <w:pPr>
        <w:ind w:left="540" w:right="60" w:hanging="532"/>
        <w:spacing w:after="0" w:line="210" w:lineRule="auto"/>
        <w:tabs>
          <w:tab w:leader="none" w:pos="5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Represents the grant date fair value of AAMC Restricted Stock granted to our named executive officers on December 11, 2012, which grants are subject to the vesting conditions described in our Compensation Discussion &amp; Analysis under "Equity Incentive Plan." We determined the grant date fair value of these stock awards using a Monte Carlo simulation valuation methodology.</w:t>
      </w:r>
    </w:p>
    <w:p>
      <w:pPr>
        <w:spacing w:after="0" w:line="210" w:lineRule="exact"/>
        <w:rPr>
          <w:rFonts w:ascii="Arial" w:cs="Arial" w:eastAsia="Arial" w:hAnsi="Arial"/>
          <w:sz w:val="29"/>
          <w:szCs w:val="29"/>
          <w:color w:val="auto"/>
          <w:vertAlign w:val="superscript"/>
        </w:rPr>
      </w:pPr>
    </w:p>
    <w:p>
      <w:pPr>
        <w:ind w:left="540" w:right="160" w:hanging="532"/>
        <w:spacing w:after="0" w:line="220" w:lineRule="auto"/>
        <w:tabs>
          <w:tab w:leader="none" w:pos="5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2010 and 2012 using a Black-Scholes option-pricing model and a binomial option pricing model utilizing the following assumptions: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Service-based Awards - Black-Scholes Option Pricing Model</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4"/>
              </w:rPr>
              <w:t>Expected</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7"/>
              </w:rPr>
              <w:t>Expected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0"/>
              </w:rPr>
              <w:t>Risk-Free</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4"/>
              </w:rPr>
              <w:t>Expected</w:t>
            </w:r>
          </w:p>
        </w:tc>
      </w:tr>
      <w:tr>
        <w:trPr>
          <w:trHeight w:val="216"/>
        </w:trPr>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Performance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Volatility</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Dividend</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Term in</w:t>
            </w:r>
          </w:p>
        </w:tc>
      </w:tr>
      <w:tr>
        <w:trPr>
          <w:trHeight w:val="229"/>
        </w:trPr>
        <w:tc>
          <w:tcPr>
            <w:tcW w:w="2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3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 (%)</w:t>
            </w: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Rate (%)</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1"/>
        </w:trPr>
        <w:tc>
          <w:tcPr>
            <w:tcW w:w="11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2010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47% - 50%</w:t>
            </w:r>
          </w:p>
        </w:tc>
        <w:tc>
          <w:tcPr>
            <w:tcW w:w="12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$22.01 - $24.85</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2.82% - 3.12%</w:t>
            </w:r>
          </w:p>
        </w:tc>
        <w:tc>
          <w:tcPr>
            <w:tcW w:w="11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1"/>
              </w:rPr>
              <w:t>7.00</w:t>
            </w:r>
          </w:p>
        </w:tc>
      </w:tr>
      <w:tr>
        <w:trPr>
          <w:trHeight w:val="216"/>
        </w:trPr>
        <w:tc>
          <w:tcPr>
            <w:tcW w:w="11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2011</w:t>
            </w:r>
          </w:p>
        </w:tc>
        <w:tc>
          <w:tcPr>
            <w:tcW w:w="360" w:type="dxa"/>
            <w:vAlign w:val="bottom"/>
          </w:tcPr>
          <w:p>
            <w:pPr>
              <w:spacing w:after="0"/>
              <w:rPr>
                <w:sz w:val="18"/>
                <w:szCs w:val="18"/>
                <w:color w:val="auto"/>
              </w:rPr>
            </w:pP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r>
      <w:tr>
        <w:trPr>
          <w:trHeight w:val="216"/>
        </w:trPr>
        <w:tc>
          <w:tcPr>
            <w:tcW w:w="11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2012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35%</w:t>
            </w:r>
          </w:p>
        </w:tc>
        <w:tc>
          <w:tcPr>
            <w:tcW w:w="12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$63.43</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1.17%</w:t>
            </w:r>
          </w:p>
        </w:tc>
        <w:tc>
          <w:tcPr>
            <w:tcW w:w="11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1"/>
              </w:rPr>
              <w:t>6.25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Market-based Awards - Binomial Option Pricing Model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7"/>
        </w:trPr>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7"/>
              </w:rPr>
              <w:t>Expected</w:t>
            </w:r>
          </w:p>
        </w:tc>
        <w:tc>
          <w:tcPr>
            <w:tcW w:w="16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7"/>
              </w:rPr>
              <w:t>Expected</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7"/>
              </w:rPr>
              <w:t>Risk-Free</w:t>
            </w:r>
          </w:p>
        </w:tc>
        <w:tc>
          <w:tcPr>
            <w:tcW w:w="160" w:type="dxa"/>
            <w:vAlign w:val="bottom"/>
          </w:tcPr>
          <w:p>
            <w:pPr>
              <w:spacing w:after="0"/>
              <w:rPr>
                <w:sz w:val="15"/>
                <w:szCs w:val="15"/>
                <w:color w:val="auto"/>
              </w:rPr>
            </w:pPr>
          </w:p>
        </w:tc>
        <w:tc>
          <w:tcPr>
            <w:tcW w:w="2400" w:type="dxa"/>
            <w:vAlign w:val="bottom"/>
            <w:gridSpan w:val="2"/>
          </w:tcPr>
          <w:p>
            <w:pPr>
              <w:jc w:val="center"/>
              <w:ind w:right="1700"/>
              <w:spacing w:after="0" w:line="177" w:lineRule="exact"/>
              <w:rPr>
                <w:sz w:val="20"/>
                <w:szCs w:val="20"/>
                <w:color w:val="auto"/>
              </w:rPr>
            </w:pPr>
            <w:r>
              <w:rPr>
                <w:rFonts w:ascii="Arial" w:cs="Arial" w:eastAsia="Arial" w:hAnsi="Arial"/>
                <w:sz w:val="18"/>
                <w:szCs w:val="18"/>
                <w:b w:val="1"/>
                <w:bCs w:val="1"/>
                <w:color w:val="auto"/>
                <w:w w:val="89"/>
              </w:rPr>
              <w:t>Contract</w:t>
            </w:r>
          </w:p>
        </w:tc>
      </w:tr>
      <w:tr>
        <w:trPr>
          <w:trHeight w:val="216"/>
        </w:trPr>
        <w:tc>
          <w:tcPr>
            <w:tcW w:w="17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Performance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Volatility</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Dividend</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240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89"/>
              </w:rPr>
              <w:t>Term in</w:t>
            </w:r>
          </w:p>
        </w:tc>
      </w:tr>
      <w:tr>
        <w:trPr>
          <w:trHeight w:val="229"/>
        </w:trPr>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w:t>
            </w:r>
          </w:p>
        </w:tc>
        <w:tc>
          <w:tcPr>
            <w:tcW w:w="4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 (%)</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Rate (%)</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172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12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4"/>
              </w:rPr>
              <w:t>2010</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51% - 52%</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$22.01 - $25.85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- 3.66%</w:t>
            </w:r>
          </w:p>
        </w:tc>
        <w:tc>
          <w:tcPr>
            <w:tcW w:w="8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4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2011</w:t>
            </w:r>
          </w:p>
        </w:tc>
        <w:tc>
          <w:tcPr>
            <w:tcW w:w="4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4"/>
              </w:rPr>
              <w:t>2012</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35%</w:t>
            </w:r>
          </w:p>
        </w:tc>
        <w:tc>
          <w:tcPr>
            <w:tcW w:w="13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$63.43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- 2.04%</w:t>
            </w:r>
          </w:p>
        </w:tc>
        <w:tc>
          <w:tcPr>
            <w:tcW w:w="8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14</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left="532" w:right="20" w:hanging="532"/>
        <w:spacing w:after="0" w:line="210" w:lineRule="auto"/>
        <w:tabs>
          <w:tab w:leader="none" w:pos="532"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Outstanding Altisource stock options have been adjusted to reflect the distribution of AAMC and Residential stock to Altisource shareholders in two spin-off transactions completed on December 21, 2012. All holders of Altisource stock option awards, including AAMC and Residential employees and those who remained with Altisource after the spin-off transactions, received the following:</w:t>
      </w:r>
    </w:p>
    <w:p>
      <w:pPr>
        <w:spacing w:after="0" w:line="200" w:lineRule="exact"/>
        <w:rPr>
          <w:rFonts w:ascii="Arial" w:cs="Arial" w:eastAsia="Arial" w:hAnsi="Arial"/>
          <w:sz w:val="29"/>
          <w:szCs w:val="29"/>
          <w:color w:val="auto"/>
          <w:vertAlign w:val="superscript"/>
        </w:rPr>
      </w:pPr>
    </w:p>
    <w:p>
      <w:pPr>
        <w:spacing w:after="0" w:line="253" w:lineRule="exact"/>
        <w:rPr>
          <w:rFonts w:ascii="Arial" w:cs="Arial" w:eastAsia="Arial" w:hAnsi="Arial"/>
          <w:sz w:val="29"/>
          <w:szCs w:val="29"/>
          <w:color w:val="auto"/>
          <w:vertAlign w:val="superscript"/>
        </w:rPr>
      </w:pPr>
    </w:p>
    <w:p>
      <w:pPr>
        <w:jc w:val="both"/>
        <w:ind w:left="1072" w:right="200" w:hanging="532"/>
        <w:spacing w:after="0" w:line="259" w:lineRule="auto"/>
        <w:tabs>
          <w:tab w:leader="none" w:pos="10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New AAMC stock options to acquire the number of shares of AAMC equal to the product of (a) the number of Altisource stock options held on the date of the spin-off of AAMC and (b) the distribution ratio of one (1) share of AAMC common stock for every ten (10) shares of Altisource common stock;</w:t>
      </w:r>
    </w:p>
    <w:p>
      <w:pPr>
        <w:spacing w:after="0" w:line="207" w:lineRule="exact"/>
        <w:rPr>
          <w:rFonts w:ascii="Arial" w:cs="Arial" w:eastAsia="Arial" w:hAnsi="Arial"/>
          <w:sz w:val="18"/>
          <w:szCs w:val="18"/>
          <w:color w:val="auto"/>
        </w:rPr>
      </w:pPr>
    </w:p>
    <w:p>
      <w:pPr>
        <w:ind w:left="1072" w:right="40" w:hanging="532"/>
        <w:spacing w:after="0" w:line="259" w:lineRule="auto"/>
        <w:tabs>
          <w:tab w:leader="none" w:pos="10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New Residential stock options to acquire the number of shares of Residential equal to the product of (a) the number of Altisource stock options held on the date of the spin-off of Residential and (b) the distribution ratio of one (1) share of Residential common stock for every three (3) shares of Altisource common stock; and</w:t>
      </w:r>
    </w:p>
    <w:p>
      <w:pPr>
        <w:spacing w:after="0" w:line="207" w:lineRule="exact"/>
        <w:rPr>
          <w:rFonts w:ascii="Arial" w:cs="Arial" w:eastAsia="Arial" w:hAnsi="Arial"/>
          <w:sz w:val="18"/>
          <w:szCs w:val="18"/>
          <w:color w:val="auto"/>
        </w:rPr>
      </w:pPr>
    </w:p>
    <w:p>
      <w:pPr>
        <w:ind w:left="1072" w:hanging="532"/>
        <w:spacing w:after="0"/>
        <w:tabs>
          <w:tab w:leader="none" w:pos="1072" w:val="left"/>
        </w:tabs>
        <w:numPr>
          <w:ilvl w:val="1"/>
          <w:numId w:val="33"/>
        </w:numPr>
        <w:rPr>
          <w:rFonts w:ascii="Arial" w:cs="Arial" w:eastAsia="Arial" w:hAnsi="Arial"/>
          <w:sz w:val="16"/>
          <w:szCs w:val="16"/>
          <w:color w:val="auto"/>
        </w:rPr>
      </w:pPr>
      <w:r>
        <w:rPr>
          <w:rFonts w:ascii="Arial" w:cs="Arial" w:eastAsia="Arial" w:hAnsi="Arial"/>
          <w:sz w:val="16"/>
          <w:szCs w:val="16"/>
          <w:color w:val="auto"/>
        </w:rPr>
        <w:t>Adjusted Altisource stock options for the same number of shares of Altisource common stock with a reduced exercise price per stock option.</w:t>
      </w:r>
    </w:p>
    <w:p>
      <w:pPr>
        <w:spacing w:after="0" w:line="248" w:lineRule="exact"/>
        <w:rPr>
          <w:sz w:val="20"/>
          <w:szCs w:val="20"/>
          <w:color w:val="auto"/>
        </w:rPr>
      </w:pPr>
    </w:p>
    <w:p>
      <w:pPr>
        <w:ind w:left="532" w:right="60"/>
        <w:spacing w:after="0" w:line="256" w:lineRule="auto"/>
        <w:rPr>
          <w:sz w:val="20"/>
          <w:szCs w:val="20"/>
          <w:color w:val="auto"/>
        </w:rPr>
      </w:pPr>
      <w:r>
        <w:rPr>
          <w:rFonts w:ascii="Arial" w:cs="Arial" w:eastAsia="Arial" w:hAnsi="Arial"/>
          <w:sz w:val="18"/>
          <w:szCs w:val="18"/>
          <w:color w:val="auto"/>
        </w:rPr>
        <w:t>We determined the exercise price of the new Residential and AAMC stock option and the adjusted Altisource stock option in a manner so that the fair value of the adjusted Altisource stock award and the new Residential and AAMC stock options immediately following the spin-offs was equivalent to the fair value of such Altisource stock award immediately prior to the spin-offs. No incremental share-based compensation was recognized as a result of this adjustment.</w:t>
      </w:r>
    </w:p>
    <w:p>
      <w:pPr>
        <w:spacing w:after="0" w:line="211" w:lineRule="exact"/>
        <w:rPr>
          <w:sz w:val="20"/>
          <w:szCs w:val="20"/>
          <w:color w:val="auto"/>
        </w:rPr>
      </w:pPr>
    </w:p>
    <w:p>
      <w:pPr>
        <w:ind w:left="532" w:right="400" w:hanging="532"/>
        <w:spacing w:after="0" w:line="194" w:lineRule="auto"/>
        <w:tabs>
          <w:tab w:leader="none" w:pos="532"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Consists of the cash portion of incentive compensation bonus related to performance measures satisfied in the year indicated and awarded in the first quarter of the following year.</w:t>
      </w:r>
    </w:p>
    <w:p>
      <w:pPr>
        <w:spacing w:after="0" w:line="211" w:lineRule="exact"/>
        <w:rPr>
          <w:rFonts w:ascii="Arial" w:cs="Arial" w:eastAsia="Arial" w:hAnsi="Arial"/>
          <w:sz w:val="29"/>
          <w:szCs w:val="29"/>
          <w:color w:val="auto"/>
          <w:vertAlign w:val="superscript"/>
        </w:rPr>
      </w:pPr>
    </w:p>
    <w:p>
      <w:pPr>
        <w:ind w:left="532" w:right="460" w:hanging="532"/>
        <w:spacing w:after="0" w:line="194" w:lineRule="auto"/>
        <w:tabs>
          <w:tab w:leader="none" w:pos="532"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Consists of contributions by Altisource to each executive officer for car allowances, housing allowances, goods and services allowance, educational allowances and tax equalization allowance as detailed below.</w:t>
      </w:r>
    </w:p>
    <w:p>
      <w:pPr>
        <w:spacing w:after="0" w:line="211" w:lineRule="exact"/>
        <w:rPr>
          <w:rFonts w:ascii="Arial" w:cs="Arial" w:eastAsia="Arial" w:hAnsi="Arial"/>
          <w:sz w:val="29"/>
          <w:szCs w:val="29"/>
          <w:color w:val="auto"/>
          <w:vertAlign w:val="superscript"/>
        </w:rPr>
      </w:pPr>
    </w:p>
    <w:p>
      <w:pPr>
        <w:ind w:left="532" w:right="380" w:hanging="532"/>
        <w:spacing w:after="0" w:line="217" w:lineRule="auto"/>
        <w:tabs>
          <w:tab w:leader="none" w:pos="532"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Represents Mr. Shepro's average base salary for 2012. Mr. Shepro's annual base salary was $464,376 from January 1, 2012 through August 31, 2012, $526,829 from September 1, 2012 to September 30, 2012 and $540,000 from October 1, 2012 through December 31, 2012.</w:t>
      </w:r>
    </w:p>
    <w:p>
      <w:pPr>
        <w:spacing w:after="0" w:line="225" w:lineRule="exact"/>
        <w:rPr>
          <w:rFonts w:ascii="Arial" w:cs="Arial" w:eastAsia="Arial" w:hAnsi="Arial"/>
          <w:sz w:val="26"/>
          <w:szCs w:val="26"/>
          <w:color w:val="auto"/>
          <w:vertAlign w:val="superscript"/>
        </w:rPr>
      </w:pPr>
    </w:p>
    <w:p>
      <w:pPr>
        <w:ind w:left="532" w:hanging="532"/>
        <w:spacing w:after="0" w:line="218" w:lineRule="auto"/>
        <w:tabs>
          <w:tab w:leader="none" w:pos="532"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Includes $57,166 for housing allowance, $5,275 for a car allowance, $36,871 for education allowance, $23,499 for goods and services allowance, $15,107 for travel allowance, $26,341 for medical benefits, $44,250 of estimated 2012 tax payments, $5,100 for tax preparation services and a $171,903 tax equalization allowance for 2011 earnings. Mr. Shepro also has access to a Company car while in Luxembourg. These amounts do not include the impact of the tax gross-up on the benefits.</w:t>
      </w:r>
    </w:p>
    <w:p>
      <w:pPr>
        <w:spacing w:after="0" w:line="213" w:lineRule="exact"/>
        <w:rPr>
          <w:rFonts w:ascii="Arial" w:cs="Arial" w:eastAsia="Arial" w:hAnsi="Arial"/>
          <w:sz w:val="29"/>
          <w:szCs w:val="29"/>
          <w:color w:val="auto"/>
          <w:vertAlign w:val="superscript"/>
        </w:rPr>
      </w:pPr>
    </w:p>
    <w:p>
      <w:pPr>
        <w:ind w:left="532" w:right="360" w:hanging="532"/>
        <w:spacing w:after="0" w:line="217" w:lineRule="auto"/>
        <w:tabs>
          <w:tab w:leader="none" w:pos="532"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Represents Mr. Wilcox's average base salary for 2012. Mr. Wilcox's annual base salary was $382,325 from January 1, 2012 through August 31, 2012, $414,634 from September 1, 2012 to September 30, 2012 and $425,000 from October 1, 2012 through December 31, 2012.</w:t>
      </w:r>
    </w:p>
    <w:p>
      <w:pPr>
        <w:spacing w:after="0" w:line="211" w:lineRule="exact"/>
        <w:rPr>
          <w:rFonts w:ascii="Arial" w:cs="Arial" w:eastAsia="Arial" w:hAnsi="Arial"/>
          <w:sz w:val="26"/>
          <w:szCs w:val="26"/>
          <w:color w:val="auto"/>
          <w:vertAlign w:val="superscript"/>
        </w:rPr>
      </w:pPr>
    </w:p>
    <w:p>
      <w:pPr>
        <w:ind w:left="532" w:hanging="532"/>
        <w:spacing w:after="0" w:line="217" w:lineRule="auto"/>
        <w:tabs>
          <w:tab w:leader="none" w:pos="532"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Includes $28,934 for housing allowance, $23,499 for goods and services allowance, $9,294 for medical benefits, $45,800 of estimated 2012 tax payments, $5,100 for tax preparation services and a $123,792 tax equalization allowance for 2011 earnings. Mr. Wilcox also has access to a Company</w:t>
      </w: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36" w:name="page37"/>
    <w:bookmarkEnd w:id="36"/>
    <w:p>
      <w:pPr>
        <w:ind w:left="532"/>
        <w:spacing w:after="0"/>
        <w:rPr>
          <w:sz w:val="20"/>
          <w:szCs w:val="20"/>
          <w:color w:val="auto"/>
        </w:rPr>
      </w:pPr>
      <w:r>
        <w:rPr>
          <w:rFonts w:ascii="Arial" w:cs="Arial" w:eastAsia="Arial" w:hAnsi="Arial"/>
          <w:sz w:val="18"/>
          <w:szCs w:val="18"/>
          <w:color w:val="auto"/>
        </w:rPr>
        <w:t>car while in Luxembourg. These amounts do not include the impact of the tax gross-up on the benefits.</w:t>
      </w:r>
    </w:p>
    <w:p>
      <w:pPr>
        <w:spacing w:after="0" w:line="114" w:lineRule="exact"/>
        <w:rPr>
          <w:sz w:val="20"/>
          <w:szCs w:val="20"/>
          <w:color w:val="auto"/>
        </w:rPr>
      </w:pPr>
    </w:p>
    <w:p>
      <w:pPr>
        <w:ind w:left="532" w:hanging="532"/>
        <w:spacing w:after="0"/>
        <w:tabs>
          <w:tab w:leader="none" w:pos="532"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Ms. Esterman joined the Company as Chief Financial Officer effective March 12, 2012.</w:t>
      </w:r>
    </w:p>
    <w:p>
      <w:pPr>
        <w:spacing w:after="0" w:line="223" w:lineRule="exact"/>
        <w:rPr>
          <w:rFonts w:ascii="Arial" w:cs="Arial" w:eastAsia="Arial" w:hAnsi="Arial"/>
          <w:sz w:val="29"/>
          <w:szCs w:val="29"/>
          <w:color w:val="auto"/>
          <w:vertAlign w:val="superscript"/>
        </w:rPr>
      </w:pPr>
    </w:p>
    <w:p>
      <w:pPr>
        <w:ind w:left="532" w:right="160" w:hanging="532"/>
        <w:spacing w:after="0" w:line="194" w:lineRule="auto"/>
        <w:tabs>
          <w:tab w:leader="none" w:pos="532"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Represents Ms. Esterman's average base salary for 2012. Ms. Esterman's annual base salary was $276,000 from March 12, 2012 through September 30, 2012 and $282,900 from October 1, 2012 through December 31, 2012.</w:t>
      </w:r>
    </w:p>
    <w:p>
      <w:pPr>
        <w:spacing w:after="0" w:line="211" w:lineRule="exact"/>
        <w:rPr>
          <w:rFonts w:ascii="Arial" w:cs="Arial" w:eastAsia="Arial" w:hAnsi="Arial"/>
          <w:sz w:val="29"/>
          <w:szCs w:val="29"/>
          <w:color w:val="auto"/>
          <w:vertAlign w:val="superscript"/>
        </w:rPr>
      </w:pPr>
    </w:p>
    <w:p>
      <w:pPr>
        <w:ind w:left="532" w:hanging="532"/>
        <w:spacing w:after="0" w:line="210" w:lineRule="auto"/>
        <w:tabs>
          <w:tab w:leader="none" w:pos="532"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Includes a $30,000 sign-on bonus, $30,743 for housing allowance, $7,612 for travel allowance, $10,000 for settling-in allowance and $4,198 for home finding assistance. Ms. Esterman also has access to a Company car while in Luxembourg. These amounts do not include the impact of the tax gross-up on the benefits.</w:t>
      </w:r>
    </w:p>
    <w:p>
      <w:pPr>
        <w:spacing w:after="0" w:line="99" w:lineRule="exact"/>
        <w:rPr>
          <w:rFonts w:ascii="Arial" w:cs="Arial" w:eastAsia="Arial" w:hAnsi="Arial"/>
          <w:sz w:val="29"/>
          <w:szCs w:val="29"/>
          <w:color w:val="auto"/>
          <w:vertAlign w:val="superscript"/>
        </w:rPr>
      </w:pPr>
    </w:p>
    <w:p>
      <w:pPr>
        <w:ind w:left="532" w:hanging="532"/>
        <w:spacing w:after="0"/>
        <w:tabs>
          <w:tab w:leader="none" w:pos="532"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Mr. Stiles resigned as Chief Financial Officer effective March 1, 2012.</w:t>
      </w:r>
    </w:p>
    <w:p>
      <w:pPr>
        <w:spacing w:after="0" w:line="223" w:lineRule="exact"/>
        <w:rPr>
          <w:rFonts w:ascii="Arial" w:cs="Arial" w:eastAsia="Arial" w:hAnsi="Arial"/>
          <w:sz w:val="29"/>
          <w:szCs w:val="29"/>
          <w:color w:val="auto"/>
          <w:vertAlign w:val="superscript"/>
        </w:rPr>
      </w:pPr>
    </w:p>
    <w:p>
      <w:pPr>
        <w:ind w:left="532" w:right="20" w:hanging="532"/>
        <w:spacing w:after="0" w:line="235" w:lineRule="auto"/>
        <w:tabs>
          <w:tab w:leader="none" w:pos="532"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Includes $5,600 for housing allowance, $1,502 for medical benefits, $19,100 of estimated 2012 tax payments and a $52,330 tax equalization allowance for 2011 earnings. Also includes a $100,000 severance payment that Mr. Stiles received in exchange for executing a separation agreement. Mr. Stiles also had access to a Company car while in Luxembourg. These amounts do not include the impact of the tax gross-up on the benefits.</w:t>
      </w:r>
    </w:p>
    <w:p>
      <w:pPr>
        <w:spacing w:after="0" w:line="2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Grants of Plan Based Awards for 2012</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provides information related to non-equity incentive plan compensation and equity incentive plan awards pursuant to our annual incentive compensation, our 2009 Equity Incentive Plan and the Altisource Asset Management Corporation 2012 Equity Incentive Plan for services rendered in fiscal year 2012 by the individuals named in the Summary Compensation Table.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9"/>
              </w:rPr>
              <w:t>or Base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Price of</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jc w:val="right"/>
              <w:ind w:right="352"/>
              <w:spacing w:after="0" w:line="149" w:lineRule="exact"/>
              <w:rPr>
                <w:sz w:val="20"/>
                <w:szCs w:val="20"/>
                <w:color w:val="auto"/>
              </w:rPr>
            </w:pPr>
            <w:r>
              <w:rPr>
                <w:rFonts w:ascii="Arial" w:cs="Arial" w:eastAsia="Arial" w:hAnsi="Arial"/>
                <w:sz w:val="14"/>
                <w:szCs w:val="14"/>
                <w:b w:val="1"/>
                <w:bCs w:val="1"/>
                <w:color w:val="auto"/>
              </w:rPr>
              <w:t>Estimated Possible Payouts Under</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5"/>
                <w:szCs w:val="15"/>
                <w:color w:val="auto"/>
              </w:rPr>
            </w:pPr>
          </w:p>
        </w:tc>
        <w:tc>
          <w:tcPr>
            <w:tcW w:w="2780" w:type="dxa"/>
            <w:vAlign w:val="bottom"/>
            <w:gridSpan w:val="5"/>
          </w:tcPr>
          <w:p>
            <w:pPr>
              <w:jc w:val="right"/>
              <w:ind w:right="252"/>
              <w:spacing w:after="0" w:line="176" w:lineRule="exact"/>
              <w:rPr>
                <w:sz w:val="20"/>
                <w:szCs w:val="20"/>
                <w:color w:val="auto"/>
              </w:rPr>
            </w:pPr>
            <w:r>
              <w:rPr>
                <w:rFonts w:ascii="Arial" w:cs="Arial" w:eastAsia="Arial" w:hAnsi="Arial"/>
                <w:sz w:val="13"/>
                <w:szCs w:val="13"/>
                <w:b w:val="1"/>
                <w:bCs w:val="1"/>
                <w:color w:val="auto"/>
              </w:rPr>
              <w:t>Non-Equity Incentive Plan Awards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or Units</w:t>
            </w:r>
            <w:r>
              <w:rPr>
                <w:rFonts w:ascii="Arial" w:cs="Arial" w:eastAsia="Arial" w:hAnsi="Arial"/>
                <w:sz w:val="20"/>
                <w:szCs w:val="20"/>
                <w:b w:val="1"/>
                <w:bCs w:val="1"/>
                <w:color w:val="auto"/>
                <w:w w:val="91"/>
                <w:vertAlign w:val="superscript"/>
              </w:rPr>
              <w:t>(2)</w:t>
            </w:r>
          </w:p>
        </w:tc>
        <w:tc>
          <w:tcPr>
            <w:tcW w:w="16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Options</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Threshold</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Target</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12/11/12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$366,365</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$732,730</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$1,099,095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2060" w:type="dxa"/>
            <w:vAlign w:val="bottom"/>
            <w:gridSpan w:val="4"/>
          </w:tcPr>
          <w:p>
            <w:pPr>
              <w:spacing w:after="0"/>
              <w:rPr>
                <w:sz w:val="20"/>
                <w:szCs w:val="20"/>
                <w:color w:val="auto"/>
              </w:rPr>
            </w:pPr>
            <w:r>
              <w:rPr>
                <w:rFonts w:ascii="Arial" w:cs="Arial" w:eastAsia="Arial" w:hAnsi="Arial"/>
                <w:sz w:val="18"/>
                <w:szCs w:val="18"/>
                <w:color w:val="auto"/>
              </w:rPr>
              <w:t>Kevin J. Wilcox</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12/11/12</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$197,843</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$395,686</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$593,529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14,608</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0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3/12/12</w:t>
            </w:r>
          </w:p>
        </w:tc>
        <w:tc>
          <w:tcPr>
            <w:tcW w:w="1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7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83"/>
              </w:rPr>
              <w:t>$60.76</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3"/>
              </w:rPr>
              <w:t>$60.76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3"/>
              </w:rPr>
              <w:t>$60.76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12/11/12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$148,306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$222,461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Robert D. Stiles</w:t>
      </w:r>
      <w:r>
        <w:rPr>
          <w:rFonts w:ascii="Arial" w:cs="Arial" w:eastAsia="Arial" w:hAnsi="Arial"/>
          <w:sz w:val="29"/>
          <w:szCs w:val="29"/>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-24130</wp:posOffset>
            </wp:positionV>
            <wp:extent cx="58661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76" w:lineRule="exact"/>
        <w:rPr>
          <w:sz w:val="20"/>
          <w:szCs w:val="20"/>
          <w:color w:val="auto"/>
        </w:rPr>
      </w:pPr>
    </w:p>
    <w:p>
      <w:pPr>
        <w:ind w:left="1680" w:right="220" w:hanging="531"/>
        <w:spacing w:after="0" w:line="253"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represent the possible non-equity compensation that may have been earned by each respective executive officer in 2012 under the different achievement levels presented on their personal scorecards which are more fully discussed in our Compensation Discussion and Analysis.</w:t>
      </w:r>
    </w:p>
    <w:p>
      <w:pPr>
        <w:spacing w:after="0" w:line="20" w:lineRule="exact"/>
        <w:rPr>
          <w:rFonts w:ascii="Arial" w:cs="Arial" w:eastAsia="Arial" w:hAnsi="Arial"/>
          <w:sz w:val="18"/>
          <w:szCs w:val="18"/>
          <w:color w:val="auto"/>
        </w:rPr>
      </w:pPr>
    </w:p>
    <w:p>
      <w:pPr>
        <w:ind w:left="1680" w:right="60" w:hanging="531"/>
        <w:spacing w:after="0" w:line="253"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AAMC Restricted Stock granted to our named executive officers pursuant to the Altisource Asset Management Corporation 2012 Equity Incentive Plan on December 11, 2012, which is subject to the vesting conditions described in our Compensation Discussion and Analysis under "Equity Incentive Plan."</w:t>
      </w:r>
    </w:p>
    <w:p>
      <w:pPr>
        <w:spacing w:after="0" w:line="7" w:lineRule="exact"/>
        <w:rPr>
          <w:rFonts w:ascii="Arial" w:cs="Arial" w:eastAsia="Arial" w:hAnsi="Arial"/>
          <w:sz w:val="18"/>
          <w:szCs w:val="18"/>
          <w:color w:val="auto"/>
        </w:rPr>
      </w:pPr>
    </w:p>
    <w:p>
      <w:pPr>
        <w:ind w:left="1680" w:right="20" w:hanging="531"/>
        <w:spacing w:after="0" w:line="283"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7" w:lineRule="exact"/>
        <w:rPr>
          <w:rFonts w:ascii="Arial" w:cs="Arial" w:eastAsia="Arial" w:hAnsi="Arial"/>
          <w:sz w:val="16"/>
          <w:szCs w:val="16"/>
          <w:color w:val="auto"/>
        </w:rPr>
      </w:pPr>
    </w:p>
    <w:p>
      <w:pPr>
        <w:ind w:left="1680" w:hanging="531"/>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Stiles resigned as Chief Financial Officer effective March 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Restricted Stock in Altisource Asset Management Corporation</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December 11, 2012, the following grants were made to employees of the Company pursuant to the Altisource Asset Management 2012 Equity Incentive Plan. Mr. Shepro was granted 29,216 shares of Restricted Stock with an aggregate fair value of $172,228. Mr. Wilcox was granted 14,608 shares of Restricted Stock, with an aggregate fair value of $86,114. Ms. Esterman was granted 8,765 shares of Restricted Stock with an aggregate fair value of $51,670.</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AAMC Restricted Stock is subject to restrictions on transferability and a substantial risk of forfeiture and is intended to retain, motivate and align members of the Company's management with regard to its future performance and that of AAMC.</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vesting conditions of the AAMC Restricted Stock are described in our Compensation Discussion and Analysis under "Equity Incentive Plan."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regarding outstanding equity awards as of December 31, 2012 for the individuals named in the Summary Compensation Table.</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Option Awards</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w:t>
            </w:r>
          </w:p>
        </w:tc>
        <w:tc>
          <w:tcPr>
            <w:tcW w:w="16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Unearned</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or Other</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5"/>
              </w:rPr>
              <w:t>Unexercised</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08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5"/>
              </w:rPr>
              <w:t>Unexercised</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Rights That</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That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Unearned</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3"/>
              </w:rPr>
              <w:t>Exercise</w:t>
            </w:r>
          </w:p>
        </w:tc>
        <w:tc>
          <w:tcPr>
            <w:tcW w:w="96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3"/>
              </w:rPr>
              <w:t>Expiration</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Have Not</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Have Not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380" w:type="dxa"/>
            <w:vAlign w:val="bottom"/>
            <w:gridSpan w:val="2"/>
          </w:tcPr>
          <w:p>
            <w:pPr>
              <w:jc w:val="center"/>
              <w:ind w:left="72"/>
              <w:spacing w:after="0" w:line="267" w:lineRule="exact"/>
              <w:rPr>
                <w:sz w:val="20"/>
                <w:szCs w:val="20"/>
                <w:color w:val="auto"/>
              </w:rPr>
            </w:pPr>
            <w:r>
              <w:rPr>
                <w:rFonts w:ascii="Arial" w:cs="Arial" w:eastAsia="Arial" w:hAnsi="Arial"/>
                <w:sz w:val="18"/>
                <w:szCs w:val="18"/>
                <w:b w:val="1"/>
                <w:bCs w:val="1"/>
                <w:color w:val="auto"/>
                <w:w w:val="83"/>
              </w:rPr>
              <w:t>Unexercisable</w:t>
            </w:r>
            <w:r>
              <w:rPr>
                <w:rFonts w:ascii="Arial" w:cs="Arial" w:eastAsia="Arial" w:hAnsi="Arial"/>
                <w:sz w:val="29"/>
                <w:szCs w:val="29"/>
                <w:b w:val="1"/>
                <w:bCs w:val="1"/>
                <w:color w:val="auto"/>
                <w:w w:val="83"/>
                <w:vertAlign w:val="superscript"/>
              </w:rPr>
              <w:t>(2)</w:t>
            </w:r>
          </w:p>
        </w:tc>
        <w:tc>
          <w:tcPr>
            <w:tcW w:w="160" w:type="dxa"/>
            <w:vAlign w:val="bottom"/>
          </w:tcPr>
          <w:p>
            <w:pPr>
              <w:spacing w:after="0"/>
              <w:rPr>
                <w:sz w:val="23"/>
                <w:szCs w:val="23"/>
                <w:color w:val="auto"/>
              </w:rPr>
            </w:pPr>
          </w:p>
        </w:tc>
        <w:tc>
          <w:tcPr>
            <w:tcW w:w="92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2"/>
              </w:rPr>
              <w:t>Options</w:t>
            </w:r>
            <w:r>
              <w:rPr>
                <w:rFonts w:ascii="Arial" w:cs="Arial" w:eastAsia="Arial" w:hAnsi="Arial"/>
                <w:sz w:val="29"/>
                <w:szCs w:val="29"/>
                <w:b w:val="1"/>
                <w:bCs w:val="1"/>
                <w:color w:val="auto"/>
                <w:w w:val="82"/>
                <w:vertAlign w:val="superscript"/>
              </w:rPr>
              <w:t>(3)</w:t>
            </w:r>
          </w:p>
        </w:tc>
        <w:tc>
          <w:tcPr>
            <w:tcW w:w="140" w:type="dxa"/>
            <w:vAlign w:val="bottom"/>
          </w:tcPr>
          <w:p>
            <w:pPr>
              <w:spacing w:after="0"/>
              <w:rPr>
                <w:sz w:val="23"/>
                <w:szCs w:val="23"/>
                <w:color w:val="auto"/>
              </w:rPr>
            </w:pPr>
          </w:p>
        </w:tc>
        <w:tc>
          <w:tcPr>
            <w:tcW w:w="64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2"/>
              </w:rPr>
              <w:t>Price</w:t>
            </w:r>
            <w:r>
              <w:rPr>
                <w:rFonts w:ascii="Arial" w:cs="Arial" w:eastAsia="Arial" w:hAnsi="Arial"/>
                <w:sz w:val="29"/>
                <w:szCs w:val="29"/>
                <w:b w:val="1"/>
                <w:bCs w:val="1"/>
                <w:color w:val="auto"/>
                <w:w w:val="82"/>
                <w:vertAlign w:val="superscript"/>
              </w:rPr>
              <w:t>(4)</w:t>
            </w:r>
          </w:p>
        </w:tc>
        <w:tc>
          <w:tcPr>
            <w:tcW w:w="1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1/31/2014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7,969</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1/31/2014</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1/31/2015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13,230</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1/31/2016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5/10/2017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51,563</w:t>
            </w:r>
          </w:p>
        </w:tc>
        <w:tc>
          <w:tcPr>
            <w:tcW w:w="13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17,187</w:t>
            </w:r>
            <w:r>
              <w:rPr>
                <w:rFonts w:ascii="Arial" w:cs="Arial" w:eastAsia="Arial" w:hAnsi="Arial"/>
                <w:sz w:val="29"/>
                <w:szCs w:val="29"/>
                <w:color w:val="auto"/>
                <w:vertAlign w:val="superscript"/>
              </w:rPr>
              <w:t>(5)</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7/14/2018</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7/14/2018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68,751</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7/14/2018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3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60,000</w:t>
            </w:r>
            <w:r>
              <w:rPr>
                <w:rFonts w:ascii="Arial" w:cs="Arial" w:eastAsia="Arial" w:hAnsi="Arial"/>
                <w:sz w:val="29"/>
                <w:szCs w:val="29"/>
                <w:color w:val="auto"/>
                <w:vertAlign w:val="superscript"/>
              </w:rPr>
              <w:t>(6)</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5/19/2020</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3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45,000</w:t>
            </w:r>
            <w:r>
              <w:rPr>
                <w:rFonts w:ascii="Arial" w:cs="Arial" w:eastAsia="Arial" w:hAnsi="Arial"/>
                <w:sz w:val="29"/>
                <w:szCs w:val="29"/>
                <w:color w:val="auto"/>
                <w:vertAlign w:val="superscript"/>
              </w:rPr>
              <w:t>(7)</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5/19/2020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30,000</w:t>
            </w:r>
            <w:r>
              <w:rPr>
                <w:rFonts w:ascii="Arial" w:cs="Arial" w:eastAsia="Arial" w:hAnsi="Arial"/>
                <w:sz w:val="29"/>
                <w:szCs w:val="29"/>
                <w:color w:val="auto"/>
                <w:vertAlign w:val="superscript"/>
              </w:rPr>
              <w:t>(8)</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$2,395,712</w:t>
            </w:r>
          </w:p>
        </w:tc>
        <w:tc>
          <w:tcPr>
            <w:tcW w:w="0" w:type="dxa"/>
            <w:vAlign w:val="bottom"/>
          </w:tcPr>
          <w:p>
            <w:pPr>
              <w:spacing w:after="0"/>
              <w:rPr>
                <w:sz w:val="1"/>
                <w:szCs w:val="1"/>
                <w:color w:val="auto"/>
              </w:rPr>
            </w:pPr>
          </w:p>
        </w:tc>
      </w:tr>
      <w:tr>
        <w:trPr>
          <w:trHeight w:val="458"/>
        </w:trPr>
        <w:tc>
          <w:tcPr>
            <w:tcW w:w="1780" w:type="dxa"/>
            <w:vAlign w:val="bottom"/>
            <w:gridSpan w:val="4"/>
          </w:tcPr>
          <w:p>
            <w:pPr>
              <w:spacing w:after="0"/>
              <w:rPr>
                <w:sz w:val="20"/>
                <w:szCs w:val="20"/>
                <w:color w:val="auto"/>
              </w:rPr>
            </w:pPr>
            <w:r>
              <w:rPr>
                <w:rFonts w:ascii="Arial" w:cs="Arial" w:eastAsia="Arial" w:hAnsi="Arial"/>
                <w:sz w:val="18"/>
                <w:szCs w:val="18"/>
                <w:color w:val="auto"/>
              </w:rPr>
              <w:t>Kevin J. Wilcox</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1/31/2014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1/31/2014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4,798</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1/31/2015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1/31/2016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8,130</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5/10/2017</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38,751</w:t>
            </w:r>
          </w:p>
        </w:tc>
        <w:tc>
          <w:tcPr>
            <w:tcW w:w="13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12,916</w:t>
            </w:r>
            <w:r>
              <w:rPr>
                <w:rFonts w:ascii="Arial" w:cs="Arial" w:eastAsia="Arial" w:hAnsi="Arial"/>
                <w:sz w:val="29"/>
                <w:szCs w:val="29"/>
                <w:color w:val="auto"/>
                <w:vertAlign w:val="superscript"/>
              </w:rPr>
              <w:t>(5)</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7/14/2018</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103,334</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7/14/2018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7/14/2018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30,000</w:t>
            </w:r>
            <w:r>
              <w:rPr>
                <w:rFonts w:ascii="Arial" w:cs="Arial" w:eastAsia="Arial" w:hAnsi="Arial"/>
                <w:sz w:val="29"/>
                <w:szCs w:val="29"/>
                <w:color w:val="auto"/>
                <w:vertAlign w:val="superscript"/>
              </w:rPr>
              <w:t>(6)</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5/19/2020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22,500</w:t>
            </w:r>
            <w:r>
              <w:rPr>
                <w:rFonts w:ascii="Arial" w:cs="Arial" w:eastAsia="Arial" w:hAnsi="Arial"/>
                <w:sz w:val="29"/>
                <w:szCs w:val="29"/>
                <w:color w:val="auto"/>
                <w:vertAlign w:val="superscript"/>
              </w:rPr>
              <w:t>(7)</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5/19/2020</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3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(8)</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5/19/2020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14,608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$1,197,856</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14,625</w:t>
            </w:r>
            <w:r>
              <w:rPr>
                <w:rFonts w:ascii="Arial" w:cs="Arial" w:eastAsia="Arial" w:hAnsi="Arial"/>
                <w:sz w:val="29"/>
                <w:szCs w:val="29"/>
                <w:color w:val="auto"/>
                <w:vertAlign w:val="superscript"/>
              </w:rPr>
              <w:t>(9)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3/12/2022</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14,625</w:t>
            </w:r>
            <w:r>
              <w:rPr>
                <w:rFonts w:ascii="Arial" w:cs="Arial" w:eastAsia="Arial" w:hAnsi="Arial"/>
                <w:sz w:val="29"/>
                <w:szCs w:val="29"/>
                <w:color w:val="auto"/>
                <w:vertAlign w:val="superscript"/>
              </w:rPr>
              <w:t>(11)</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3/12/2022</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3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21,937</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3/12/2022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$711,350</w:t>
            </w:r>
          </w:p>
        </w:tc>
        <w:tc>
          <w:tcPr>
            <w:tcW w:w="0" w:type="dxa"/>
            <w:vAlign w:val="bottom"/>
          </w:tcPr>
          <w:p>
            <w:pPr>
              <w:spacing w:after="0"/>
              <w:rPr>
                <w:sz w:val="1"/>
                <w:szCs w:val="1"/>
                <w:color w:val="auto"/>
              </w:rPr>
            </w:pPr>
          </w:p>
        </w:tc>
      </w:tr>
      <w:tr>
        <w:trPr>
          <w:trHeight w:val="457"/>
        </w:trPr>
        <w:tc>
          <w:tcPr>
            <w:tcW w:w="1780" w:type="dxa"/>
            <w:vAlign w:val="bottom"/>
            <w:gridSpan w:val="4"/>
          </w:tcPr>
          <w:p>
            <w:pPr>
              <w:spacing w:after="0"/>
              <w:rPr>
                <w:sz w:val="20"/>
                <w:szCs w:val="20"/>
                <w:color w:val="auto"/>
              </w:rPr>
            </w:pPr>
            <w:r>
              <w:rPr>
                <w:rFonts w:ascii="Arial" w:cs="Arial" w:eastAsia="Arial" w:hAnsi="Arial"/>
                <w:sz w:val="18"/>
                <w:szCs w:val="18"/>
                <w:color w:val="auto"/>
              </w:rPr>
              <w:t>Robert D. Stiles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540" w:right="140" w:hanging="532"/>
        <w:spacing w:after="0" w:line="210" w:lineRule="auto"/>
        <w:tabs>
          <w:tab w:leader="none" w:pos="5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Represents the AAMC Restricted Stock granted to our named executive officers pursuant to the Altisource Asset Management Corporation 2012 Equity Incentive Plan on December 11, 2012, which is subject to the vesting conditions described in our Compensation Discussion and Analysis under "Equity Incentive Plan."</w:t>
      </w:r>
    </w:p>
    <w:p>
      <w:pPr>
        <w:spacing w:after="0" w:line="112" w:lineRule="exact"/>
        <w:rPr>
          <w:rFonts w:ascii="Arial" w:cs="Arial" w:eastAsia="Arial" w:hAnsi="Arial"/>
          <w:sz w:val="29"/>
          <w:szCs w:val="29"/>
          <w:color w:val="auto"/>
          <w:vertAlign w:val="superscript"/>
        </w:rPr>
      </w:pPr>
    </w:p>
    <w:p>
      <w:pPr>
        <w:ind w:left="540" w:hanging="532"/>
        <w:spacing w:after="0"/>
        <w:tabs>
          <w:tab w:leader="none" w:pos="5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Options awarded where the performance hurdles have been achieved but remain subject to additional Service-based criteria.</w:t>
      </w:r>
    </w:p>
    <w:p>
      <w:pPr>
        <w:spacing w:after="0" w:line="146"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Options awarded where the performance hurdles have not been achieved.</w:t>
      </w:r>
    </w:p>
    <w:p>
      <w:pPr>
        <w:sectPr>
          <w:pgSz w:w="11900" w:h="16838" w:orient="portrait"/>
          <w:cols w:equalWidth="0" w:num="1">
            <w:col w:w="11380"/>
          </w:cols>
          <w:pgMar w:left="240" w:top="125" w:right="279" w:bottom="1440" w:gutter="0" w:footer="0" w:header="0"/>
        </w:sect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39" w:name="page40"/>
    <w:bookmarkEnd w:id="39"/>
    <w:p>
      <w:pPr>
        <w:ind w:left="532" w:hanging="532"/>
        <w:spacing w:after="0" w:line="194"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exercise price of each outstanding stock option of Altisource was adjusted to reflect the value of Residential and AAMC common stock distributed to Altisource shareholders in connection with the spin-off transactions completed on December 21, 2012.</w:t>
      </w:r>
    </w:p>
    <w:p>
      <w:pPr>
        <w:spacing w:after="0" w:line="113" w:lineRule="exact"/>
        <w:rPr>
          <w:rFonts w:ascii="Arial" w:cs="Arial" w:eastAsia="Arial" w:hAnsi="Arial"/>
          <w:sz w:val="29"/>
          <w:szCs w:val="29"/>
          <w:color w:val="auto"/>
          <w:vertAlign w:val="superscript"/>
        </w:rPr>
      </w:pPr>
    </w:p>
    <w:p>
      <w:pPr>
        <w:ind w:left="532" w:hanging="532"/>
        <w:spacing w:after="0"/>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Options vest on June 15, 2013.</w:t>
      </w:r>
    </w:p>
    <w:p>
      <w:pPr>
        <w:spacing w:after="0" w:line="146" w:lineRule="exact"/>
        <w:rPr>
          <w:rFonts w:ascii="Arial" w:cs="Arial" w:eastAsia="Arial" w:hAnsi="Arial"/>
          <w:sz w:val="29"/>
          <w:szCs w:val="29"/>
          <w:color w:val="auto"/>
          <w:vertAlign w:val="superscript"/>
        </w:rPr>
      </w:pPr>
    </w:p>
    <w:p>
      <w:pPr>
        <w:ind w:left="532" w:hanging="532"/>
        <w:spacing w:after="0" w:line="205"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Options vest in two (2) equal installments on December 6, 2013 and December 6, 2014.</w:t>
      </w:r>
    </w:p>
    <w:p>
      <w:pPr>
        <w:spacing w:after="0" w:line="160" w:lineRule="exact"/>
        <w:rPr>
          <w:rFonts w:ascii="Arial" w:cs="Arial" w:eastAsia="Arial" w:hAnsi="Arial"/>
          <w:sz w:val="29"/>
          <w:szCs w:val="29"/>
          <w:color w:val="auto"/>
          <w:vertAlign w:val="superscript"/>
        </w:rPr>
      </w:pPr>
    </w:p>
    <w:p>
      <w:pPr>
        <w:ind w:left="532" w:hanging="532"/>
        <w:spacing w:after="0" w:line="195"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Options vest in three (3) equal installments on July 2, 2013, July 2, 2014 and July 2, 2015.</w:t>
      </w:r>
    </w:p>
    <w:p>
      <w:pPr>
        <w:spacing w:after="0" w:line="161" w:lineRule="exact"/>
        <w:rPr>
          <w:rFonts w:ascii="Arial" w:cs="Arial" w:eastAsia="Arial" w:hAnsi="Arial"/>
          <w:sz w:val="29"/>
          <w:szCs w:val="29"/>
          <w:color w:val="auto"/>
          <w:vertAlign w:val="superscript"/>
        </w:rPr>
      </w:pPr>
    </w:p>
    <w:p>
      <w:pPr>
        <w:ind w:left="532" w:hanging="532"/>
        <w:spacing w:after="0" w:line="205"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Options vest in two (2) equal installments on May 19, 2013 and May 19, 2014.</w:t>
      </w:r>
    </w:p>
    <w:p>
      <w:pPr>
        <w:spacing w:after="0" w:line="210" w:lineRule="exact"/>
        <w:rPr>
          <w:rFonts w:ascii="Arial" w:cs="Arial" w:eastAsia="Arial" w:hAnsi="Arial"/>
          <w:sz w:val="29"/>
          <w:szCs w:val="29"/>
          <w:color w:val="auto"/>
          <w:vertAlign w:val="superscript"/>
        </w:rPr>
      </w:pPr>
    </w:p>
    <w:p>
      <w:pPr>
        <w:ind w:left="532" w:right="420" w:hanging="532"/>
        <w:spacing w:after="0" w:line="194"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25% of options vest upon Altisource achieving a stock price of $182.28 and an annual rate of return of 25% over the exercise price with the balance vesting 25% each subsequent anniversary thereof.</w:t>
      </w:r>
    </w:p>
    <w:p>
      <w:pPr>
        <w:spacing w:after="0" w:line="100" w:lineRule="exact"/>
        <w:rPr>
          <w:rFonts w:ascii="Arial" w:cs="Arial" w:eastAsia="Arial" w:hAnsi="Arial"/>
          <w:sz w:val="29"/>
          <w:szCs w:val="29"/>
          <w:color w:val="auto"/>
          <w:vertAlign w:val="superscript"/>
        </w:rPr>
      </w:pPr>
    </w:p>
    <w:p>
      <w:pPr>
        <w:ind w:left="532" w:hanging="532"/>
        <w:spacing w:after="0"/>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Ms. Esterman joined the Company effective March 12, 2012.</w:t>
      </w:r>
    </w:p>
    <w:p>
      <w:pPr>
        <w:spacing w:after="0" w:line="160" w:lineRule="exact"/>
        <w:rPr>
          <w:rFonts w:ascii="Arial" w:cs="Arial" w:eastAsia="Arial" w:hAnsi="Arial"/>
          <w:sz w:val="29"/>
          <w:szCs w:val="29"/>
          <w:color w:val="auto"/>
          <w:vertAlign w:val="superscript"/>
        </w:rPr>
      </w:pPr>
    </w:p>
    <w:p>
      <w:pPr>
        <w:ind w:left="532" w:hanging="532"/>
        <w:spacing w:after="0" w:line="205"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Options vest in four (4) equal installments on March 12, 2013, March 12, 2014, March 12, 2015 and March 12, 2016.</w:t>
      </w:r>
    </w:p>
    <w:p>
      <w:pPr>
        <w:spacing w:after="0" w:line="147" w:lineRule="exact"/>
        <w:rPr>
          <w:rFonts w:ascii="Arial" w:cs="Arial" w:eastAsia="Arial" w:hAnsi="Arial"/>
          <w:sz w:val="29"/>
          <w:szCs w:val="29"/>
          <w:color w:val="auto"/>
          <w:vertAlign w:val="superscript"/>
        </w:rPr>
      </w:pPr>
    </w:p>
    <w:p>
      <w:pPr>
        <w:ind w:left="532" w:hanging="532"/>
        <w:spacing w:after="0" w:line="205" w:lineRule="auto"/>
        <w:tabs>
          <w:tab w:leader="none" w:pos="532"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Options vest in three (3) equal installments on October 24, 2013, October 24, 2014 and October 24, 2015.</w:t>
      </w:r>
    </w:p>
    <w:p>
      <w:pPr>
        <w:spacing w:after="0" w:line="21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Option Exercises</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2012 for our named executive officers: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5"/>
              </w:rPr>
              <w:t>No. Shares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1"/>
              </w:rPr>
              <w:t>Exercise</w:t>
            </w:r>
          </w:p>
        </w:tc>
        <w:tc>
          <w:tcPr>
            <w:tcW w:w="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Exercise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Market</w:t>
            </w: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Market</w:t>
            </w:r>
          </w:p>
        </w:tc>
        <w:tc>
          <w:tcPr>
            <w:tcW w:w="18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 Realized</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5"/>
              </w:rPr>
              <w:t>Name</w:t>
            </w:r>
          </w:p>
        </w:tc>
        <w:tc>
          <w:tcPr>
            <w:tcW w:w="13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on Exercise</w:t>
            </w:r>
          </w:p>
        </w:tc>
        <w:tc>
          <w:tcPr>
            <w:tcW w:w="20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180" w:type="dxa"/>
            <w:vAlign w:val="bottom"/>
            <w:shd w:val="clear" w:color="auto" w:fill="CCEEFF"/>
          </w:tcPr>
          <w:p>
            <w:pPr>
              <w:jc w:val="right"/>
              <w:spacing w:after="0" w:line="251" w:lineRule="exact"/>
              <w:rPr>
                <w:sz w:val="20"/>
                <w:szCs w:val="20"/>
                <w:color w:val="auto"/>
              </w:rPr>
            </w:pPr>
            <w:r>
              <w:rPr>
                <w:rFonts w:ascii="Arial" w:cs="Arial" w:eastAsia="Arial" w:hAnsi="Arial"/>
                <w:sz w:val="18"/>
                <w:szCs w:val="18"/>
                <w:color w:val="auto"/>
              </w:rPr>
              <w:t>7,018</w:t>
            </w:r>
            <w:r>
              <w:rPr>
                <w:rFonts w:ascii="Arial" w:cs="Arial" w:eastAsia="Arial" w:hAnsi="Arial"/>
                <w:sz w:val="29"/>
                <w:szCs w:val="29"/>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$588,474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$564,945</w:t>
            </w:r>
          </w:p>
        </w:tc>
        <w:tc>
          <w:tcPr>
            <w:tcW w:w="200" w:type="dxa"/>
            <w:vAlign w:val="bottom"/>
            <w:shd w:val="clear" w:color="auto" w:fill="CCEEFF"/>
          </w:tcPr>
          <w:p>
            <w:pPr>
              <w:spacing w:after="0"/>
              <w:rPr>
                <w:sz w:val="21"/>
                <w:szCs w:val="21"/>
                <w:color w:val="auto"/>
              </w:rPr>
            </w:pPr>
          </w:p>
        </w:tc>
      </w:tr>
      <w:tr>
        <w:trPr>
          <w:trHeight w:val="500"/>
        </w:trPr>
        <w:tc>
          <w:tcPr>
            <w:tcW w:w="2400" w:type="dxa"/>
            <w:vAlign w:val="bottom"/>
            <w:gridSpan w:val="4"/>
          </w:tcPr>
          <w:p>
            <w:pPr>
              <w:spacing w:after="0"/>
              <w:rPr>
                <w:sz w:val="20"/>
                <w:szCs w:val="20"/>
                <w:color w:val="auto"/>
              </w:rPr>
            </w:pPr>
            <w:r>
              <w:rPr>
                <w:rFonts w:ascii="Arial" w:cs="Arial" w:eastAsia="Arial" w:hAnsi="Arial"/>
                <w:sz w:val="18"/>
                <w:szCs w:val="18"/>
                <w:color w:val="auto"/>
              </w:rPr>
              <w:t>William B. Shepro</w:t>
            </w:r>
          </w:p>
        </w:tc>
        <w:tc>
          <w:tcPr>
            <w:tcW w:w="1180" w:type="dxa"/>
            <w:vAlign w:val="bottom"/>
          </w:tcPr>
          <w:p>
            <w:pPr>
              <w:jc w:val="right"/>
              <w:spacing w:after="0"/>
              <w:rPr>
                <w:sz w:val="20"/>
                <w:szCs w:val="20"/>
                <w:color w:val="auto"/>
              </w:rPr>
            </w:pPr>
            <w:r>
              <w:rPr>
                <w:rFonts w:ascii="Arial" w:cs="Arial" w:eastAsia="Arial" w:hAnsi="Arial"/>
                <w:sz w:val="18"/>
                <w:szCs w:val="18"/>
                <w:color w:val="auto"/>
              </w:rPr>
              <w:t>679</w:t>
            </w:r>
            <w:r>
              <w:rPr>
                <w:rFonts w:ascii="Arial" w:cs="Arial" w:eastAsia="Arial" w:hAnsi="Arial"/>
                <w:sz w:val="29"/>
                <w:szCs w:val="29"/>
                <w:color w:val="auto"/>
                <w:vertAlign w:val="superscript"/>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$56,935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$55,420</w:t>
            </w:r>
          </w:p>
        </w:tc>
        <w:tc>
          <w:tcPr>
            <w:tcW w:w="20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r>
              <w:rPr>
                <w:rFonts w:ascii="Arial" w:cs="Arial" w:eastAsia="Arial" w:hAnsi="Arial"/>
                <w:sz w:val="29"/>
                <w:szCs w:val="29"/>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$169,271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$160,389</w:t>
            </w:r>
          </w:p>
        </w:tc>
        <w:tc>
          <w:tcPr>
            <w:tcW w:w="200" w:type="dxa"/>
            <w:vAlign w:val="bottom"/>
            <w:shd w:val="clear" w:color="auto" w:fill="CCEEFF"/>
          </w:tcPr>
          <w:p>
            <w:pPr>
              <w:spacing w:after="0"/>
              <w:rPr>
                <w:sz w:val="24"/>
                <w:szCs w:val="24"/>
                <w:color w:val="auto"/>
              </w:rPr>
            </w:pPr>
          </w:p>
        </w:tc>
      </w:tr>
      <w:tr>
        <w:trPr>
          <w:trHeight w:val="500"/>
        </w:trPr>
        <w:tc>
          <w:tcPr>
            <w:tcW w:w="2400" w:type="dxa"/>
            <w:vAlign w:val="bottom"/>
            <w:gridSpan w:val="4"/>
          </w:tcPr>
          <w:p>
            <w:pPr>
              <w:spacing w:after="0"/>
              <w:rPr>
                <w:sz w:val="20"/>
                <w:szCs w:val="20"/>
                <w:color w:val="auto"/>
              </w:rPr>
            </w:pPr>
            <w:r>
              <w:rPr>
                <w:rFonts w:ascii="Arial" w:cs="Arial" w:eastAsia="Arial" w:hAnsi="Arial"/>
                <w:sz w:val="18"/>
                <w:szCs w:val="18"/>
                <w:color w:val="auto"/>
              </w:rPr>
              <w:t>Kevin J. Wilcox</w:t>
            </w:r>
          </w:p>
        </w:tc>
        <w:tc>
          <w:tcPr>
            <w:tcW w:w="1180" w:type="dxa"/>
            <w:vAlign w:val="bottom"/>
          </w:tcPr>
          <w:p>
            <w:pPr>
              <w:jc w:val="right"/>
              <w:spacing w:after="0"/>
              <w:rPr>
                <w:sz w:val="20"/>
                <w:szCs w:val="20"/>
                <w:color w:val="auto"/>
              </w:rPr>
            </w:pPr>
            <w:r>
              <w:rPr>
                <w:rFonts w:ascii="Arial" w:cs="Arial" w:eastAsia="Arial" w:hAnsi="Arial"/>
                <w:sz w:val="18"/>
                <w:szCs w:val="18"/>
                <w:color w:val="auto"/>
              </w:rPr>
              <w:t>1,766</w:t>
            </w:r>
            <w:r>
              <w:rPr>
                <w:rFonts w:ascii="Arial" w:cs="Arial" w:eastAsia="Arial" w:hAnsi="Arial"/>
                <w:sz w:val="29"/>
                <w:szCs w:val="29"/>
                <w:color w:val="auto"/>
                <w:vertAlign w:val="superscript"/>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$112,847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$108,907</w:t>
            </w:r>
          </w:p>
        </w:tc>
        <w:tc>
          <w:tcPr>
            <w:tcW w:w="20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29"/>
                <w:szCs w:val="29"/>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$883,146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$676,797</w:t>
            </w:r>
          </w:p>
        </w:tc>
        <w:tc>
          <w:tcPr>
            <w:tcW w:w="200" w:type="dxa"/>
            <w:vAlign w:val="bottom"/>
            <w:shd w:val="clear" w:color="auto" w:fill="CCEEFF"/>
          </w:tcPr>
          <w:p>
            <w:pPr>
              <w:spacing w:after="0"/>
              <w:rPr>
                <w:sz w:val="24"/>
                <w:szCs w:val="24"/>
                <w:color w:val="auto"/>
              </w:rPr>
            </w:pPr>
          </w:p>
        </w:tc>
      </w:tr>
      <w:tr>
        <w:trPr>
          <w:trHeight w:val="458"/>
        </w:trPr>
        <w:tc>
          <w:tcPr>
            <w:tcW w:w="2400" w:type="dxa"/>
            <w:vAlign w:val="bottom"/>
            <w:gridSpan w:val="4"/>
          </w:tcPr>
          <w:p>
            <w:pPr>
              <w:spacing w:after="0"/>
              <w:rPr>
                <w:sz w:val="20"/>
                <w:szCs w:val="20"/>
                <w:color w:val="auto"/>
              </w:rPr>
            </w:pPr>
            <w:r>
              <w:rPr>
                <w:rFonts w:ascii="Arial" w:cs="Arial" w:eastAsia="Arial" w:hAnsi="Arial"/>
                <w:sz w:val="18"/>
                <w:szCs w:val="18"/>
                <w:color w:val="auto"/>
              </w:rPr>
              <w:t>Robert D. Stiles</w:t>
            </w:r>
          </w:p>
        </w:tc>
        <w:tc>
          <w:tcPr>
            <w:tcW w:w="1180" w:type="dxa"/>
            <w:vAlign w:val="bottom"/>
          </w:tcPr>
          <w:p>
            <w:pPr>
              <w:jc w:val="right"/>
              <w:spacing w:after="0"/>
              <w:rPr>
                <w:sz w:val="20"/>
                <w:szCs w:val="20"/>
                <w:color w:val="auto"/>
              </w:rPr>
            </w:pPr>
            <w:r>
              <w:rPr>
                <w:rFonts w:ascii="Arial" w:cs="Arial" w:eastAsia="Arial" w:hAnsi="Arial"/>
                <w:sz w:val="18"/>
                <w:szCs w:val="18"/>
                <w:color w:val="auto"/>
              </w:rPr>
              <w:t>11,435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$251,684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$692,504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$440,820</w:t>
            </w:r>
          </w:p>
        </w:tc>
        <w:tc>
          <w:tcPr>
            <w:tcW w:w="200" w:type="dxa"/>
            <w:vAlign w:val="bottom"/>
          </w:tcPr>
          <w:p>
            <w:pPr>
              <w:spacing w:after="0"/>
              <w:rPr>
                <w:sz w:val="24"/>
                <w:szCs w:val="24"/>
                <w:color w:val="auto"/>
              </w:rPr>
            </w:pPr>
          </w:p>
        </w:tc>
      </w:tr>
      <w:tr>
        <w:trPr>
          <w:trHeight w:val="460"/>
        </w:trPr>
        <w:tc>
          <w:tcPr>
            <w:tcW w:w="20" w:type="dxa"/>
            <w:vAlign w:val="bottom"/>
          </w:tcPr>
          <w:p>
            <w:pPr>
              <w:spacing w:after="0"/>
              <w:rPr>
                <w:sz w:val="24"/>
                <w:szCs w:val="2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D. Stiles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200" w:type="dxa"/>
            <w:vAlign w:val="bottom"/>
            <w:shd w:val="clear" w:color="auto" w:fill="CCEEFF"/>
          </w:tcPr>
          <w:p>
            <w:pPr>
              <w:spacing w:after="0"/>
              <w:rPr>
                <w:sz w:val="24"/>
                <w:szCs w:val="24"/>
                <w:color w:val="auto"/>
              </w:rPr>
            </w:pPr>
          </w:p>
        </w:tc>
      </w:tr>
      <w:tr>
        <w:trPr>
          <w:trHeight w:val="458"/>
        </w:trPr>
        <w:tc>
          <w:tcPr>
            <w:tcW w:w="2400" w:type="dxa"/>
            <w:vAlign w:val="bottom"/>
            <w:gridSpan w:val="4"/>
          </w:tcPr>
          <w:p>
            <w:pPr>
              <w:spacing w:after="0"/>
              <w:rPr>
                <w:sz w:val="20"/>
                <w:szCs w:val="20"/>
                <w:color w:val="auto"/>
              </w:rPr>
            </w:pPr>
            <w:r>
              <w:rPr>
                <w:rFonts w:ascii="Arial" w:cs="Arial" w:eastAsia="Arial" w:hAnsi="Arial"/>
                <w:sz w:val="18"/>
                <w:szCs w:val="18"/>
                <w:color w:val="auto"/>
              </w:rPr>
              <w:t>Robert D. Stiles</w:t>
            </w:r>
          </w:p>
        </w:tc>
        <w:tc>
          <w:tcPr>
            <w:tcW w:w="1180" w:type="dxa"/>
            <w:vAlign w:val="bottom"/>
          </w:tcPr>
          <w:p>
            <w:pPr>
              <w:jc w:val="right"/>
              <w:spacing w:after="0"/>
              <w:rPr>
                <w:sz w:val="20"/>
                <w:szCs w:val="20"/>
                <w:color w:val="auto"/>
              </w:rPr>
            </w:pPr>
            <w:r>
              <w:rPr>
                <w:rFonts w:ascii="Arial" w:cs="Arial" w:eastAsia="Arial" w:hAnsi="Arial"/>
                <w:sz w:val="18"/>
                <w:szCs w:val="18"/>
                <w:color w:val="auto"/>
              </w:rPr>
              <w:t>550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$34,678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$21,010</w:t>
            </w:r>
          </w:p>
        </w:tc>
        <w:tc>
          <w:tcPr>
            <w:tcW w:w="200" w:type="dxa"/>
            <w:vAlign w:val="bottom"/>
          </w:tcPr>
          <w:p>
            <w:pPr>
              <w:spacing w:after="0"/>
              <w:rPr>
                <w:sz w:val="24"/>
                <w:szCs w:val="24"/>
                <w:color w:val="auto"/>
              </w:rPr>
            </w:pPr>
          </w:p>
        </w:tc>
      </w:tr>
      <w:tr>
        <w:trPr>
          <w:trHeight w:val="460"/>
        </w:trPr>
        <w:tc>
          <w:tcPr>
            <w:tcW w:w="20" w:type="dxa"/>
            <w:vAlign w:val="bottom"/>
          </w:tcPr>
          <w:p>
            <w:pPr>
              <w:spacing w:after="0"/>
              <w:rPr>
                <w:sz w:val="24"/>
                <w:szCs w:val="24"/>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D. Stiles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$545,458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$1,400,191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$854,733</w:t>
            </w:r>
          </w:p>
        </w:tc>
        <w:tc>
          <w:tcPr>
            <w:tcW w:w="200" w:type="dxa"/>
            <w:vAlign w:val="bottom"/>
            <w:shd w:val="clear" w:color="auto" w:fill="CCEEFF"/>
          </w:tcPr>
          <w:p>
            <w:pPr>
              <w:spacing w:after="0"/>
              <w:rPr>
                <w:sz w:val="24"/>
                <w:szCs w:val="24"/>
                <w:color w:val="auto"/>
              </w:rPr>
            </w:pPr>
          </w:p>
        </w:tc>
      </w:tr>
    </w:tbl>
    <w:p>
      <w:pPr>
        <w:spacing w:after="0" w:line="208" w:lineRule="exact"/>
        <w:rPr>
          <w:sz w:val="20"/>
          <w:szCs w:val="20"/>
          <w:color w:val="auto"/>
        </w:rPr>
      </w:pPr>
    </w:p>
    <w:p>
      <w:pPr>
        <w:ind w:left="1680" w:hanging="531"/>
        <w:spacing w:after="0" w:line="194" w:lineRule="auto"/>
        <w:tabs>
          <w:tab w:leader="none" w:pos="16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These options were awarded as a result of the separation from Ocwen due to options that had originally been awarded while the executive was employed at Ocwen and would have expired as of January 31, 2013 if not exercised.</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Mr. Stiles resigned as Chief Financial Officer effective March 1, 2012.</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APPOINTMENT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CERTIFIED PUBLIC ACCOUNTING FIRM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Two)</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of our Board of Directors has appointed Deloitte &amp; Touche LLP to be our independent registered certified public accounting firm for the year ending December 31, 2013 and Deloitte Audit S.à r.l. to be our certified auditor for all statutory accounts as required by Luxembourg law for the same period (together "Deloitte"). The Audit Committee has further directed that such appointment be submitted for approval by our shareholders at the Annual Meeting of Shareholders.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80" w:lineRule="exact"/>
        <w:rPr>
          <w:sz w:val="20"/>
          <w:szCs w:val="20"/>
          <w:color w:val="auto"/>
        </w:rPr>
      </w:pPr>
    </w:p>
    <w:p>
      <w:pPr>
        <w:jc w:val="center"/>
        <w:ind w:left="260" w:right="1620"/>
        <w:spacing w:after="0" w:line="256"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CERTIFIED PUBLIC ACCOUNTING FIRM FOR 2013 AND DELOITTE AUDIT S.À R.L. AS THE CERTIFIED AUDITOR FOR ALL STATUTORY ACCOUNTS AS REQUIRED BY LUXEMBOURG LAW FOR THE SAME PERIOD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Reviewed and discussed with management Altisource's audited financial statements as of and for the year ended December 31, 2012;</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Discussed with Deloitte &amp; Touche LLP, Altisource's independent registered certified public accounting firm, the matters required to be discussed under PCAOB standards; and</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PCAOB regarding the independent registered certified public accounting firm's communications with the Audit Committee concerning independence and discussed with Deloitte &amp; Touche LLP their independence.</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reliance on the review and discussion referred to above, the Committee recommended to the Board of Directors that the audited financial statements be included in Altisource's annual report on Form 10-K for the year ended December 31, 2012.</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Roland Müller-Ineichen, Chairman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 Michael Linn, Director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 Vättö, Director</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-13970</wp:posOffset>
            </wp:positionV>
            <wp:extent cx="111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shows the aggregate fees billed to Altisource for professional services by Deloitte &amp; Touche LLP, the member firms of Deloitte Touche Tohmatsu, and their respective affiliates in fiscal years 2011 and 2012:</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29"/>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2011</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$1,189,928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$1,299,347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$215,403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$417,131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$1,405,331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$1,940,241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and expenses billed for professional services rendered for the audits of Altisource's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for fiscal years 2011 and 2012, for the reviews of the financial statements included in Altisource's quarterly reports on Form 10-Q during fiscal years 2011 and 2012 and for services that are normally provided by the independent registered certified public accounting firm and affiliates in connection with statutory and regulatory filings or engagements for the relevant fiscal year.</w:t>
      </w:r>
    </w:p>
    <w:p>
      <w:pPr>
        <w:spacing w:after="0" w:line="197"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b w:val="1"/>
          <w:bCs w:val="1"/>
          <w:i w:val="1"/>
          <w:iCs w:val="1"/>
          <w:color w:val="auto"/>
        </w:rPr>
        <w:t xml:space="preserve">Audit-Related Fees. </w:t>
      </w:r>
      <w:r>
        <w:rPr>
          <w:rFonts w:ascii="Arial" w:cs="Arial" w:eastAsia="Arial" w:hAnsi="Arial"/>
          <w:sz w:val="16"/>
          <w:szCs w:val="16"/>
          <w:color w:val="auto"/>
        </w:rPr>
        <w:t>This category includes the aggregate fees billed in fiscal years 2011 and 2012 for audit-related services by the independent registered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 The 2012 Audit-Related Fees represent billings related to the audits of the financial statements of Residential and AAMC included on Form 10 in connection with their spin-offs from Altisource.</w:t>
      </w:r>
    </w:p>
    <w:p>
      <w:pPr>
        <w:spacing w:after="0" w:line="17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fiscal years 2011 and 2012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for tax compliance, tax planning and tax advice.</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fiscal years 2011 and 2012 for products and services provided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that are not reported above under "Audit Fees," "Audit-Related Fees" or "Tax Fees."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Deloitte &amp; Touche LLP in fiscal years 2011 and 2012 and determined that such services and fees are compatible with the independence of Deloitte &amp; Touche LLP.</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2011 and 2012, all fees associated with the independent registered certified public accounting firm's services were pre-approved by the Audit Committee.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Representatives from Deloitte &amp; Touche LLP will be present at the Annual Meeting of Shareholders, will be given the opportunity to make a statement, if they desire to do so, and will be available to respond to questions from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jc w:val="center"/>
        <w:ind w:left="280" w:right="2520"/>
        <w:spacing w:after="0" w:line="253" w:lineRule="auto"/>
        <w:rPr>
          <w:sz w:val="20"/>
          <w:szCs w:val="20"/>
          <w:color w:val="auto"/>
        </w:rPr>
      </w:pPr>
      <w:r>
        <w:rPr>
          <w:rFonts w:ascii="Arial" w:cs="Arial" w:eastAsia="Arial" w:hAnsi="Arial"/>
          <w:sz w:val="18"/>
          <w:szCs w:val="18"/>
          <w:b w:val="1"/>
          <w:bCs w:val="1"/>
          <w:color w:val="auto"/>
        </w:rPr>
        <w:t xml:space="preserve">APPROVAL OF THE COMPANY'S ANNUAL ACCOUNTS PREPARED IN ACCORDANCE WITH LUXEMBOURG GAAP FOR THE YEAR ENDED DECEMBER 31, 2012 AND AS AMENDED AND RESTATED FOR THE YEARS ENDED DECEMBER 31, 2009 TO 2011, AND ITS CONSOLIDATED FINANCIAL STATEMENTS PREPARED IN ACCORDANCE WITH U.S. GAAP INCLUDING A FOOTNOTE RECONCILIATION OF EQUITY AND NET INCOME TO IFRS FOR THE YEAR ENDED DECEMBER 31, 2012 </w:t>
      </w:r>
      <w:r>
        <w:rPr>
          <w:rFonts w:ascii="Arial" w:cs="Arial" w:eastAsia="Arial" w:hAnsi="Arial"/>
          <w:sz w:val="18"/>
          <w:szCs w:val="18"/>
          <w:color w:val="auto"/>
        </w:rPr>
        <w:t>(Proposal Three)</w:t>
      </w:r>
    </w:p>
    <w:p>
      <w:pPr>
        <w:spacing w:after="0" w:line="200" w:lineRule="exact"/>
        <w:rPr>
          <w:sz w:val="20"/>
          <w:szCs w:val="20"/>
          <w:color w:val="auto"/>
        </w:rPr>
      </w:pPr>
    </w:p>
    <w:p>
      <w:pPr>
        <w:spacing w:after="0" w:line="221"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Pursuant to Luxembourg law, the Luxembourg Statutory Accounts must be submitted each year to shareholders for approval at the Annual Meeting of Shareholders.</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 and the notes for Altisource. There is no statement of movements in equity or statement of cash flows included in the Luxembourg Annual Accounts under Luxembourg GAAP. Profits earned by the subsidiaries of Altisource are not included in the Luxembourg Annual Accounts unless such amounts are distributed to Altisource.</w:t>
      </w:r>
    </w:p>
    <w:p>
      <w:pPr>
        <w:spacing w:after="0" w:line="16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Luxembourg Annual Accounts were amended and restated as of and for each of the three years ended December 31, 2009 to 2011 to include adjustments required under Luxembourg GAAP. The amended and restated Luxembourg Annual Accounts (1) include 6.7 million common shares redeemed by the Company prior to our separation from Ocwen on August 9, 2009 within Own Shares and Reserve for Own Shares on the balance sheets, (2) remove share-based compensation expense from the profit and loss accounts and (3) remove deferred income tax balances from the balance sheets.</w:t>
      </w:r>
    </w:p>
    <w:p>
      <w:pPr>
        <w:spacing w:after="0" w:line="16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Accordingly, the amended and restated Luxembourg Annual Accounts as of and for the year ended December 31, 2009, show Total Assets of $65.3 million and a profit for the year then ended of $0.9 million. The amended and restated Luxembourg Annual Accounts as of and for the year ended December 31, 2010, show Total Assets of $91.9 million and a profit for the year then ended of $2.2 million. The amended and restated Luxembourg Annual Accounts as of and for the year ended December 31, 2011, show Total Assets of $178.7 million and a loss for the year then ended of $0.8 million. The Luxembourg Annual Accounts as of and for the year ended December 31, 2012, show Total Assets of $174.0 million and a profit for the year then ended of $179.1 million.</w:t>
      </w:r>
    </w:p>
    <w:p>
      <w:pPr>
        <w:spacing w:after="0" w:line="17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The restatements of the Luxembourg Annual Accounts described above did not result in any change to the Consolidated Accounts for such periods. As of December 31, 2012, the Consolidated Accounts show IFRS Total Equity of $162.3 million and IFRS Net Income of $113.8 million for the year then ended.</w:t>
      </w:r>
    </w:p>
    <w:p>
      <w:pPr>
        <w:spacing w:after="0" w:line="17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3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Altisource's Luxembourg Statutory Accounts will be available to shareholders from April 15, 2013 until the conclusion of the Annual Meeting of Shareholders at Altisource's registered office.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jc w:val="center"/>
        <w:ind w:left="280" w:right="2800"/>
        <w:spacing w:after="0" w:line="270" w:lineRule="auto"/>
        <w:rPr>
          <w:sz w:val="20"/>
          <w:szCs w:val="20"/>
          <w:color w:val="auto"/>
        </w:rPr>
      </w:pPr>
      <w:r>
        <w:rPr>
          <w:rFonts w:ascii="Arial" w:cs="Arial" w:eastAsia="Arial" w:hAnsi="Arial"/>
          <w:sz w:val="18"/>
          <w:szCs w:val="18"/>
          <w:b w:val="1"/>
          <w:bCs w:val="1"/>
          <w:color w:val="auto"/>
        </w:rPr>
        <w:t xml:space="preserve">RECEIPT AND APPROVAL OF THE DIRECTORS' REPORTS FOR THE LUXEMBOURG STATUTORY ACCOUNTS </w:t>
      </w:r>
      <w:r>
        <w:rPr>
          <w:rFonts w:ascii="Arial" w:cs="Arial" w:eastAsia="Arial" w:hAnsi="Arial"/>
          <w:sz w:val="18"/>
          <w:szCs w:val="18"/>
          <w:color w:val="auto"/>
        </w:rPr>
        <w:t>(Proposal Four)</w:t>
      </w:r>
    </w:p>
    <w:p>
      <w:pPr>
        <w:spacing w:after="0" w:line="200" w:lineRule="exact"/>
        <w:rPr>
          <w:sz w:val="20"/>
          <w:szCs w:val="20"/>
          <w:color w:val="auto"/>
        </w:rPr>
      </w:pP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year(s), provide an explanation as to the results and certain other required Company matters and propose the allocation of such results to the shareholders.</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Directors' Reports for the Luxembourg Statutory Accounts will be available to shareholders from April 15, 2013 until the conclusion of the Annual Meeting of Shareholders at Altisource's registered office. Following shareholder approval of the Luxembourg Statutory Accounts, the Directors' Reports will be filed with the Luxembourg trade registry as public documents.</w:t>
      </w:r>
    </w:p>
    <w:p>
      <w:pPr>
        <w:spacing w:after="0" w:line="188" w:lineRule="exact"/>
        <w:rPr>
          <w:sz w:val="20"/>
          <w:szCs w:val="20"/>
          <w:color w:val="auto"/>
        </w:rPr>
      </w:pPr>
    </w:p>
    <w:p>
      <w:pPr>
        <w:jc w:val="center"/>
        <w:ind w:left="300" w:right="222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THE DIRECTORS' REPORTS FOR THE LUXEMBOURG STATUTORY ACCOUNTS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6" w:name="page47"/>
    <w:bookmarkEnd w:id="46"/>
    <w:p>
      <w:pPr>
        <w:jc w:val="center"/>
        <w:spacing w:after="0" w:line="270" w:lineRule="auto"/>
        <w:rPr>
          <w:sz w:val="20"/>
          <w:szCs w:val="20"/>
          <w:color w:val="auto"/>
        </w:rPr>
      </w:pPr>
      <w:r>
        <w:rPr>
          <w:rFonts w:ascii="Arial" w:cs="Arial" w:eastAsia="Arial" w:hAnsi="Arial"/>
          <w:sz w:val="18"/>
          <w:szCs w:val="18"/>
          <w:b w:val="1"/>
          <w:bCs w:val="1"/>
          <w:color w:val="auto"/>
        </w:rPr>
        <w:t xml:space="preserve">ALLOCATION OF THE RESULTS AND PART OF THE DISTRIBUTABLE RESERVE IN THE LUXEMBOURG ANNUAL ACCOUNTS </w:t>
      </w:r>
      <w:r>
        <w:rPr>
          <w:rFonts w:ascii="Arial" w:cs="Arial" w:eastAsia="Arial" w:hAnsi="Arial"/>
          <w:sz w:val="18"/>
          <w:szCs w:val="18"/>
          <w:color w:val="auto"/>
        </w:rPr>
        <w:t>(Proposal Five)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Each year, the shareholders of Altisource are required to approve the allocation of Altisource's results as determined by the Luxembourg Annual Accounts.</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Luxembourg law requires that at least 5% of the net profits, if any, for the Luxembourg Annual Accounts be allocated to a legal reserve; provided, however that an allocation ceases to be compulsory when the legal reserve reaches 10% of the share capital of Altisource, but again becomes compulsory when the reserve amount falls below this threshold.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proposes that the shareholders of the Company approve the allocation of the Company's results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2009</w:t>
      </w:r>
    </w:p>
    <w:p>
      <w:pPr>
        <w:spacing w:after="0" w:line="239" w:lineRule="exact"/>
        <w:rPr>
          <w:sz w:val="20"/>
          <w:szCs w:val="20"/>
          <w:color w:val="auto"/>
        </w:rPr>
      </w:pPr>
    </w:p>
    <w:p>
      <w:pPr>
        <w:ind w:left="1080" w:right="6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allocation to the Company's legal reserve of the profit for the financial year equal to $0.04 million, which is 5% of the net profit of the Company for the 2009 year;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allocation to profit brought forward of the remaining profit of $0.86 million, for a total profit of $0.9 million in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2010</w:t>
      </w:r>
    </w:p>
    <w:p>
      <w:pPr>
        <w:spacing w:after="0" w:line="239" w:lineRule="exact"/>
        <w:rPr>
          <w:sz w:val="20"/>
          <w:szCs w:val="20"/>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allocation to the Company's legal reserve of the profit for the financial year equal to $0.1 million, which is 5% of the net profit of the Company for the 2010 year;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allocation to profit brought forward of the remaining profit of $2.1 million, for a total profit of $2.2 million in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2011</w:t>
      </w:r>
    </w:p>
    <w:p>
      <w:pPr>
        <w:spacing w:after="0" w:line="252" w:lineRule="exact"/>
        <w:rPr>
          <w:sz w:val="20"/>
          <w:szCs w:val="20"/>
          <w:color w:val="auto"/>
        </w:rPr>
      </w:pPr>
    </w:p>
    <w:p>
      <w:pPr>
        <w:ind w:right="1420" w:firstLine="548"/>
        <w:spacing w:after="0" w:line="501"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 allocation of the Company's 2011 loss of $0.8 million to losses brought forward, partially offsetting profit brought forward. </w:t>
      </w:r>
      <w:r>
        <w:rPr>
          <w:rFonts w:ascii="Arial" w:cs="Arial" w:eastAsia="Arial" w:hAnsi="Arial"/>
          <w:sz w:val="18"/>
          <w:szCs w:val="18"/>
          <w:u w:val="single" w:color="auto"/>
          <w:color w:val="auto"/>
        </w:rPr>
        <w:t>Year Ended December 31, 2012</w:t>
      </w:r>
    </w:p>
    <w:p>
      <w:pPr>
        <w:spacing w:after="0" w:line="1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allocation to the Company's legal reserve of the profit for the financial year equal to $2.9 million, which is the remaining legal reserve required to reach 10% of the share capital of the Company;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allocation to profit brought forward of the remaining profit of $176.2 million, for a total profit of $179.1 million in 2012.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 OF THE RESULTS AND PART OF THE DISTRIBUTABLE RESERVE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ANNUAL ACCOUNTS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RATIFICATION OF THE DECLARATION AND PAYMENT OF THE INTERIM DIVIDENDS IN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CONNECTION WITH THE SEPARATION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RESIDENTIAL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ALTISOURCE ASSET MANAGEMENT CORPORATION FROM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Six)</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Luxembourg Law, the declaration and payment of interim dividends by the Board of Directors is subject to ratification by the shareholders at the following general meeting of shareholders.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12, 2012, in connection with the spin-offs of Residential and AAMC, the Board of Directors authorized the declaration and payment of interim dividends to the Company's shareholders paid in kind consisting of Residential Class B Common stock (the "Residential Shares") in the amount of $100.0 million and AAMC common stock (the "AAMC Shares") in the amount of $5.0 million.</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spin-offs were completed at the close of business on Friday, December 21, 2012, and the Residential Shares and AAMC Shares were electronically distributed on December 24, 2012 to the Company's shareholders as of December 17, 2012, in the ratio of 1 Residential Share for every 3 shares held in the Company and 1 AAMC Share for every 10 shares held in the Company. This distribution completed the separation of Residential and AAMC from the Company and began their transition to independent public companies.</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accordance with Luxembourg law, the Board of Directors proposes that the shareholders of the Company ratify the declaration and payment of the interim dividends described above.</w:t>
      </w:r>
    </w:p>
    <w:p>
      <w:pPr>
        <w:spacing w:after="0" w:line="180" w:lineRule="exact"/>
        <w:rPr>
          <w:sz w:val="20"/>
          <w:szCs w:val="20"/>
          <w:color w:val="auto"/>
        </w:rPr>
      </w:pPr>
    </w:p>
    <w:p>
      <w:pPr>
        <w:jc w:val="center"/>
        <w:ind w:left="260" w:right="1580"/>
        <w:spacing w:after="0" w:line="258"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DECLARATION AND PAYMENT OF THE INTERIM DIVIDENDS IN CONNECTION WITH THE SEPARATION OF ALTISOURCE RESIDENTIAL CORPORATION AND ALTISOURCE ASSET MANAGEMENT CORPORATION FROM THE COMPANY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jc w:val="center"/>
        <w:ind w:left="280" w:right="2780"/>
        <w:spacing w:after="0" w:line="257" w:lineRule="auto"/>
        <w:rPr>
          <w:sz w:val="20"/>
          <w:szCs w:val="20"/>
          <w:color w:val="auto"/>
        </w:rPr>
      </w:pPr>
      <w:r>
        <w:rPr>
          <w:rFonts w:ascii="Arial" w:cs="Arial" w:eastAsia="Arial" w:hAnsi="Arial"/>
          <w:sz w:val="18"/>
          <w:szCs w:val="18"/>
          <w:b w:val="1"/>
          <w:bCs w:val="1"/>
          <w:color w:val="auto"/>
        </w:rPr>
        <w:t xml:space="preserve">DISCHARGE OF EACH OF THE CURRENT AND PAST DIRECTORS OF ALTISOURCE PORTFOLIO SOLUTIONS S.A. FOR THE PERFORMANCE OF THEIR MANDATE DURING THE YEARS ENDED DECEMBER 31, 2009 TO 2012 </w:t>
      </w:r>
      <w:r>
        <w:rPr>
          <w:rFonts w:ascii="Arial" w:cs="Arial" w:eastAsia="Arial" w:hAnsi="Arial"/>
          <w:sz w:val="18"/>
          <w:szCs w:val="18"/>
          <w:color w:val="auto"/>
        </w:rPr>
        <w:t>(Proposal Seven)</w:t>
      </w:r>
    </w:p>
    <w:p>
      <w:pPr>
        <w:spacing w:after="0" w:line="200" w:lineRule="exact"/>
        <w:rPr>
          <w:sz w:val="20"/>
          <w:szCs w:val="20"/>
          <w:color w:val="auto"/>
        </w:rPr>
      </w:pPr>
    </w:p>
    <w:p>
      <w:pPr>
        <w:spacing w:after="0" w:line="2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in certain instances as specified in Article 75 of the Luxembourg Law of 10 August 1915 on commercial companies, as amended. For fiscal year 2012, Altisource believes no such instances have occurred.</w:t>
      </w:r>
    </w:p>
    <w:p>
      <w:pPr>
        <w:spacing w:after="0" w:line="164" w:lineRule="exact"/>
        <w:rPr>
          <w:sz w:val="20"/>
          <w:szCs w:val="20"/>
          <w:color w:val="auto"/>
        </w:rPr>
      </w:pPr>
    </w:p>
    <w:p>
      <w:pPr>
        <w:jc w:val="center"/>
        <w:ind w:left="280" w:right="1640"/>
        <w:spacing w:after="0" w:line="258" w:lineRule="auto"/>
        <w:rPr>
          <w:sz w:val="20"/>
          <w:szCs w:val="20"/>
          <w:color w:val="auto"/>
        </w:rPr>
      </w:pPr>
      <w:r>
        <w:rPr>
          <w:rFonts w:ascii="Arial" w:cs="Arial" w:eastAsia="Arial" w:hAnsi="Arial"/>
          <w:sz w:val="18"/>
          <w:szCs w:val="18"/>
          <w:b w:val="1"/>
          <w:bCs w:val="1"/>
          <w:color w:val="auto"/>
        </w:rPr>
        <w:t>OUR BOARD OF DIRECTORS UNANIMOUSLY RECOMMENDS THAT YOU VOTE "FOR" THE DISCHARGE OF EACH OF THE CURRENT AND PAST DIRECTORS OF ALTISOURCE PORTFOLIO SOLUTIONS S.A. FOR THE PERFORMANCE OF THEIR MANDATE DURING THE YEARS ENDED DECEMBER 31, 2009 TO 2012</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BUSINESS RELATIONSHIPS AND RELATED PARTY TRANSACTIONS</w:t>
      </w:r>
    </w:p>
    <w:p>
      <w:pPr>
        <w:spacing w:after="0" w:line="23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The Board of Directors has adopted a policy and procedure for review, approval and monitoring of transactions involving Altisource and related persons (Directors and named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This policy and procedure is not limited to related person transactions that meet the threshold for disclosure under the relevant SEC rules, as it broadly covers any situation in which a conflict of interest may arise.</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of Directors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7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December 31, 2012, Mr. Erbey, our Chairman owns or controls 13% of Ocwen's common stock, 23% of Altisource's common stock, 2% of HLSS's common stock, 23% of Residential's common stock and 23% of AAMC's common stock. Therefore, transactions between the Company and these entities are related party transactions.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July 2011, the Company acquired a 48.78% equity interest in Correspondent One S.A. ("Correspondent One").Therefore, transactions between the Company and Correspondent One are related party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Ocwen</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the year ended December 31, 2012, the Company generated segment revenue from Ocwen of $306.8 million for Mortgage Services, $0.2 million for Financial Services and $31.2 million for Technology Services. Services provided to Ocwen during such periods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technology services and license fees for the Company's REALSuite of products. The Company provided all services at rates it believes to be comparable to market rates.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 ended December 31, 2012, the Company billed Ocwen $2.7 million, and Ocwen billed the Company $2.4 million for services provided under support services agreements.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December 27, 2012, the Company loaned $75.0 million to Ocwen under an unsecured term loan agreement. Interest payments are due quarterly. The interest rate at December 31, 2012 was 8.25%, and interest income related to this loan was $0.1 million for the year ended December 31, 2012. On February 15, 2013, Ocwen fully repaid the term loan to Altisource.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auto"/>
        </w:rPr>
        <w:t>Correspondent One and HLSS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2012, the Company billed Correspondent One $0.4 million and HLSS $0.6 million under support services agreements.</w:t>
      </w:r>
    </w:p>
    <w:p>
      <w:pPr>
        <w:spacing w:after="0" w:line="24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also provides certain origination related services to Correspondent One. The Company earned revenue of $0.3 million for the year ended December 31, 2012 from the provision of these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 and AAMC</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For purposes of governing certain of the ongoing relationships between Altisource, Residential and AAMC after the spin-off transactions, and to provide for an orderly transition to the status of three independent companies, the Company entered into the following agreements with Residential and AAMC:</w:t>
      </w:r>
    </w:p>
    <w:p>
      <w:pPr>
        <w:spacing w:after="0" w:line="15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Separation Agreements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Master Services Agreement (Agreement with Residential only)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Support Services Agreements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Matters Agreements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Trademark License Agreements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Technology Products Services Agreement (Agreement with AAMC only)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with regard to related party transactions described above, please see the Company's Form 10-K filed on February 13, 2013.</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SHAREHOLDER PROPOSALS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Any proposal which a shareholder desires to have included in our proxy materials relating to our next Annual Meeting of Shareholders, which is scheduled to be held on May 21, 2014, must be received at our executive offices no later than December , 2013. All shareholder proposals for the 2014 Annual Meeting of Shareholders should be directed to our Corporate Secretary at Altisource Portfolio Solutions S.A., 291, route d'Arlon, L-1150 Luxembourg City, Grand Duchy of Luxembourg. We recommend that you send any shareholder proposal by certified mail, return-receipt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-325755</wp:posOffset>
            </wp:positionV>
            <wp:extent cx="1117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For any proposal that is not submitted for inclusion in the 2014 proxy statement, but is instead sought to be presented directly at the 2014 Annual Meeting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Shareholders, SEC rules permit management to vote proxies in its discretion if we: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90"/>
              </w:rPr>
              <w:t>(1)</w:t>
            </w:r>
          </w:p>
        </w:tc>
        <w:tc>
          <w:tcPr>
            <w:tcW w:w="10880" w:type="dxa"/>
            <w:vAlign w:val="bottom"/>
            <w:gridSpan w:val="5"/>
          </w:tcPr>
          <w:p>
            <w:pPr>
              <w:ind w:left="160"/>
              <w:spacing w:after="0"/>
              <w:rPr>
                <w:sz w:val="20"/>
                <w:szCs w:val="20"/>
                <w:color w:val="auto"/>
              </w:rPr>
            </w:pPr>
            <w:r>
              <w:rPr>
                <w:rFonts w:ascii="Arial" w:cs="Arial" w:eastAsia="Arial" w:hAnsi="Arial"/>
                <w:sz w:val="18"/>
                <w:szCs w:val="18"/>
                <w:color w:val="auto"/>
                <w:w w:val="88"/>
              </w:rPr>
              <w:t>receive notice of the proposal before the close of business on February   , 2014 and advise shareholders in the 2014 proxy statement about the nature of</w:t>
            </w:r>
          </w:p>
        </w:tc>
      </w:tr>
      <w:tr>
        <w:trPr>
          <w:trHeight w:val="235"/>
        </w:trPr>
        <w:tc>
          <w:tcPr>
            <w:tcW w:w="38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w w:val="93"/>
              </w:rPr>
              <w:t>the matter and how management intends to vote on such matter, or</w:t>
            </w:r>
          </w:p>
        </w:tc>
        <w:tc>
          <w:tcPr>
            <w:tcW w:w="160" w:type="dxa"/>
            <w:vAlign w:val="bottom"/>
            <w:tcBorders>
              <w:top w:val="single" w:sz="8" w:color="auto"/>
            </w:tcBorders>
          </w:tcPr>
          <w:p>
            <w:pPr>
              <w:spacing w:after="0"/>
              <w:rPr>
                <w:sz w:val="20"/>
                <w:szCs w:val="20"/>
                <w:color w:val="auto"/>
              </w:rPr>
            </w:pPr>
          </w:p>
        </w:tc>
        <w:tc>
          <w:tcPr>
            <w:tcW w:w="5540" w:type="dxa"/>
            <w:vAlign w:val="bottom"/>
            <w:gridSpan w:val="3"/>
          </w:tcPr>
          <w:p>
            <w:pPr>
              <w:spacing w:after="0"/>
              <w:rPr>
                <w:sz w:val="20"/>
                <w:szCs w:val="20"/>
                <w:color w:val="auto"/>
              </w:rPr>
            </w:pPr>
          </w:p>
        </w:tc>
      </w:tr>
      <w:tr>
        <w:trPr>
          <w:trHeight w:val="421"/>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90"/>
              </w:rPr>
              <w:t>(2)</w:t>
            </w:r>
          </w:p>
        </w:tc>
        <w:tc>
          <w:tcPr>
            <w:tcW w:w="10880" w:type="dxa"/>
            <w:vAlign w:val="bottom"/>
            <w:gridSpan w:val="5"/>
          </w:tcPr>
          <w:p>
            <w:pPr>
              <w:ind w:left="160"/>
              <w:spacing w:after="0"/>
              <w:rPr>
                <w:sz w:val="20"/>
                <w:szCs w:val="20"/>
                <w:color w:val="auto"/>
              </w:rPr>
            </w:pPr>
            <w:r>
              <w:rPr>
                <w:rFonts w:ascii="Arial" w:cs="Arial" w:eastAsia="Arial" w:hAnsi="Arial"/>
                <w:sz w:val="18"/>
                <w:szCs w:val="18"/>
                <w:color w:val="auto"/>
              </w:rPr>
              <w:t>do not receive notice of the proposal prior to the close of business on February   , 2014.</w:t>
            </w:r>
          </w:p>
        </w:tc>
      </w:tr>
      <w:tr>
        <w:trPr>
          <w:trHeight w:val="20"/>
        </w:trPr>
        <w:tc>
          <w:tcPr>
            <w:tcW w:w="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23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Notice of intent to present a proposal at the 2014 Annual Meeting of Shareholders should be directed to our Corporate Secretary at Altisource Portfolio Solutions S.A., 291, route d'Arlon, L-1150 Luxembourg City, Grand Duchy of Luxembourg.</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did not receive notice of any shareholder proposals relating to the 2013 Annual Meeting of Shareholders. At the 2013 Annual Meeting of Shareholders, our management may exercise discretionary authority when voting on any properly presented shareholder proposal that is not included as an agenda item in this proxy statement.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2012 was made available to shareholders on February 13, 2013.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w:t>
      </w:r>
    </w:p>
    <w:p>
      <w:pPr>
        <w:spacing w:after="0" w:line="18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our annual report on Form 10-K for the year ended December 31, 2012, required to be filed by us with the SEC under the Exchange Act. Such requests should be directed to Investor Relations, Altisource Portfolio Solutions S.A., 291, route d'Arlon, L-1150 Luxembourg City, Grand Duchy of Luxembourg.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2012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9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approval of the selection of the independent auditor; (3) for the approval of Altisource Portfolio Solutions S.A.'s Luxembourg Statutory Accounts; (4) for the proposal to receive and approve the Directors' reports for the Luxembourg Statutory Accounts; (5) for the proposal to allocate the results and part of the distributable reserve in the Luxembourg Annual Accounts; (6) for the ratification of the declaration and payment of the interim dividends in connection with the separation of Residential and AAMC from Altisource Portfolio Solutions S.A.; and (7) for the approval of the discharge of each of the current and past Directors of Altisource Portfolio Solutions S.A. for the performance of their mandate during the years ended December 31, 2009 to 2012. Should any matter not described above be properly presented at the meeting, the persons named in the proxy form will vote in accordance with their judgment.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2012 annual report to multiple shareholders who share an address unless that nominee has received contrary instructions from one (1) or more of the shareholders. Shareholders at an address to which a single copy of this proxy statement and our 2012 annual report was sent may request a separate copy by contacting Investor Relations, Altisource Portfolio Solutions S.A., 291, route d'Arlon, L-1150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This proxy statement and our 2012 annual report may be viewed online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In addition, this proxy statement and our 2012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b w:val="1"/>
                <w:bCs w:val="1"/>
                <w:color w:val="auto"/>
              </w:rPr>
              <w:t>VOTE BY INTERNET - www.proxyvote.com</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Use the lnternet to transmit your voting instructions and for electronic delivery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3"/>
              </w:rPr>
              <w:t>information up until 11:59 P.M. Eastern Time the day before the cut-off date or meeting</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ALTISOURCE PORTFOLIO SOLUTIONS S.A.</w:t>
            </w: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date. Have your proxy card in hand when you access the web site and follow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C/O PROXY SERVICES</w:t>
            </w: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5"/>
              </w:rPr>
              <w:t>instructions to obtain your records and to create an electronic voting instruction form.</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P.O. BOX 9142</w:t>
            </w:r>
          </w:p>
        </w:tc>
        <w:tc>
          <w:tcPr>
            <w:tcW w:w="68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ELECTRONIC DELIVERY OF FUTURE PROXY MATERIALS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FARMINGDALE, NY 11735</w:t>
            </w:r>
          </w:p>
        </w:tc>
        <w:tc>
          <w:tcPr>
            <w:tcW w:w="6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5"/>
              </w:rPr>
              <w:t>If you would like to reduce the costs incurred by Altisource Portfolio Solutions S.A. in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3"/>
              </w:rPr>
              <w:t>mailing proxy materials, you can consent to receiving all future proxy statements, proxy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cards and annual reports electronically via e-mail or the Internet. To sign up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4"/>
              </w:rPr>
              <w:t>electronic delivery, please follow the instructions above to vote using the Internet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rPr>
              <w:t>when prompted, indicate that you agree to receive or access proxy materials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electronically in future years.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4"/>
                <w:szCs w:val="24"/>
                <w:color w:val="auto"/>
              </w:rPr>
            </w:pPr>
          </w:p>
        </w:tc>
        <w:tc>
          <w:tcPr>
            <w:tcW w:w="4160" w:type="dxa"/>
            <w:vAlign w:val="bottom"/>
          </w:tcPr>
          <w:p>
            <w:pPr>
              <w:ind w:left="340"/>
              <w:spacing w:after="0"/>
              <w:rPr>
                <w:sz w:val="20"/>
                <w:szCs w:val="20"/>
                <w:color w:val="auto"/>
              </w:rPr>
            </w:pPr>
            <w:r>
              <w:rPr>
                <w:rFonts w:ascii="Arial" w:cs="Arial" w:eastAsia="Arial" w:hAnsi="Arial"/>
                <w:sz w:val="18"/>
                <w:szCs w:val="18"/>
                <w:b w:val="1"/>
                <w:bCs w:val="1"/>
                <w:color w:val="auto"/>
              </w:rPr>
              <w:t>VOTE BY PHONE - 1-800-690-6903</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5"/>
              </w:rPr>
              <w:t>Use any touch-tone telephone to transmit your voting instructions up until 11:59 P.M.</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4"/>
              </w:rPr>
              <w:t>Eastern Time the day before the cut-off date or meeting date. Have your proxy card in</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w w:val="92"/>
              </w:rPr>
              <w:t>hand when you call and then follow the instructions.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4"/>
                <w:szCs w:val="24"/>
                <w:color w:val="auto"/>
              </w:rPr>
            </w:pPr>
          </w:p>
        </w:tc>
        <w:tc>
          <w:tcPr>
            <w:tcW w:w="4160" w:type="dxa"/>
            <w:vAlign w:val="bottom"/>
          </w:tcPr>
          <w:p>
            <w:pPr>
              <w:ind w:left="340"/>
              <w:spacing w:after="0"/>
              <w:rPr>
                <w:sz w:val="20"/>
                <w:szCs w:val="20"/>
                <w:color w:val="auto"/>
              </w:rPr>
            </w:pPr>
            <w:r>
              <w:rPr>
                <w:rFonts w:ascii="Arial" w:cs="Arial" w:eastAsia="Arial" w:hAnsi="Arial"/>
                <w:sz w:val="18"/>
                <w:szCs w:val="18"/>
                <w:b w:val="1"/>
                <w:bCs w:val="1"/>
                <w:color w:val="auto"/>
              </w:rPr>
              <w:t>VOTE BY MAIL</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2"/>
              </w:rPr>
              <w:t>Mark, sign and date your proxy card and return it in the postage-paid envelope we have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800" w:type="dxa"/>
            <w:vAlign w:val="bottom"/>
            <w:gridSpan w:val="2"/>
          </w:tcPr>
          <w:p>
            <w:pPr>
              <w:ind w:left="340"/>
              <w:spacing w:after="0"/>
              <w:rPr>
                <w:sz w:val="20"/>
                <w:szCs w:val="20"/>
                <w:color w:val="auto"/>
              </w:rPr>
            </w:pPr>
            <w:r>
              <w:rPr>
                <w:rFonts w:ascii="Arial" w:cs="Arial" w:eastAsia="Arial" w:hAnsi="Arial"/>
                <w:sz w:val="18"/>
                <w:szCs w:val="18"/>
                <w:color w:val="auto"/>
                <w:w w:val="92"/>
              </w:rPr>
              <w:t>provided or return it to Vote Processing, c/o Broadridge, 51 Mercedes Way, Edgewood,</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NY 11717.</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462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41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3"/>
                <w:szCs w:val="13"/>
                <w:color w:val="auto"/>
                <w:w w:val="96"/>
              </w:rPr>
              <w:t>KEEP THIS PORTION FOR YOUR RECORDS</w:t>
            </w:r>
          </w:p>
        </w:tc>
        <w:tc>
          <w:tcPr>
            <w:tcW w:w="0" w:type="dxa"/>
            <w:vAlign w:val="bottom"/>
          </w:tcPr>
          <w:p>
            <w:pPr>
              <w:spacing w:after="0"/>
              <w:rPr>
                <w:sz w:val="1"/>
                <w:szCs w:val="1"/>
                <w:color w:val="auto"/>
              </w:rPr>
            </w:pPr>
          </w:p>
        </w:tc>
      </w:tr>
      <w:tr>
        <w:trPr>
          <w:trHeight w:val="365"/>
        </w:trPr>
        <w:tc>
          <w:tcPr>
            <w:tcW w:w="8780" w:type="dxa"/>
            <w:vAlign w:val="bottom"/>
            <w:gridSpan w:val="2"/>
          </w:tcPr>
          <w:p>
            <w:pPr>
              <w:ind w:left="330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640" w:type="dxa"/>
            <w:vAlign w:val="bottom"/>
          </w:tcPr>
          <w:p>
            <w:pPr>
              <w:jc w:val="right"/>
              <w:spacing w:after="0"/>
              <w:rPr>
                <w:sz w:val="20"/>
                <w:szCs w:val="20"/>
                <w:color w:val="auto"/>
              </w:rPr>
            </w:pPr>
            <w:r>
              <w:rPr>
                <w:rFonts w:ascii="Arial" w:cs="Arial" w:eastAsia="Arial" w:hAnsi="Arial"/>
                <w:sz w:val="13"/>
                <w:szCs w:val="13"/>
                <w:color w:val="auto"/>
                <w:w w:val="94"/>
              </w:rPr>
              <w:t>DETACH AND RETURN THlS PORTION ONLY</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97" w:orient="portrait"/>
          <w:cols w:equalWidth="0" w:num="1">
            <w:col w:w="11420"/>
          </w:cols>
          <w:pgMar w:left="240" w:top="337" w:right="239" w:bottom="0" w:gutter="0" w:footer="0" w:header="0"/>
        </w:sectPr>
      </w:pPr>
    </w:p>
    <w:tbl>
      <w:tblPr>
        <w:tblLayout w:type="fixed"/>
        <w:tblInd w:w="0" w:type="dxa"/>
        <w:tblCellMar>
          <w:top w:w="0" w:type="dxa"/>
          <w:left w:w="0" w:type="dxa"/>
          <w:bottom w:w="0" w:type="dxa"/>
          <w:right w:w="0" w:type="dxa"/>
        </w:tblCellMar>
      </w:tblPr>
      <w:tr>
        <w:trPr>
          <w:trHeight w:val="222"/>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ALTISOURCE PORTFOLIO SOLUTIONS S.A.</w:t>
            </w:r>
          </w:p>
        </w:tc>
        <w:tc>
          <w:tcPr>
            <w:tcW w:w="1200" w:type="dxa"/>
            <w:vAlign w:val="bottom"/>
            <w:vMerge w:val="restart"/>
          </w:tcPr>
          <w:p>
            <w:pPr>
              <w:jc w:val="center"/>
              <w:ind w:left="495"/>
              <w:spacing w:after="0"/>
              <w:rPr>
                <w:sz w:val="20"/>
                <w:szCs w:val="20"/>
                <w:color w:val="auto"/>
              </w:rPr>
            </w:pPr>
            <w:r>
              <w:rPr>
                <w:rFonts w:ascii="Arial" w:cs="Arial" w:eastAsia="Arial" w:hAnsi="Arial"/>
                <w:sz w:val="17"/>
                <w:szCs w:val="17"/>
                <w:b w:val="1"/>
                <w:bCs w:val="1"/>
                <w:color w:val="auto"/>
                <w:w w:val="94"/>
              </w:rPr>
              <w:t>For</w:t>
            </w:r>
          </w:p>
        </w:tc>
        <w:tc>
          <w:tcPr>
            <w:tcW w:w="10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Withhold</w:t>
            </w:r>
          </w:p>
        </w:tc>
        <w:tc>
          <w:tcPr>
            <w:tcW w:w="680" w:type="dxa"/>
            <w:vAlign w:val="bottom"/>
            <w:vMerge w:val="restart"/>
          </w:tcPr>
          <w:p>
            <w:pPr>
              <w:jc w:val="center"/>
              <w:ind w:left="75"/>
              <w:spacing w:after="0"/>
              <w:rPr>
                <w:sz w:val="20"/>
                <w:szCs w:val="20"/>
                <w:color w:val="auto"/>
              </w:rPr>
            </w:pPr>
            <w:r>
              <w:rPr>
                <w:rFonts w:ascii="Arial" w:cs="Arial" w:eastAsia="Arial" w:hAnsi="Arial"/>
                <w:sz w:val="17"/>
                <w:szCs w:val="17"/>
                <w:b w:val="1"/>
                <w:bCs w:val="1"/>
                <w:color w:val="auto"/>
                <w:w w:val="96"/>
              </w:rPr>
              <w:t>For All</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5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The Board of Directors recommends you vote FOR the following:</w:t>
            </w:r>
          </w:p>
        </w:tc>
        <w:tc>
          <w:tcPr>
            <w:tcW w:w="1200" w:type="dxa"/>
            <w:vAlign w:val="bottom"/>
          </w:tcPr>
          <w:p>
            <w:pPr>
              <w:jc w:val="center"/>
              <w:ind w:left="495"/>
              <w:spacing w:after="0"/>
              <w:rPr>
                <w:sz w:val="20"/>
                <w:szCs w:val="20"/>
                <w:color w:val="auto"/>
              </w:rPr>
            </w:pPr>
            <w:r>
              <w:rPr>
                <w:rFonts w:ascii="Arial" w:cs="Arial" w:eastAsia="Arial" w:hAnsi="Arial"/>
                <w:sz w:val="17"/>
                <w:szCs w:val="17"/>
                <w:b w:val="1"/>
                <w:bCs w:val="1"/>
                <w:color w:val="auto"/>
              </w:rPr>
              <w:t>All</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rPr>
              <w:t>All</w:t>
            </w:r>
          </w:p>
        </w:tc>
        <w:tc>
          <w:tcPr>
            <w:tcW w:w="680" w:type="dxa"/>
            <w:vAlign w:val="bottom"/>
          </w:tcPr>
          <w:p>
            <w:pPr>
              <w:jc w:val="center"/>
              <w:ind w:left="95"/>
              <w:spacing w:after="0"/>
              <w:rPr>
                <w:sz w:val="20"/>
                <w:szCs w:val="20"/>
                <w:color w:val="auto"/>
              </w:rPr>
            </w:pPr>
            <w:r>
              <w:rPr>
                <w:rFonts w:ascii="Arial" w:cs="Arial" w:eastAsia="Arial" w:hAnsi="Arial"/>
                <w:sz w:val="17"/>
                <w:szCs w:val="17"/>
                <w:b w:val="1"/>
                <w:bCs w:val="1"/>
                <w:color w:val="auto"/>
                <w:w w:val="89"/>
              </w:rPr>
              <w:t>Except</w:t>
            </w:r>
          </w:p>
        </w:tc>
        <w:tc>
          <w:tcPr>
            <w:tcW w:w="0" w:type="dxa"/>
            <w:vAlign w:val="bottom"/>
          </w:tcPr>
          <w:p>
            <w:pPr>
              <w:spacing w:after="0"/>
              <w:rPr>
                <w:sz w:val="1"/>
                <w:szCs w:val="1"/>
                <w:color w:val="auto"/>
              </w:rPr>
            </w:pPr>
          </w:p>
        </w:tc>
      </w:tr>
      <w:tr>
        <w:trPr>
          <w:trHeight w:val="203"/>
        </w:trPr>
        <w:tc>
          <w:tcPr>
            <w:tcW w:w="554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540" w:type="dxa"/>
            <w:vAlign w:val="bottom"/>
            <w:gridSpan w:val="2"/>
          </w:tcPr>
          <w:p>
            <w:pPr>
              <w:spacing w:after="0"/>
              <w:rPr>
                <w:sz w:val="20"/>
                <w:szCs w:val="20"/>
                <w:color w:val="auto"/>
              </w:rPr>
            </w:pPr>
            <w:r>
              <w:rPr>
                <w:rFonts w:ascii="Arial" w:cs="Arial" w:eastAsia="Arial" w:hAnsi="Arial"/>
                <w:sz w:val="17"/>
                <w:szCs w:val="17"/>
                <w:color w:val="auto"/>
              </w:rPr>
              <w:t>1.  Election of Directors</w:t>
            </w:r>
          </w:p>
        </w:tc>
        <w:tc>
          <w:tcPr>
            <w:tcW w:w="1200" w:type="dxa"/>
            <w:vAlign w:val="bottom"/>
          </w:tcPr>
          <w:p>
            <w:pPr>
              <w:jc w:val="center"/>
              <w:ind w:left="475"/>
              <w:spacing w:after="0"/>
              <w:rPr>
                <w:sz w:val="20"/>
                <w:szCs w:val="20"/>
                <w:color w:val="auto"/>
              </w:rPr>
            </w:pPr>
            <w:r>
              <w:rPr>
                <w:rFonts w:ascii="Arial" w:cs="Arial" w:eastAsia="Arial" w:hAnsi="Arial"/>
                <w:sz w:val="17"/>
                <w:szCs w:val="17"/>
                <w:color w:val="auto"/>
                <w:w w:val="84"/>
              </w:rPr>
              <w:t>o</w:t>
            </w: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680" w:type="dxa"/>
            <w:vAlign w:val="bottom"/>
          </w:tcPr>
          <w:p>
            <w:pPr>
              <w:jc w:val="center"/>
              <w:ind w:left="75"/>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419"/>
        </w:trPr>
        <w:tc>
          <w:tcPr>
            <w:tcW w:w="5540" w:type="dxa"/>
            <w:vAlign w:val="bottom"/>
            <w:gridSpan w:val="2"/>
          </w:tcPr>
          <w:p>
            <w:pPr>
              <w:ind w:left="260"/>
              <w:spacing w:after="0"/>
              <w:rPr>
                <w:sz w:val="20"/>
                <w:szCs w:val="20"/>
                <w:color w:val="auto"/>
              </w:rPr>
            </w:pPr>
            <w:r>
              <w:rPr>
                <w:rFonts w:ascii="Arial" w:cs="Arial" w:eastAsia="Arial" w:hAnsi="Arial"/>
                <w:sz w:val="17"/>
                <w:szCs w:val="17"/>
                <w:b w:val="1"/>
                <w:bCs w:val="1"/>
                <w:color w:val="auto"/>
              </w:rPr>
              <w:t>Nominees:</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0" w:type="dxa"/>
            <w:vAlign w:val="bottom"/>
          </w:tcPr>
          <w:p>
            <w:pPr>
              <w:ind w:left="260"/>
              <w:spacing w:after="0"/>
              <w:rPr>
                <w:sz w:val="20"/>
                <w:szCs w:val="20"/>
                <w:color w:val="auto"/>
              </w:rPr>
            </w:pPr>
            <w:r>
              <w:rPr>
                <w:rFonts w:ascii="Arial" w:cs="Arial" w:eastAsia="Arial" w:hAnsi="Arial"/>
                <w:sz w:val="17"/>
                <w:szCs w:val="17"/>
                <w:color w:val="auto"/>
                <w:w w:val="97"/>
              </w:rPr>
              <w:t>01)</w:t>
            </w:r>
          </w:p>
        </w:tc>
        <w:tc>
          <w:tcPr>
            <w:tcW w:w="5020" w:type="dxa"/>
            <w:vAlign w:val="bottom"/>
          </w:tcPr>
          <w:p>
            <w:pPr>
              <w:ind w:left="20"/>
              <w:spacing w:after="0"/>
              <w:rPr>
                <w:sz w:val="20"/>
                <w:szCs w:val="20"/>
                <w:color w:val="auto"/>
              </w:rPr>
            </w:pPr>
            <w:r>
              <w:rPr>
                <w:rFonts w:ascii="Arial" w:cs="Arial" w:eastAsia="Arial" w:hAnsi="Arial"/>
                <w:sz w:val="17"/>
                <w:szCs w:val="17"/>
                <w:color w:val="auto"/>
              </w:rPr>
              <w:t>William C. Erbey</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 w:type="dxa"/>
            <w:vAlign w:val="bottom"/>
          </w:tcPr>
          <w:p>
            <w:pPr>
              <w:ind w:left="260"/>
              <w:spacing w:after="0"/>
              <w:rPr>
                <w:sz w:val="20"/>
                <w:szCs w:val="20"/>
                <w:color w:val="auto"/>
              </w:rPr>
            </w:pPr>
            <w:r>
              <w:rPr>
                <w:rFonts w:ascii="Arial" w:cs="Arial" w:eastAsia="Arial" w:hAnsi="Arial"/>
                <w:sz w:val="17"/>
                <w:szCs w:val="17"/>
                <w:color w:val="auto"/>
                <w:w w:val="97"/>
              </w:rPr>
              <w:t>02)</w:t>
            </w:r>
          </w:p>
        </w:tc>
        <w:tc>
          <w:tcPr>
            <w:tcW w:w="5020" w:type="dxa"/>
            <w:vAlign w:val="bottom"/>
          </w:tcPr>
          <w:p>
            <w:pPr>
              <w:ind w:left="20"/>
              <w:spacing w:after="0"/>
              <w:rPr>
                <w:sz w:val="20"/>
                <w:szCs w:val="20"/>
                <w:color w:val="auto"/>
              </w:rPr>
            </w:pPr>
            <w:r>
              <w:rPr>
                <w:rFonts w:ascii="Arial" w:cs="Arial" w:eastAsia="Arial" w:hAnsi="Arial"/>
                <w:sz w:val="17"/>
                <w:szCs w:val="17"/>
                <w:color w:val="auto"/>
              </w:rPr>
              <w:t>William B. Shepro</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ind w:left="260"/>
              <w:spacing w:after="0"/>
              <w:rPr>
                <w:sz w:val="20"/>
                <w:szCs w:val="20"/>
                <w:color w:val="auto"/>
              </w:rPr>
            </w:pPr>
            <w:r>
              <w:rPr>
                <w:rFonts w:ascii="Arial" w:cs="Arial" w:eastAsia="Arial" w:hAnsi="Arial"/>
                <w:sz w:val="17"/>
                <w:szCs w:val="17"/>
                <w:color w:val="auto"/>
                <w:w w:val="97"/>
              </w:rPr>
              <w:t>03)</w:t>
            </w:r>
          </w:p>
        </w:tc>
        <w:tc>
          <w:tcPr>
            <w:tcW w:w="5020" w:type="dxa"/>
            <w:vAlign w:val="bottom"/>
          </w:tcPr>
          <w:p>
            <w:pPr>
              <w:ind w:left="20"/>
              <w:spacing w:after="0"/>
              <w:rPr>
                <w:sz w:val="20"/>
                <w:szCs w:val="20"/>
                <w:color w:val="auto"/>
              </w:rPr>
            </w:pPr>
            <w:r>
              <w:rPr>
                <w:rFonts w:ascii="Arial" w:cs="Arial" w:eastAsia="Arial" w:hAnsi="Arial"/>
                <w:sz w:val="17"/>
                <w:szCs w:val="17"/>
                <w:color w:val="auto"/>
              </w:rPr>
              <w:t>W. Michael Linn</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ind w:left="260"/>
              <w:spacing w:after="0"/>
              <w:rPr>
                <w:sz w:val="20"/>
                <w:szCs w:val="20"/>
                <w:color w:val="auto"/>
              </w:rPr>
            </w:pPr>
            <w:r>
              <w:rPr>
                <w:rFonts w:ascii="Arial" w:cs="Arial" w:eastAsia="Arial" w:hAnsi="Arial"/>
                <w:sz w:val="17"/>
                <w:szCs w:val="17"/>
                <w:color w:val="auto"/>
                <w:w w:val="97"/>
              </w:rPr>
              <w:t>04)</w:t>
            </w:r>
          </w:p>
        </w:tc>
        <w:tc>
          <w:tcPr>
            <w:tcW w:w="5020" w:type="dxa"/>
            <w:vAlign w:val="bottom"/>
          </w:tcPr>
          <w:p>
            <w:pPr>
              <w:ind w:left="20"/>
              <w:spacing w:after="0"/>
              <w:rPr>
                <w:sz w:val="20"/>
                <w:szCs w:val="20"/>
                <w:color w:val="auto"/>
              </w:rPr>
            </w:pPr>
            <w:r>
              <w:rPr>
                <w:rFonts w:ascii="Arial" w:cs="Arial" w:eastAsia="Arial" w:hAnsi="Arial"/>
                <w:sz w:val="17"/>
                <w:szCs w:val="17"/>
                <w:color w:val="auto"/>
              </w:rPr>
              <w:t>Roland Müller-Ineichen</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260"/>
              <w:spacing w:after="0"/>
              <w:rPr>
                <w:sz w:val="20"/>
                <w:szCs w:val="20"/>
                <w:color w:val="auto"/>
              </w:rPr>
            </w:pPr>
            <w:r>
              <w:rPr>
                <w:rFonts w:ascii="Arial" w:cs="Arial" w:eastAsia="Arial" w:hAnsi="Arial"/>
                <w:sz w:val="17"/>
                <w:szCs w:val="17"/>
                <w:color w:val="auto"/>
                <w:w w:val="97"/>
              </w:rPr>
              <w:t>05)</w:t>
            </w:r>
          </w:p>
        </w:tc>
        <w:tc>
          <w:tcPr>
            <w:tcW w:w="5020" w:type="dxa"/>
            <w:vAlign w:val="bottom"/>
          </w:tcPr>
          <w:p>
            <w:pPr>
              <w:ind w:left="20"/>
              <w:spacing w:after="0"/>
              <w:rPr>
                <w:sz w:val="20"/>
                <w:szCs w:val="20"/>
                <w:color w:val="auto"/>
              </w:rPr>
            </w:pPr>
            <w:r>
              <w:rPr>
                <w:rFonts w:ascii="Arial" w:cs="Arial" w:eastAsia="Arial" w:hAnsi="Arial"/>
                <w:sz w:val="17"/>
                <w:szCs w:val="17"/>
                <w:color w:val="auto"/>
              </w:rPr>
              <w:t>Timo Vättö</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229" w:lineRule="exact"/>
        <w:rPr>
          <w:sz w:val="20"/>
          <w:szCs w:val="20"/>
          <w:color w:val="auto"/>
        </w:rPr>
      </w:pPr>
    </w:p>
    <w:p>
      <w:pPr>
        <w:jc w:val="both"/>
        <w:ind w:left="260" w:right="300" w:hanging="252"/>
        <w:spacing w:after="0" w:line="259" w:lineRule="auto"/>
        <w:tabs>
          <w:tab w:leader="none" w:pos="2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Proposal to approve the appointment by the Audit Committee of our Board of Directors of Deloitte &amp; Touche LLP to be our independent registered certified public accounting firm for the year ending December 31, 2013 and Deloitte Audit S.à r.l. to be our certified auditor for all statutory accounts as required by Luxembourg law for the same period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17665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920" w:val="left"/>
          <w:tab w:leader="none" w:pos="20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00" w:lineRule="exact"/>
        <w:rPr>
          <w:sz w:val="20"/>
          <w:szCs w:val="20"/>
          <w:color w:val="auto"/>
        </w:rPr>
      </w:pPr>
    </w:p>
    <w:p>
      <w:pPr>
        <w:spacing w:after="0" w:line="245" w:lineRule="exact"/>
        <w:rPr>
          <w:sz w:val="20"/>
          <w:szCs w:val="20"/>
          <w:color w:val="auto"/>
        </w:rPr>
      </w:pPr>
    </w:p>
    <w:p>
      <w:pPr>
        <w:ind w:left="140"/>
        <w:spacing w:after="0"/>
        <w:tabs>
          <w:tab w:leader="none" w:pos="1160" w:val="left"/>
          <w:tab w:leader="none" w:pos="22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873" w:lineRule="exact"/>
        <w:rPr>
          <w:sz w:val="20"/>
          <w:szCs w:val="20"/>
          <w:color w:val="auto"/>
        </w:rPr>
      </w:pPr>
    </w:p>
    <w:p>
      <w:pPr>
        <w:sectPr>
          <w:pgSz w:w="11900" w:h="16897" w:orient="portrait"/>
          <w:cols w:equalWidth="0" w:num="2">
            <w:col w:w="8460" w:space="180"/>
            <w:col w:w="2780"/>
          </w:cols>
          <w:pgMar w:left="240" w:top="337"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8500" w:type="dxa"/>
            <w:vAlign w:val="bottom"/>
          </w:tcPr>
          <w:p>
            <w:pPr>
              <w:ind w:left="80"/>
              <w:spacing w:after="0"/>
              <w:rPr>
                <w:sz w:val="20"/>
                <w:szCs w:val="20"/>
                <w:color w:val="auto"/>
              </w:rPr>
            </w:pPr>
            <w:r>
              <w:rPr>
                <w:rFonts w:ascii="Arial" w:cs="Arial" w:eastAsia="Arial" w:hAnsi="Arial"/>
                <w:sz w:val="18"/>
                <w:szCs w:val="18"/>
                <w:color w:val="auto"/>
              </w:rPr>
              <w:t>Proposal to approve Altisource Portfolio Solutions S.A.’s annual accounts prepared in accordance with</w:t>
            </w:r>
          </w:p>
        </w:tc>
        <w:tc>
          <w:tcPr>
            <w:tcW w:w="600" w:type="dxa"/>
            <w:vAlign w:val="bottom"/>
          </w:tcPr>
          <w:p>
            <w:pPr>
              <w:ind w:left="80"/>
              <w:spacing w:after="0"/>
              <w:rPr>
                <w:sz w:val="20"/>
                <w:szCs w:val="20"/>
                <w:color w:val="auto"/>
              </w:rPr>
            </w:pPr>
            <w:r>
              <w:rPr>
                <w:rFonts w:ascii="Arial" w:cs="Arial" w:eastAsia="Arial" w:hAnsi="Arial"/>
                <w:sz w:val="18"/>
                <w:szCs w:val="18"/>
                <w:color w:val="auto"/>
              </w:rPr>
              <w:t>o</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216"/>
        </w:trPr>
        <w:tc>
          <w:tcPr>
            <w:tcW w:w="20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accounting principles generally accepted in Luxembourg (“Luxembourg GAAP”) for the year ended</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December 31, 2012 and as amended and restated for the years ended December 31, 2009 to 2011 (the</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“Luxembourg Annual Accounts”), and its consolidated financial statements prepared in accordance with</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accounting principles generally accepted in the United States (“U.S. GAAP”) including a footnote</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w w:val="99"/>
              </w:rPr>
              <w:t>reconciliation of equity and net income to International Financial Reporting Standards (“IFRS”) for the year</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w w:val="99"/>
              </w:rPr>
              <w:t>ended December 31, 2012 (the “Consolidated Accounts”) (together, the “Luxembourg Statutory Accounts”)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8500" w:type="dxa"/>
            <w:vAlign w:val="bottom"/>
          </w:tcPr>
          <w:p>
            <w:pPr>
              <w:ind w:left="80"/>
              <w:spacing w:after="0"/>
              <w:rPr>
                <w:sz w:val="20"/>
                <w:szCs w:val="20"/>
                <w:color w:val="auto"/>
              </w:rPr>
            </w:pPr>
            <w:r>
              <w:rPr>
                <w:rFonts w:ascii="Arial" w:cs="Arial" w:eastAsia="Arial" w:hAnsi="Arial"/>
                <w:sz w:val="18"/>
                <w:szCs w:val="18"/>
                <w:color w:val="auto"/>
              </w:rPr>
              <w:t>Proposal to receive and approve the Directors’ reports for the Luxembourg Statutory Accounts</w:t>
            </w:r>
          </w:p>
        </w:tc>
        <w:tc>
          <w:tcPr>
            <w:tcW w:w="600" w:type="dxa"/>
            <w:vAlign w:val="bottom"/>
          </w:tcPr>
          <w:p>
            <w:pPr>
              <w:ind w:left="80"/>
              <w:spacing w:after="0"/>
              <w:rPr>
                <w:sz w:val="20"/>
                <w:szCs w:val="20"/>
                <w:color w:val="auto"/>
              </w:rPr>
            </w:pPr>
            <w:r>
              <w:rPr>
                <w:rFonts w:ascii="Arial" w:cs="Arial" w:eastAsia="Arial" w:hAnsi="Arial"/>
                <w:sz w:val="18"/>
                <w:szCs w:val="18"/>
                <w:color w:val="auto"/>
              </w:rPr>
              <w:t>o</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8500" w:type="dxa"/>
            <w:vAlign w:val="bottom"/>
          </w:tcPr>
          <w:p>
            <w:pPr>
              <w:ind w:left="80"/>
              <w:spacing w:after="0"/>
              <w:rPr>
                <w:sz w:val="20"/>
                <w:szCs w:val="20"/>
                <w:color w:val="auto"/>
              </w:rPr>
            </w:pPr>
            <w:r>
              <w:rPr>
                <w:rFonts w:ascii="Arial" w:cs="Arial" w:eastAsia="Arial" w:hAnsi="Arial"/>
                <w:sz w:val="18"/>
                <w:szCs w:val="18"/>
                <w:color w:val="auto"/>
              </w:rPr>
              <w:t>Proposal to allocate the results and part of the distributable reserve in the Luxembourg Annual Accounts</w:t>
            </w:r>
          </w:p>
        </w:tc>
        <w:tc>
          <w:tcPr>
            <w:tcW w:w="600" w:type="dxa"/>
            <w:vAlign w:val="bottom"/>
          </w:tcPr>
          <w:p>
            <w:pPr>
              <w:ind w:left="80"/>
              <w:spacing w:after="0"/>
              <w:rPr>
                <w:sz w:val="20"/>
                <w:szCs w:val="20"/>
                <w:color w:val="auto"/>
              </w:rPr>
            </w:pPr>
            <w:r>
              <w:rPr>
                <w:rFonts w:ascii="Arial" w:cs="Arial" w:eastAsia="Arial" w:hAnsi="Arial"/>
                <w:sz w:val="18"/>
                <w:szCs w:val="18"/>
                <w:color w:val="auto"/>
              </w:rPr>
              <w:t>o</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418"/>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8500" w:type="dxa"/>
            <w:vAlign w:val="bottom"/>
          </w:tcPr>
          <w:p>
            <w:pPr>
              <w:ind w:left="80"/>
              <w:spacing w:after="0"/>
              <w:rPr>
                <w:sz w:val="20"/>
                <w:szCs w:val="20"/>
                <w:color w:val="auto"/>
              </w:rPr>
            </w:pPr>
            <w:r>
              <w:rPr>
                <w:rFonts w:ascii="Arial" w:cs="Arial" w:eastAsia="Arial" w:hAnsi="Arial"/>
                <w:sz w:val="18"/>
                <w:szCs w:val="18"/>
                <w:color w:val="auto"/>
                <w:w w:val="99"/>
              </w:rPr>
              <w:t>Proposal to ratify the declaration and payment of the interim dividends in connection with the separation of</w:t>
            </w:r>
          </w:p>
        </w:tc>
        <w:tc>
          <w:tcPr>
            <w:tcW w:w="600" w:type="dxa"/>
            <w:vAlign w:val="bottom"/>
          </w:tcPr>
          <w:p>
            <w:pPr>
              <w:ind w:left="80"/>
              <w:spacing w:after="0"/>
              <w:rPr>
                <w:sz w:val="20"/>
                <w:szCs w:val="20"/>
                <w:color w:val="auto"/>
              </w:rPr>
            </w:pPr>
            <w:r>
              <w:rPr>
                <w:rFonts w:ascii="Arial" w:cs="Arial" w:eastAsia="Arial" w:hAnsi="Arial"/>
                <w:sz w:val="18"/>
                <w:szCs w:val="18"/>
                <w:color w:val="auto"/>
              </w:rPr>
              <w:t>o</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216"/>
        </w:trPr>
        <w:tc>
          <w:tcPr>
            <w:tcW w:w="20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w w:val="99"/>
              </w:rPr>
              <w:t>Altisource Residential Corporation and Altisource Asset Management Corporation from Altisource Portfolio</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Solutions S.A.</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8500" w:type="dxa"/>
            <w:vAlign w:val="bottom"/>
          </w:tcPr>
          <w:p>
            <w:pPr>
              <w:ind w:left="80"/>
              <w:spacing w:after="0"/>
              <w:rPr>
                <w:sz w:val="20"/>
                <w:szCs w:val="20"/>
                <w:color w:val="auto"/>
              </w:rPr>
            </w:pPr>
            <w:r>
              <w:rPr>
                <w:rFonts w:ascii="Arial" w:cs="Arial" w:eastAsia="Arial" w:hAnsi="Arial"/>
                <w:sz w:val="18"/>
                <w:szCs w:val="18"/>
                <w:color w:val="auto"/>
              </w:rPr>
              <w:t>Proposal to discharge each of the current and past Directors of Altisource Portfolio Solutions S.A. for the</w:t>
            </w:r>
          </w:p>
        </w:tc>
        <w:tc>
          <w:tcPr>
            <w:tcW w:w="600" w:type="dxa"/>
            <w:vAlign w:val="bottom"/>
          </w:tcPr>
          <w:p>
            <w:pPr>
              <w:ind w:left="80"/>
              <w:spacing w:after="0"/>
              <w:rPr>
                <w:sz w:val="20"/>
                <w:szCs w:val="20"/>
                <w:color w:val="auto"/>
              </w:rPr>
            </w:pPr>
            <w:r>
              <w:rPr>
                <w:rFonts w:ascii="Arial" w:cs="Arial" w:eastAsia="Arial" w:hAnsi="Arial"/>
                <w:sz w:val="18"/>
                <w:szCs w:val="18"/>
                <w:color w:val="auto"/>
              </w:rPr>
              <w:t>o</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230"/>
        </w:trPr>
        <w:tc>
          <w:tcPr>
            <w:tcW w:w="200" w:type="dxa"/>
            <w:vAlign w:val="bottom"/>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performance of their mandate during the years ended December 31, 2009 to 2012</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w w:val="92"/>
              </w:rPr>
              <w:t>NOTE:  Proxies will vote in their discretion upon such other matters that may properly come before the meeting or any</w:t>
            </w:r>
          </w:p>
        </w:tc>
        <w:tc>
          <w:tcPr>
            <w:tcW w:w="2400" w:type="dxa"/>
            <w:vAlign w:val="bottom"/>
            <w:gridSpan w:val="3"/>
          </w:tcPr>
          <w:p>
            <w:pPr>
              <w:ind w:left="40"/>
              <w:spacing w:after="0"/>
              <w:rPr>
                <w:sz w:val="20"/>
                <w:szCs w:val="20"/>
                <w:color w:val="auto"/>
              </w:rPr>
            </w:pPr>
            <w:r>
              <w:rPr>
                <w:rFonts w:ascii="Arial" w:cs="Arial" w:eastAsia="Arial" w:hAnsi="Arial"/>
                <w:sz w:val="18"/>
                <w:szCs w:val="18"/>
                <w:color w:val="auto"/>
                <w:w w:val="99"/>
              </w:rPr>
              <w:t>adjournment or adjournments</w:t>
            </w:r>
          </w:p>
        </w:tc>
      </w:tr>
      <w:tr>
        <w:trPr>
          <w:trHeight w:val="230"/>
        </w:trPr>
        <w:tc>
          <w:tcPr>
            <w:tcW w:w="200" w:type="dxa"/>
            <w:vAlign w:val="bottom"/>
          </w:tcPr>
          <w:p>
            <w:pPr>
              <w:spacing w:after="0"/>
              <w:rPr>
                <w:sz w:val="20"/>
                <w:szCs w:val="20"/>
                <w:color w:val="auto"/>
              </w:rPr>
            </w:pPr>
          </w:p>
        </w:tc>
        <w:tc>
          <w:tcPr>
            <w:tcW w:w="8500" w:type="dxa"/>
            <w:vAlign w:val="bottom"/>
          </w:tcPr>
          <w:p>
            <w:pPr>
              <w:ind w:left="460"/>
              <w:spacing w:after="0"/>
              <w:rPr>
                <w:sz w:val="20"/>
                <w:szCs w:val="20"/>
                <w:color w:val="auto"/>
              </w:rPr>
            </w:pPr>
            <w:r>
              <w:rPr>
                <w:rFonts w:ascii="Arial" w:cs="Arial" w:eastAsia="Arial" w:hAnsi="Arial"/>
                <w:sz w:val="18"/>
                <w:szCs w:val="18"/>
                <w:color w:val="auto"/>
              </w:rPr>
              <w:t>thereof</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color w:val="auto"/>
              </w:rPr>
              <w:t>For address changes and/or comments, please check this box and write them on the back where indicated.</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Please indicate if you plan to attend this meeting.</w:t>
            </w:r>
          </w:p>
        </w:tc>
        <w:tc>
          <w:tcPr>
            <w:tcW w:w="6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ind w:left="330"/>
              <w:spacing w:after="0"/>
              <w:rPr>
                <w:sz w:val="20"/>
                <w:szCs w:val="20"/>
                <w:color w:val="auto"/>
              </w:rPr>
            </w:pPr>
            <w:r>
              <w:rPr>
                <w:rFonts w:ascii="Arial" w:cs="Arial" w:eastAsia="Arial" w:hAnsi="Arial"/>
                <w:sz w:val="18"/>
                <w:szCs w:val="18"/>
                <w:color w:val="auto"/>
                <w:w w:val="79"/>
              </w:rPr>
              <w:t>o</w:t>
            </w:r>
          </w:p>
        </w:tc>
      </w:tr>
      <w:tr>
        <w:trPr>
          <w:trHeight w:val="230"/>
        </w:trPr>
        <w:tc>
          <w:tcPr>
            <w:tcW w:w="2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660" w:type="dxa"/>
            <w:vAlign w:val="bottom"/>
          </w:tcPr>
          <w:p>
            <w:pPr>
              <w:jc w:val="center"/>
              <w:ind w:left="350"/>
              <w:spacing w:after="0"/>
              <w:rPr>
                <w:sz w:val="20"/>
                <w:szCs w:val="20"/>
                <w:color w:val="auto"/>
              </w:rPr>
            </w:pPr>
            <w:r>
              <w:rPr>
                <w:rFonts w:ascii="Arial" w:cs="Arial" w:eastAsia="Arial" w:hAnsi="Arial"/>
                <w:sz w:val="18"/>
                <w:szCs w:val="18"/>
                <w:color w:val="auto"/>
                <w:w w:val="95"/>
              </w:rPr>
              <w:t>No</w:t>
            </w:r>
          </w:p>
        </w:tc>
      </w:tr>
    </w:tbl>
    <w:p>
      <w:pPr>
        <w:sectPr>
          <w:pgSz w:w="11900" w:h="16897" w:orient="portrait"/>
          <w:cols w:equalWidth="0" w:num="1">
            <w:col w:w="11420"/>
          </w:cols>
          <w:pgMar w:left="240" w:top="337" w:right="239" w:bottom="0" w:gutter="0" w:footer="0" w:header="0"/>
          <w:type w:val="continuous"/>
        </w:sectPr>
      </w:pPr>
    </w:p>
    <w:bookmarkStart w:id="53" w:name="page54"/>
    <w:bookmarkEnd w:id="53"/>
    <w:p>
      <w:pPr>
        <w:ind w:right="42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
        <w:spacing w:after="0"/>
        <w:tabs>
          <w:tab w:leader="none" w:pos="4680" w:val="left"/>
          <w:tab w:leader="none" w:pos="6000" w:val="left"/>
          <w:tab w:leader="none" w:pos="988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291, route d’Arlon, L-1150 Luxembourg City, Grand Duchy of Luxembourg</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REVOCABLE PROXY</w:t>
      </w:r>
    </w:p>
    <w:p>
      <w:pPr>
        <w:spacing w:after="0" w:line="225"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THIS PROXY IS SOLICITED ON BEHALF OF THE BOARD OF DIRECTORS OF ALTISOURCE PORTFOLIO SOLUTIONS S.A. FOR USE ONLY AT THE ANNUAL MEETING OF SHAREHOLDERS TO BE HELD ON MAY 15, 2013, AND AT ANY ADJOURNMENT THEREOF.</w:t>
      </w:r>
    </w:p>
    <w:p>
      <w:pPr>
        <w:spacing w:after="0" w:line="14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 of Altisource Portfolio Solutions S.A. held of record by the undersigned on March 18, 2013 at the Annual Meeting of Shareholders to be held at the offices of Altisource Portfolio Solutions S.A. located at 291, route d’Arlon, L-1150 Luxembourg City, Grand Duchy of Luxembourg on Wednesday, May 15, 2013, at 9:00 a.m., Central European Time and at any adjournment thereof. Shares of Common Stock of Altisource Portfolio Solutions S.A. will be voted as specified.</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you execute and return this proxy without specific voting instructions, this proxy will be voted FOR the election of each of the Board of Directors’ nominees to the Board of Directors; FOR the approval of the appointment by the Audit Committee of our Board of Directors of Deloitte &amp; Touche LLP to be our independent registered certified public accounting firm for the year ending December 31, 2013 and Deloitte Audit S.à r.l. to be our certified auditor for all statutory accounts as required by Luxembourg law for the same period; FOR the approval of our annual accounts prepared in accordance with Luxembourg GAAP for the year ended December 31, 2012 and as amended and restated for the years ended December 31, 2009 to 2011 (the “Luxembourg Annual Accounts”) and our consolidated financial statements prepared in accordance with U.S. GAAP including a footnote reconciliation of equity and net income to IFRS for the year ended December 31, 2012 (the “Consolidated Accounts”) (together, the “Luxembourg Statutory Accounts”); FOR the receipt and approval of the Directors’ reports for the Luxembourg Statutory Accounts; FOR the allocation of the results and part of the distributable reserve in the Luxembourg Annual Accounts; FOR the ratification of the declaration and payment of the interim dividends in connection with the separation of Altisource Residential Corporation and Altisource Asset Management Corporation from Altisource Portfolio Solutions S.A.; and FOR the approval of the discharge of each of the current and past Directors of Altisource Portfolio Solutions S.A. for the performance of their mandate during the years ended December 31, 2009 to 2012. You may revoke this proxy at any time prior to the time it is voted at the Annual Meeting.</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undersigned hereby acknowledges receipt of the Notice of Annual Meeting of Shareholders of Altisource Portfolio Solutions S.A. to be held on May 15, 2013, or any adjournment thereof, a Proxy Statement for the Annual Meeting and the 2012 Annual Report to Shareholders of the Altisource Portfolio Solutions S.A. prior to the signing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489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o"/>
      <w:numFmt w:val="bullet"/>
      <w:start w:val="1"/>
    </w:lvl>
    <w:lvl w:ilvl="1">
      <w:lvlJc w:val="left"/>
      <w:lvlText w:val="%2)"/>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o"/>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lvl w:ilvl="1">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4"/>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4"/>
    </w:lvl>
    <w:lvl w:ilvl="1">
      <w:lvlJc w:val="left"/>
      <w:lvlText w:val="•"/>
      <w:numFmt w:val="bullet"/>
      <w:start w:val="1"/>
    </w:lvl>
  </w:abstractNum>
  <w:abstractNum w:abstractNumId="33">
    <w:nsid w:val="51EAD36B"/>
    <w:multiLevelType w:val="hybridMultilevel"/>
    <w:lvl w:ilvl="0">
      <w:lvlJc w:val="left"/>
      <w:lvlText w:val="(%1)"/>
      <w:numFmt w:val="decimal"/>
      <w:start w:val="5"/>
    </w:lvl>
  </w:abstractNum>
  <w:abstractNum w:abstractNumId="34">
    <w:nsid w:val="2D517796"/>
    <w:multiLevelType w:val="hybridMultilevel"/>
    <w:lvl w:ilvl="0">
      <w:lvlJc w:val="left"/>
      <w:lvlText w:val="(%1)"/>
      <w:numFmt w:val="decimal"/>
      <w:start w:val="1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4"/>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2019-12-07T20:18:23Z</dcterms:created>
  <dcterms:modified xsi:type="dcterms:W3CDTF">2019-12-07T20:18:23Z</dcterms:modified>
</cp:coreProperties>
</file>