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4_a1eus000009tbqvmag-live.xml.htm"/>
      <w:bookmarkStart w:id="1" w:name="ksf4_a1eus000009tbqvmaglive"/>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Shepro William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ALTISOURCE PORTFOLIO SOLUTIONS S.A.</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BOULEVARD PRINCE HENRI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L-1724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ALTISOURCE PORTFOLIO SOLUTIONS S.A.</w:t>
              </w:r>
            </w:hyperlink>
            <w:r>
              <w:rPr/>
              <w:t xml:space="preserve"> [ </w:t>
            </w:r>
            <w:r>
              <w:rPr>
                <w:rFonts w:ascii="Times;serif" w:hAnsi="Times;serif"/>
                <w:color w:val="0000FF"/>
                <w:sz w:val="24"/>
                <w:shd w:fill="FFFFFF" w:val="clear"/>
              </w:rPr>
              <w:t>ASPS</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1"/>
        <w:gridCol w:w="916"/>
        <w:gridCol w:w="785"/>
        <w:gridCol w:w="608"/>
        <w:gridCol w:w="348"/>
        <w:gridCol w:w="838"/>
        <w:gridCol w:w="445"/>
        <w:gridCol w:w="712"/>
        <w:gridCol w:w="1152"/>
        <w:gridCol w:w="992"/>
        <w:gridCol w:w="11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5.18</w:t>
            </w:r>
            <w:r>
              <w:rPr>
                <w:rFonts w:ascii="Times;serif" w:hAnsi="Times;serif"/>
                <w:color w:val="008000"/>
                <w:position w:val="7"/>
                <w:sz w:val="16"/>
                <w:sz w:val="20"/>
                <w:shd w:fill="FFFFFF" w:val="clear"/>
              </w:rPr>
              <w:t>(1)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8,686</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The Gina H. Shepro Revocable Trust</w:t>
            </w:r>
            <w:r>
              <w:rPr>
                <w:rFonts w:ascii="Times;serif" w:hAnsi="Times;serif"/>
                <w:color w:val="008000"/>
                <w:position w:val="7"/>
                <w:sz w:val="16"/>
                <w:sz w:val="20"/>
                <w:shd w:fill="FFFFFF" w:val="clear"/>
              </w:rPr>
              <w:t>(2)</w:t>
            </w:r>
          </w:p>
        </w:tc>
      </w:tr>
      <w:tr>
        <w:trPr/>
        <w:tc>
          <w:tcPr>
            <w:tcW w:w="22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232,064</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William B. Shepro Revocable Trust</w:t>
            </w:r>
          </w:p>
        </w:tc>
      </w:tr>
    </w:tbl>
    <w:tbl>
      <w:tblPr>
        <w:tblW w:w="12668"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00"/>
        <w:gridCol w:w="401"/>
        <w:gridCol w:w="906"/>
        <w:gridCol w:w="801"/>
        <w:gridCol w:w="891"/>
        <w:gridCol w:w="1101"/>
        <w:gridCol w:w="801"/>
        <w:gridCol w:w="966"/>
        <w:gridCol w:w="831"/>
        <w:gridCol w:w="1026"/>
      </w:tblGrid>
      <w:tr>
        <w:trPr>
          <w:tblHeader w:val="true"/>
        </w:trPr>
        <w:tc>
          <w:tcPr>
            <w:tcW w:w="1266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Net Settle Stakeholder 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The Gina H. Shepro Revocable Trust</w:t>
            </w:r>
            <w:r>
              <w:rPr>
                <w:rFonts w:ascii="Times;serif" w:hAnsi="Times;serif"/>
                <w:color w:val="008000"/>
                <w:position w:val="7"/>
                <w:sz w:val="16"/>
                <w:sz w:val="20"/>
                <w:shd w:fill="FFFFFF" w:val="clear"/>
              </w:rPr>
              <w:t>(2)</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Cash Exercise Stakeholder 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04/02/2029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The Gina H. Shepro Revocable Trust</w:t>
            </w:r>
            <w:r>
              <w:rPr>
                <w:rFonts w:ascii="Times;serif" w:hAnsi="Times;serif"/>
                <w:color w:val="008000"/>
                <w:position w:val="7"/>
                <w:sz w:val="16"/>
                <w:sz w:val="20"/>
                <w:shd w:fill="FFFFFF" w:val="clear"/>
              </w:rPr>
              <w:t>(2)</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Cash Exercise Stakeholder 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04/02/2029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2,253,673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2,253,673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The William B. Shepro Revocable Trust</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Net Settle Stakeholder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2,253,673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2,253,673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The William B. Shepro Revocable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represents a weighted average purchase price. The shares were purchased in multiple transactions at prices ranging from $5.15 to $5.22 per share. Upon request by the SEC staff, the issuer, or a security holder of the issuer, the reporting person will provide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has determined that securities beneficially owned by the Gina H. Shepro Revocable Trust were previously reflected in the holdings reported through the William B. Shepro Revocable Trust. This Form 4 separately reports the holdings through each trust to reflect the reporting person's current understanding of the ownership structure. This clarification does not reflect a transaction or any change in the reporting person's aggregate beneficial ownership.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Teresa L. Szupello,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9315" TargetMode="External"/><Relationship Id="rId5" Type="http://schemas.openxmlformats.org/officeDocument/2006/relationships/hyperlink" Target="http://www.sec.gov/cgi-bin/browse-edgar?action=getcompany&amp;CIK=00014624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4435</Characters>
  <CharactersWithSpaces>5123</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