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111760</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107315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1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June 30, 2024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3"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0"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159385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120650</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jc w:val="center"/>
              <w:ind w:left="1826"/>
              <w:spacing w:after="0"/>
              <w:rPr>
                <w:sz w:val="20"/>
                <w:szCs w:val="20"/>
                <w:color w:val="auto"/>
              </w:rPr>
            </w:pPr>
            <w:r>
              <w:rPr>
                <w:rFonts w:ascii="Times New Roman" w:cs="Times New Roman" w:eastAsia="Times New Roman" w:hAnsi="Times New Roman"/>
                <w:sz w:val="18"/>
                <w:szCs w:val="18"/>
                <w:b w:val="1"/>
                <w:bCs w:val="1"/>
                <w:color w:val="auto"/>
                <w:w w:val="97"/>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4"/>
        </w:trPr>
        <w:tc>
          <w:tcPr>
            <w:tcW w:w="724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00" w:type="dxa"/>
            <w:vAlign w:val="bottom"/>
          </w:tcPr>
          <w:p>
            <w:pPr>
              <w:jc w:val="center"/>
              <w:ind w:right="160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2"/>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33, Boulevard Prince Henri</w:t>
            </w:r>
          </w:p>
        </w:tc>
        <w:tc>
          <w:tcPr>
            <w:tcW w:w="400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L-1724 Luxembourg</w:t>
            </w:r>
          </w:p>
        </w:tc>
        <w:tc>
          <w:tcPr>
            <w:tcW w:w="400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Grand Duchy of Luxembourg</w:t>
            </w:r>
          </w:p>
        </w:tc>
        <w:tc>
          <w:tcPr>
            <w:tcW w:w="4000" w:type="dxa"/>
            <w:vAlign w:val="bottom"/>
          </w:tcPr>
          <w:p>
            <w:pPr>
              <w:spacing w:after="0"/>
              <w:rPr>
                <w:sz w:val="18"/>
                <w:szCs w:val="18"/>
                <w:color w:val="auto"/>
              </w:rPr>
            </w:pPr>
          </w:p>
        </w:tc>
      </w:tr>
      <w:tr>
        <w:trPr>
          <w:trHeight w:val="184"/>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5"/>
                <w:szCs w:val="15"/>
                <w:color w:val="auto"/>
              </w:rPr>
            </w:pPr>
          </w:p>
        </w:tc>
      </w:tr>
      <w:tr>
        <w:trPr>
          <w:trHeight w:val="306"/>
        </w:trPr>
        <w:tc>
          <w:tcPr>
            <w:tcW w:w="3720" w:type="dxa"/>
            <w:vAlign w:val="bottom"/>
          </w:tcPr>
          <w:p>
            <w:pPr>
              <w:spacing w:after="0"/>
              <w:rPr>
                <w:sz w:val="24"/>
                <w:szCs w:val="24"/>
                <w:color w:val="auto"/>
              </w:rPr>
            </w:pPr>
          </w:p>
        </w:tc>
        <w:tc>
          <w:tcPr>
            <w:tcW w:w="3040" w:type="dxa"/>
            <w:vAlign w:val="bottom"/>
            <w:gridSpan w:val="3"/>
          </w:tcPr>
          <w:p>
            <w:pPr>
              <w:jc w:val="center"/>
              <w:ind w:left="701"/>
              <w:spacing w:after="0"/>
              <w:rPr>
                <w:sz w:val="20"/>
                <w:szCs w:val="20"/>
                <w:color w:val="auto"/>
              </w:rPr>
            </w:pPr>
            <w:r>
              <w:rPr>
                <w:rFonts w:ascii="Times New Roman" w:cs="Times New Roman" w:eastAsia="Times New Roman" w:hAnsi="Times New Roman"/>
                <w:sz w:val="18"/>
                <w:szCs w:val="18"/>
                <w:b w:val="1"/>
                <w:bCs w:val="1"/>
                <w:color w:val="auto"/>
                <w:w w:val="98"/>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4"/>
        </w:trPr>
        <w:tc>
          <w:tcPr>
            <w:tcW w:w="3720" w:type="dxa"/>
            <w:vAlign w:val="bottom"/>
          </w:tcPr>
          <w:p>
            <w:pPr>
              <w:spacing w:after="0"/>
              <w:rPr>
                <w:sz w:val="15"/>
                <w:szCs w:val="15"/>
                <w:color w:val="auto"/>
              </w:rPr>
            </w:pPr>
          </w:p>
        </w:tc>
        <w:tc>
          <w:tcPr>
            <w:tcW w:w="3520" w:type="dxa"/>
            <w:vAlign w:val="bottom"/>
            <w:gridSpan w:val="5"/>
          </w:tcPr>
          <w:p>
            <w:pPr>
              <w:jc w:val="center"/>
              <w:ind w:left="20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305"/>
        </w:trPr>
        <w:tc>
          <w:tcPr>
            <w:tcW w:w="3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7"/>
        </w:trPr>
        <w:tc>
          <w:tcPr>
            <w:tcW w:w="372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285"/>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5"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3" w:right="339" w:bottom="1440" w:gutter="0" w:footer="0" w:header="0"/>
        </w:sectPr>
      </w:pPr>
    </w:p>
    <w:p>
      <w:pPr>
        <w:spacing w:after="0" w:line="100" w:lineRule="exact"/>
        <w:rPr>
          <w:sz w:val="24"/>
          <w:szCs w:val="24"/>
          <w:color w:val="auto"/>
        </w:rPr>
      </w:pPr>
    </w:p>
    <w:p>
      <w:pPr>
        <w:ind w:left="140"/>
        <w:spacing w:after="0" w:line="330"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4">
            <w:col w:w="1420" w:space="360"/>
            <w:col w:w="5540" w:space="720"/>
            <w:col w:w="1540" w:space="520"/>
            <w:col w:w="1140"/>
          </w:cols>
          <w:pgMar w:left="320" w:top="1373"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19, 2024, there were 27,109,831 outstanding shares of the registrant’s common stock (excluding 2,852,917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711771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7780" w:type="dxa"/>
            <w:vAlign w:val="bottom"/>
            <w:gridSpan w:val="12"/>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340" w:type="dxa"/>
            <w:vAlign w:val="bottom"/>
            <w:tcBorders>
              <w:bottom w:val="single" w:sz="8" w:color="0000FF"/>
            </w:tcBorders>
            <w:gridSpan w:val="10"/>
            <w:vMerge w:val="continue"/>
          </w:tcPr>
          <w:p>
            <w:pPr>
              <w:spacing w:after="0"/>
              <w:rPr>
                <w:sz w:val="14"/>
                <w:szCs w:val="14"/>
                <w:color w:val="auto"/>
              </w:rPr>
            </w:pPr>
          </w:p>
        </w:tc>
        <w:tc>
          <w:tcPr>
            <w:tcW w:w="7780" w:type="dxa"/>
            <w:vAlign w:val="bottom"/>
            <w:gridSpan w:val="1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20" w:type="dxa"/>
            <w:vAlign w:val="bottom"/>
            <w:tcBorders>
              <w:top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(Deficit)</w:t>
            </w:r>
          </w:p>
        </w:tc>
        <w:tc>
          <w:tcPr>
            <w:tcW w:w="3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980" w:type="dxa"/>
            <w:vAlign w:val="bottom"/>
            <w:tcBorders>
              <w:left w:val="single" w:sz="8" w:color="0000FF"/>
            </w:tcBorders>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1A</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980" w:type="dxa"/>
            <w:vAlign w:val="bottom"/>
            <w:tcBorders>
              <w:left w:val="single" w:sz="8" w:color="0000FF"/>
            </w:tcBorders>
            <w:gridSpan w:val="7"/>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5"/>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$3,421 and $3,123, respectively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6"/>
                <w:szCs w:val="16"/>
                <w:color w:val="auto"/>
              </w:rPr>
              <w:t>LIABILITIES AND DEFICIT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35,760</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8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rPr>
              <w:t>Common stock ($1.00 par value; 100,000 shares authorized, 29,963 issued and 27,110 outstanding as of June 30, 2024; 29,963</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0" w:type="dxa"/>
            <w:vAlign w:val="bottom"/>
          </w:tcPr>
          <w:p>
            <w:pPr>
              <w:spacing w:after="0"/>
              <w:rPr>
                <w:sz w:val="1"/>
                <w:szCs w:val="1"/>
                <w:color w:val="auto"/>
              </w:rPr>
            </w:pPr>
          </w:p>
        </w:tc>
      </w:tr>
      <w:tr>
        <w:trPr>
          <w:trHeight w:val="210"/>
        </w:trPr>
        <w:tc>
          <w:tcPr>
            <w:tcW w:w="8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issued and 26,496 outstanding as of December 31, 2023)</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177,278</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(2,853 shares as of June 30, 2024 and 3,467 shares as of December 31, 2023)</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Altisource deficit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deficit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74,696</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29,703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60,660</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14,036</w:t>
            </w:r>
          </w:p>
        </w:tc>
      </w:tr>
      <w:tr>
        <w:trPr>
          <w:trHeight w:val="214"/>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24,435</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w:t>
            </w: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(16,664)</w:t>
            </w: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(19,137)</w:t>
            </w:r>
          </w:p>
        </w:tc>
      </w:tr>
      <w:tr>
        <w:trPr>
          <w:trHeight w:val="214"/>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(29,536)</w:t>
            </w: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(31,704)</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(31,797)</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9"/>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9"/>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9"/>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9"/>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20,840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8"/>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loss, net of tax</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(31,704)</w:t>
            </w:r>
          </w:p>
        </w:tc>
      </w:tr>
      <w:tr>
        <w:trPr>
          <w:trHeight w:val="210"/>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Altisource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680" w:type="dxa"/>
            <w:vAlign w:val="bottom"/>
            <w:gridSpan w:val="4"/>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(118,874)</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166,704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96,243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(110,397)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167,946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75,104</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(401,774)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(128,095)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177,278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4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179,093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4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179,937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(17,429)</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(31,704)</w:t>
            </w:r>
          </w:p>
        </w:tc>
      </w:tr>
      <w:tr>
        <w:trPr>
          <w:trHeight w:val="214"/>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PIK accrual</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12,504</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w:t>
            </w:r>
          </w:p>
        </w:tc>
      </w:tr>
      <w:tr>
        <w:trPr>
          <w:trHeight w:val="194"/>
        </w:trPr>
        <w:tc>
          <w:tcPr>
            <w:tcW w:w="8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and amendment costs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w:t>
            </w:r>
          </w:p>
        </w:tc>
      </w:tr>
      <w:tr>
        <w:trPr>
          <w:trHeight w:val="194"/>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(16,030)</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54,273</w:t>
            </w:r>
          </w:p>
        </w:tc>
      </w:tr>
      <w:tr>
        <w:trPr>
          <w:trHeight w:val="194"/>
        </w:trPr>
        <w:tc>
          <w:tcPr>
            <w:tcW w:w="8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8"/>
        </w:trPr>
        <w:tc>
          <w:tcPr>
            <w:tcW w:w="8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11,022</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 (refunded), net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2"/>
        </w:trPr>
        <w:tc>
          <w:tcPr>
            <w:tcW w:w="8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Warrants issued in connection with Amended Credit Agreement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w:t>
            </w:r>
          </w:p>
        </w:tc>
      </w:tr>
      <w:tr>
        <w:trPr>
          <w:trHeight w:val="214"/>
        </w:trPr>
        <w:tc>
          <w:tcPr>
            <w:tcW w:w="8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ind w:left="20" w:right="580"/>
        <w:spacing w:after="0" w:line="238"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8"/>
        </w:trPr>
        <w:tc>
          <w:tcPr>
            <w:tcW w:w="8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3,202</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(see Note 22 for a description of our business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2024, Lenders One had total assets of $0.4 million and total liabilities of $0.5 million. As of December 31, 2023, Lenders One had total assets of $0.4 million and total liabilities of $0.6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2023, as filed with the SEC on March 7,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standard updates reportable segment disclosure requirements primarily through enhanced disclosures about significant segment expenses that are part of an entity’s segment measure of profit or loss and regularly provided to the chief operating decision maker. In addition, it adds or makes clarifications to other segment-related disclosures, such as clarifying that the disclosure requirements in ASC 280 are required for entities with a single reportable segment and that an entity may disclose multiple measures of segment profit and loss. This standard will be effective for annual periods beginning after December 15, 2023, and for interim periods beginning after December 15, 2024. Early adoption of this standard is permitted. The Company is currently evaluating the impact this guidance may have on its consolidated financial statements.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This standard will be effective for annual periods beginning after December 15, 2024. Early adoption of this standard is permitted. The Company is currently evaluating the impact this guidance may have on its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Onity Group Inc. (together with its subsidiaries, “Onity”) (formerly Ocwen Financial Corporation, or “Ocwen”) is a residential mortgage loan servicer of mortgage servicing rights (“MSRs”) it owns, including those MSRs in which others have an economic interest, and a subservicer of loans owned by others.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Onity was our largest customer, accounting for 44%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six months ended June 30, 2024 and 2023, we recognized revenue from Onity of $34.9 million and $31.6 million, respectively ($17.2 million and $14.0 million for the second quarter of 2024 and 2023, respectively). Revenue from Onity as a percentage of segment and consolidated revenue was as follows: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2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3"/>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54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57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2"/>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420" w:type="dxa"/>
            <w:vAlign w:val="bottom"/>
            <w:gridSpan w:val="3"/>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14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8"/>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six months ended June 30, 2024 and 2023, we recognized $5.2 million and $5.0 million, respectively ($2.4 million and $2.1 million for the second quarter of 2024 and 2023, respectively), of such revenue. These amounts are not included in deriving revenue from Onity and revenue from Onity as a percentage of revenue discussed above.</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2024, accounts receivable from Onity totaled $4.4 million, $3.5 million of which was billed and $0.9 million of which was unbilled. As of December 31, 2023, accounts receivable from Onity totaled $3.4 million, $2.2 million of which was billed and $1.2 million of which was unbilled.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March 31, 2024, Onity reported that approximately 15% of loans serviced and subserviced by Onity (measured in unpaid principal balance (“UPB”)) and approximately 66% of all delinquent loans that Onity services were related to Rithm MSRs or rights to MSRs (the “Subject MSRs”).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and 2023, we recognized revenue from Rithm of $1.3 million and $1.6 million, respectively ($0.6 million and $0.8 million for the second quarter of 2024 and 2023, respectively), under the Brokerage Agreement. For the six months ended June 30, 2024 and 2023, we recognized additional revenue of $6.1 million and $6.8 million, respectively ($3.2 million and $3.5 million for the second quarter of 2024 and 2023, respectively), relating to the Subject MSRs when a party other than Rithm selects Altisource as the service provider.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services, REO and foreclosure sales, title and closing services, for which we generally recognize revenue when the service is provided but collect upon closing of the sale, as well as foreclosure trustee services and the recently launched property renovation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June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3,421</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 June 30, 2023</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4,314</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Six months ended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3,421</w:t>
            </w: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Six months ended June 30, 2023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4,314</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5" w:lineRule="exact"/>
        <w:rPr>
          <w:sz w:val="20"/>
          <w:szCs w:val="20"/>
          <w:color w:val="auto"/>
        </w:rPr>
      </w:pPr>
    </w:p>
    <w:p>
      <w:pPr>
        <w:ind w:right="5280"/>
        <w:spacing w:after="0" w:line="401"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Amounts written off as uncollectible or transferred to other accounts or utilized. </w:t>
      </w:r>
      <w:r>
        <w:rPr>
          <w:rFonts w:ascii="Times New Roman" w:cs="Times New Roman" w:eastAsia="Times New Roman" w:hAnsi="Times New Roman"/>
          <w:sz w:val="18"/>
          <w:szCs w:val="18"/>
          <w:b w:val="1"/>
          <w:bCs w:val="1"/>
          <w:color w:val="auto"/>
        </w:rPr>
        <w:t xml:space="preserve">NOTE 4 — PREPAID EXPENSES AND OTHER CURRENT ASSETS </w:t>
      </w:r>
      <w:r>
        <w:rPr>
          <w:rFonts w:ascii="Times New Roman" w:cs="Times New Roman" w:eastAsia="Times New Roman" w:hAnsi="Times New Roman"/>
          <w:sz w:val="18"/>
          <w:szCs w:val="18"/>
          <w:color w:val="auto"/>
        </w:rPr>
        <w:t>Prepaid expenses and other current assets consist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Indemnity escrow receivable from Pointillist sale</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2,743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8,309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46,519</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(45,940)</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Depreciation and amortization expense amounted to $0.6 million and $1.4 million for the six months ended June 30, 2024 and 2023, respectively ($0.3 million and $0.7 million for the second quarter of 2024 and 2023, respectively), and is included in cost of revenue for operating assets and in selling, general and administrative expenses for non-operating assets in the accompanying condensed consolidated statements of operations and comprehensive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4"/>
        </w:trPr>
        <w:tc>
          <w:tcPr>
            <w:tcW w:w="8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1,124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6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220" w:type="dxa"/>
            <w:vAlign w:val="bottom"/>
          </w:tcPr>
          <w:p>
            <w:pPr>
              <w:jc w:val="center"/>
              <w:ind w:right="124"/>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584"/>
              <w:spacing w:after="0"/>
              <w:rPr>
                <w:sz w:val="20"/>
                <w:szCs w:val="20"/>
                <w:color w:val="auto"/>
              </w:rPr>
            </w:pPr>
            <w:r>
              <w:rPr>
                <w:rFonts w:ascii="Times New Roman" w:cs="Times New Roman" w:eastAsia="Times New Roman" w:hAnsi="Times New Roman"/>
                <w:sz w:val="16"/>
                <w:szCs w:val="16"/>
                <w:color w:val="auto"/>
                <w:w w:val="99"/>
              </w:rPr>
              <w:t>7,286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9"/>
              </w:rPr>
              <w:t>7,242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564"/>
              <w:spacing w:after="0"/>
              <w:rPr>
                <w:sz w:val="20"/>
                <w:szCs w:val="20"/>
                <w:color w:val="auto"/>
              </w:rPr>
            </w:pPr>
            <w:r>
              <w:rPr>
                <w:rFonts w:ascii="Times New Roman" w:cs="Times New Roman" w:eastAsia="Times New Roman" w:hAnsi="Times New Roman"/>
                <w:sz w:val="16"/>
                <w:szCs w:val="16"/>
                <w:color w:val="auto"/>
                <w:w w:val="98"/>
              </w:rPr>
              <w:t>(4,674)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8"/>
              </w:rPr>
              <w:t>(3,863)</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center"/>
              <w:ind w:left="584"/>
              <w:spacing w:after="0"/>
              <w:rPr>
                <w:sz w:val="20"/>
                <w:szCs w:val="20"/>
                <w:color w:val="auto"/>
              </w:rPr>
            </w:pPr>
            <w:r>
              <w:rPr>
                <w:rFonts w:ascii="Times New Roman" w:cs="Times New Roman" w:eastAsia="Times New Roman" w:hAnsi="Times New Roman"/>
                <w:sz w:val="16"/>
                <w:szCs w:val="16"/>
                <w:color w:val="auto"/>
                <w:w w:val="99"/>
              </w:rPr>
              <w:t>2,612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9"/>
              </w:rPr>
              <w:t>3,379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operating leases was $0.8 million and $0.9 million for the six months ended June 30, 2024 and 2023, respectively ($0.4 million and $0.5 million for the second quarter of 2024 and 2023, respectively), and is included in cost of revenue for operating assets and in selling, general and administrative expenses for non-operating assets in the accompanying condensed consolidated statements of operations and comprehensive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10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 and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20" w:type="dxa"/>
            <w:vAlign w:val="bottom"/>
          </w:tcPr>
          <w:p>
            <w:pPr>
              <w:spacing w:after="0"/>
              <w:rPr>
                <w:sz w:val="14"/>
                <w:szCs w:val="1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0" w:type="dxa"/>
            <w:vAlign w:val="bottom"/>
          </w:tcPr>
          <w:p>
            <w:pPr>
              <w:spacing w:after="0"/>
              <w:rPr>
                <w:sz w:val="14"/>
                <w:szCs w:val="14"/>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4"/>
                <w:szCs w:val="14"/>
                <w:color w:val="auto"/>
              </w:rPr>
            </w:pPr>
          </w:p>
        </w:tc>
        <w:tc>
          <w:tcPr>
            <w:tcW w:w="222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line="20" w:lineRule="exact"/>
              <w:rPr>
                <w:sz w:val="1"/>
                <w:szCs w:val="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line="20" w:lineRule="exact"/>
              <w:rPr>
                <w:sz w:val="1"/>
                <w:szCs w:val="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46"/>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220" w:type="dxa"/>
            <w:vAlign w:val="bottom"/>
          </w:tcPr>
          <w:p>
            <w:pPr>
              <w:spacing w:after="0"/>
              <w:rPr>
                <w:sz w:val="16"/>
                <w:szCs w:val="16"/>
                <w:color w:val="auto"/>
              </w:rPr>
            </w:pPr>
          </w:p>
        </w:tc>
        <w:tc>
          <w:tcPr>
            <w:tcW w:w="9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214,307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(200,656)</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(234,613)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(232,468)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$2.5 million and $2.6 million for the six months ended June 30, 2024 and 2023, respectively ($1.3 million and $1.3 million for the second quarter of 2024 and 2023, respectively). Forecasted annual definite lived intangible asset amortization expense for 2024 through 2028 is $5.1 million, $5.1 million, $4.9 million, $4.7 million and $4.4 million, respectively .</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6,669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342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9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2"/>
                <w:szCs w:val="12"/>
                <w:color w:val="auto"/>
              </w:rPr>
            </w:pPr>
          </w:p>
        </w:tc>
        <w:tc>
          <w:tcPr>
            <w:tcW w:w="12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220" w:type="dxa"/>
            <w:vAlign w:val="bottom"/>
          </w:tcPr>
          <w:p>
            <w:pPr>
              <w:jc w:val="right"/>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2,245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residential real estate renovation services business, on June 3, 2024 Altisource Solutions, Inc., an indirect subsidiary of Altisource Portfolio Solutions S.A, entered into a revolving loan agreement with a related 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 The outstanding balance on the Revolving Loan Agreement is due and payable on such maturity date.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was no outstanding debt under the Revolving Loan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Debt issuance and amendment costs,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 net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0" w:type="dxa"/>
            <w:vAlign w:val="bottom"/>
          </w:tcPr>
          <w:p>
            <w:pPr>
              <w:spacing w:after="0"/>
              <w:rPr>
                <w:sz w:val="1"/>
                <w:szCs w:val="1"/>
                <w:color w:val="auto"/>
              </w:rPr>
            </w:pPr>
          </w:p>
        </w:tc>
      </w:tr>
      <w:tr>
        <w:trPr>
          <w:trHeight w:val="20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long-term debt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 less current portion</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maturity date of the SSTL under the Amended Credit Agreement is April 30, 2025. Since the aggregate amount of par paydowns on the SSTL made prior to February 14, 2024 using proceeds from issuances of equity interests or from junior indebtedness (“Aggregate Paydowns”) was equal to or greater than $30 million, the maturity date of the SSTL may be extended at the Company’s option to April 30, 2026. Such extension is conditioned upon the Company’s payment of a 2% payment-in-kind extension fee on or before April 30, 2025 and subject to the representations and warranties being true and correct as of such date and there being no default or event of default being in existence as of such date.</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SOFR-based term loans bear interest at a rate per annum equal to SOFR plus 5.00% payable in cash plus a payable in kind (“PIK”) component. Base Rate-based term loans bear interest at a rate per annum equal to the Base Rate plus 4.00% payable in cash plus a PIK component. The PIK component of the interest rate was subject to adjustment based on the amount of Aggregate Paydowns. Since Aggregate Paydowns were $20 million in the first quarter of 2023 and an additional $10 million in the third quarter of 2023, the PIK component was 4.50% for the period March 30, 2023 through June 30, 2023 and 3.75% for periods thereafter. The interest rate as of June 30, 2024, including the PIK component, was 14.16%.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 (iii) breach of certain other covenants, subject to cure periods described in the Amended Credit Agreement, (iv) failure to pay principal or interest on any other debt that equals or exceeds $5 million when due, (v) default on any other debt that equals or exceeds $5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 million that remain unbonded, undischarged or unstayed for a certain number of days after the entry thereof, (ix) the occurrence of certain ERISA events, (x) the failure of certain Loan Documents to be in full force and effect and (xi) failure to comply in any material respects with the terms of the Warrants or the Warrant Purchase Agreement. If any event of default occurs and is not cured within applicable grace periods set forth in the Amended Credit Agreement or waived, all loans and other obligations could become due and immediately payable and the facility could be terminated.</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lenders under the Amended Credit Agreement received Warrants to purchase shares of Altisource common stock. The number of Warrant Shares is subject to reduction based on the amount of Aggregate Paydowns (see Note 11 for additional information). The fair value of the Warrants on February 14, 2023 was $8.1 million and was recorded as an increase in debt discount.</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Amendment No. 2, the Company paid $4.9 million to the lenders and to third parties on behalf of the lenders. The $4.9 million payment was recorded as an increase in debt issuance and amendment costs. In connection with Amendment No. 2, the Company paid $3.4 million to advisors and recorded these payments as other expense in the condensed consolidated statements of operations and comprehensive loss.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Deer Park Road Management Company, LP (“Deer Park”), a related party, owns approximately 16% and 20% of Altisource’s common stock as of June 30, 2024 and 2023, respectively, and $41.3 million and $41.6 million of Altisource debt under the Amended Credit Agreement as of June 30, 2024 and 2023, respectively. An employee of Deer Park is a member of Altisource’s Board of Directors. In connection with the Amended Credit Agreement, Deer Park received 292 thousand Warrants. During the six months ended June 30, 2024 and 2023, Deer Park received interest of $1.1 million and $2.0 million, respectively from the Altisource SSTL.</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2024, debt issuance and amendment costs were $2.1 million, net of $7.3 million of accumulated amortization. As of December 31, 2023, debt issuance and amendment costs were $3.3 million, net of $6.1 million of accumulated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Amended Revolver or waived, all loans and other obligations could become due and immediately payable and the facility could be terminated.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there was no outstanding debt under the Amended Revolver and Revolver, respectively. As of June 30, 2024 debt issuance costs were $0.1 million, net of $0.4 million of accumulated amortization. As of December 31, 2023 debt issuance costs were $0.2 million, net of $0.4 million of accumulated amortization. Debt issuance costs for the Amended Revolver and Revolver are included in other assets in the accompanying consolidated balance sheet.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14, 2023, the lenders under the Amended Credit Agreement (see Note 10 for additional information) received warrants (the “Warrants”) to purchase 3,223,851 shares of Altisource common stock (the “Warrant Shares”). The number of Warrant Shares was subject to reduction based on the amount of Aggregate Paydowns. During 2023, the Company made $30 million of Aggregate Paydowns. Since Aggregate Paydowns were equal to or greater than $30 million, the number of Warrant Shares was reduced to 1,612,705.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Warrant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Warrant Shares</w:t>
            </w:r>
          </w:p>
        </w:tc>
      </w:tr>
      <w:tr>
        <w:trPr>
          <w:trHeight w:val="24"/>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9"/>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1,612,705</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(92,077)</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June 30,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1,520,628</w:t>
            </w: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 exercised on May 22, 2027. The Warrants are subject to a lock-up agreement, subject to customary exceptions, which expired on February 16, 2024.</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Warrants are free standing financial instruments that are legally detachable and separately exercisable from the term loans under the Amended Credit Agreement. At inception, the Warrants were not considered to be indexed to the Company’s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because the number of Warrant Shares varied based on Aggregate Paydowns. Pursuant to ASC 815-40, </w:t>
      </w:r>
      <w:r>
        <w:rPr>
          <w:rFonts w:ascii="Times New Roman" w:cs="Times New Roman" w:eastAsia="Times New Roman" w:hAnsi="Times New Roman"/>
          <w:sz w:val="18"/>
          <w:szCs w:val="18"/>
          <w:i w:val="1"/>
          <w:iCs w:val="1"/>
          <w:color w:val="auto"/>
        </w:rPr>
        <w:t>Derivatives and Hedging–Contracts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outstanding Warrants were recognized as a warrant liability on the balance sheet based on their inception date fair value and subsequently re-measured at each reporting period with changes recorded as a component of other income (expense) in the statement of operations. On September 18, 2023, the Company reached the $30 million in Aggregate Paydowns threshold and the number of Warrant Shares was no longer variable. As a result, the Warrants were considered to be indexed to the Company’s stock and the Warrant Liability was reclassified to equity.</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warrant liability was based on the number of Warrant Shares that were expected to be exercisable on and after February 14, 2024 and the Altisource share price less $0.01 at the measurement 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 liability at each of the respective valuation dates is summarized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10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Warrant Shares based on</w:t>
            </w:r>
          </w:p>
        </w:tc>
        <w:tc>
          <w:tcPr>
            <w:tcW w:w="288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Expected Warrant Shares that will be</w:t>
            </w:r>
          </w:p>
        </w:tc>
        <w:tc>
          <w:tcPr>
            <w:tcW w:w="138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240" w:type="dxa"/>
            <w:vAlign w:val="bottom"/>
          </w:tcPr>
          <w:p>
            <w:pPr>
              <w:spacing w:after="0"/>
              <w:rPr>
                <w:sz w:val="13"/>
                <w:szCs w:val="13"/>
                <w:color w:val="auto"/>
              </w:rPr>
            </w:pPr>
          </w:p>
        </w:tc>
        <w:tc>
          <w:tcPr>
            <w:tcW w:w="13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30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on February 14, 2024</w:t>
            </w:r>
          </w:p>
        </w:tc>
        <w:tc>
          <w:tcPr>
            <w:tcW w:w="138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Warrant Share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40"/>
              <w:spacing w:after="0" w:line="159" w:lineRule="exact"/>
              <w:rPr>
                <w:sz w:val="20"/>
                <w:szCs w:val="20"/>
                <w:color w:val="auto"/>
              </w:rPr>
            </w:pPr>
            <w:r>
              <w:rPr>
                <w:rFonts w:ascii="Times New Roman" w:cs="Times New Roman" w:eastAsia="Times New Roman" w:hAnsi="Times New Roman"/>
                <w:sz w:val="16"/>
                <w:szCs w:val="16"/>
                <w:color w:val="auto"/>
              </w:rPr>
              <w:t>Fair value at initial measurement date of</w:t>
            </w:r>
          </w:p>
        </w:tc>
        <w:tc>
          <w:tcPr>
            <w:tcW w:w="2100" w:type="dxa"/>
            <w:vAlign w:val="bottom"/>
            <w:vMerge w:val="restart"/>
            <w:shd w:val="clear" w:color="auto" w:fill="CCEEFF"/>
          </w:tcPr>
          <w:p>
            <w:pPr>
              <w:jc w:val="center"/>
              <w:ind w:right="24"/>
              <w:spacing w:after="0"/>
              <w:rPr>
                <w:sz w:val="20"/>
                <w:szCs w:val="20"/>
                <w:color w:val="auto"/>
              </w:rPr>
            </w:pPr>
            <w:r>
              <w:rPr>
                <w:rFonts w:ascii="Times New Roman" w:cs="Times New Roman" w:eastAsia="Times New Roman" w:hAnsi="Times New Roman"/>
                <w:sz w:val="16"/>
                <w:szCs w:val="16"/>
                <w:color w:val="auto"/>
                <w:w w:val="99"/>
              </w:rPr>
              <w:t>3,223,851</w:t>
            </w:r>
          </w:p>
        </w:tc>
        <w:tc>
          <w:tcPr>
            <w:tcW w:w="2880" w:type="dxa"/>
            <w:vAlign w:val="bottom"/>
            <w:vMerge w:val="restart"/>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vMerge w:val="restart"/>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9"/>
              </w:rPr>
              <w:t>$5.02</w:t>
            </w:r>
          </w:p>
        </w:tc>
        <w:tc>
          <w:tcPr>
            <w:tcW w:w="2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February 14, 2023</w:t>
            </w:r>
          </w:p>
        </w:tc>
        <w:tc>
          <w:tcPr>
            <w:tcW w:w="2100" w:type="dxa"/>
            <w:vAlign w:val="bottom"/>
            <w:vMerge w:val="continue"/>
            <w:shd w:val="clear" w:color="auto" w:fill="CCEEFF"/>
          </w:tcPr>
          <w:p>
            <w:pPr>
              <w:spacing w:after="0"/>
              <w:rPr>
                <w:sz w:val="18"/>
                <w:szCs w:val="18"/>
                <w:color w:val="auto"/>
              </w:rPr>
            </w:pPr>
          </w:p>
        </w:tc>
        <w:tc>
          <w:tcPr>
            <w:tcW w:w="28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Gain on change in fair value of warrant liability</w:t>
            </w:r>
          </w:p>
        </w:tc>
        <w:tc>
          <w:tcPr>
            <w:tcW w:w="21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March 31, 2023</w:t>
            </w:r>
          </w:p>
        </w:tc>
        <w:tc>
          <w:tcPr>
            <w:tcW w:w="210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6"/>
                <w:szCs w:val="16"/>
                <w:color w:val="auto"/>
                <w:w w:val="99"/>
              </w:rPr>
              <w:t>2,578,743</w:t>
            </w:r>
          </w:p>
        </w:tc>
        <w:tc>
          <w:tcPr>
            <w:tcW w:w="288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9"/>
              </w:rPr>
              <w:t>$4.59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Loss on change in fair value of warrant liability</w:t>
            </w:r>
          </w:p>
        </w:tc>
        <w:tc>
          <w:tcPr>
            <w:tcW w:w="21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June 30, 2023</w:t>
            </w:r>
          </w:p>
        </w:tc>
        <w:tc>
          <w:tcPr>
            <w:tcW w:w="2100" w:type="dxa"/>
            <w:vAlign w:val="bottom"/>
            <w:tcBorders>
              <w:bottom w:val="single" w:sz="8" w:color="CCEEFF"/>
            </w:tcBorders>
            <w:shd w:val="clear" w:color="auto" w:fill="CCEEFF"/>
          </w:tcPr>
          <w:p>
            <w:pPr>
              <w:jc w:val="center"/>
              <w:ind w:right="24"/>
              <w:spacing w:after="0"/>
              <w:rPr>
                <w:sz w:val="20"/>
                <w:szCs w:val="20"/>
                <w:color w:val="auto"/>
              </w:rPr>
            </w:pPr>
            <w:r>
              <w:rPr>
                <w:rFonts w:ascii="Times New Roman" w:cs="Times New Roman" w:eastAsia="Times New Roman" w:hAnsi="Times New Roman"/>
                <w:sz w:val="16"/>
                <w:szCs w:val="16"/>
                <w:color w:val="auto"/>
                <w:w w:val="99"/>
              </w:rPr>
              <w:t>2,578,743</w:t>
            </w:r>
          </w:p>
        </w:tc>
        <w:tc>
          <w:tcPr>
            <w:tcW w:w="2880" w:type="dxa"/>
            <w:vAlign w:val="bottom"/>
            <w:tcBorders>
              <w:bottom w:val="single" w:sz="8" w:color="CCEEFF"/>
            </w:tcBorders>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tcBorders>
              <w:bottom w:val="single" w:sz="8" w:color="CCEEFF"/>
            </w:tcBorders>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w w:val="99"/>
              </w:rPr>
              <w:t>$5.69</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2023, the Company recorded a loss on changes in fair value of warrant liability of $1.1 million ($1.8 million for the second quarter of 2023) (no comparative amount for the three and six months ended June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NON-CURRENT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liabilities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17,506</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June 30, 2024 and December 31, 2023. The following fair values are estimated using market information and what the Company believes to be appropriate valuation methodologies under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receivable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177,027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our SSTL is based on quoted market prices. Based on the frequency of trading, we do not believe that there is an active market for our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quoted prices are considered Level 2 inputs.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We measure short-term receivables without a stated interest rate based on the present value of the future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44% of its revenue from Onity for the three and six months ended June 30, 2024 (see Note 2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760"/>
        <w:spacing w:after="0" w:line="431"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June 30, 2024, approximately 3.1 million shares of common stock remain available for repurchase under the program. There were no purchases of shares of common stock during the six months ended June 30, 2024 and 2023. Luxembourg law limits share repurchases to the balance of Altisource Portfolio Solutions S.A. (unconsolidated parent company) retained earnings, less the value of shares repurchased. As of June 30, 2024, we can repurchase up to approximately $115 million of our common stock under Luxembourg law. Under the Amended Credit Agreement, we are not permitted to repurchase shares except for limited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 of Common Stock</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7, 2023, Altisource closed on an underwritten public offering to sell 5,590,277 shares of its common stock, at a price of $3.60 per share, generating net proceeds of $18.4 million, after deducting the underwriting discounts and commissions and other offering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$3.1 million and $2.7 million for the six months ended June 30, 2024 and 2023, respectively ($0.8 million and $1.2 million for the second quarter of 2024 and 2023, respectively). The increase for the six months ended June 30, 2024 was primarily driven by the accelerated amortization for awards granted to retirement-eligible employees. As of June 30, 2024, estimated unrecognized compensation costs related to share-based awards amounted to $2.7 million, which we expect to recognize over a weighted average remaining requisite service period of approximately 1.16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180 thousand service-based options were outstanding as of June 30, 2024.</w:t>
      </w:r>
    </w:p>
    <w:p>
      <w:pPr>
        <w:spacing w:after="0" w:line="107"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June 30, 2024.</w:t>
      </w:r>
    </w:p>
    <w:p>
      <w:pPr>
        <w:spacing w:after="0" w:line="132"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June 30,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six months ended June 30, 2024 and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performance-based options are determined using the Black-Scholes option pricing model.</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80" w:type="dxa"/>
            <w:vAlign w:val="bottom"/>
          </w:tcPr>
          <w:p>
            <w:pPr>
              <w:spacing w:after="0"/>
              <w:rPr>
                <w:sz w:val="13"/>
                <w:szCs w:val="13"/>
                <w:color w:val="auto"/>
              </w:rPr>
            </w:pPr>
          </w:p>
        </w:tc>
        <w:tc>
          <w:tcPr>
            <w:tcW w:w="12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40" w:type="dxa"/>
            <w:vAlign w:val="bottom"/>
          </w:tcPr>
          <w:p>
            <w:pPr>
              <w:jc w:val="center"/>
              <w:ind w:right="105"/>
              <w:spacing w:after="0" w:line="144"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3"/>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739,189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June 30, 2024</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736,689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June 30, 2024</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549,450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123"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one-to-four-year periods. A total of 1,521 thousand service-based awards were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w:t>
      </w:r>
    </w:p>
    <w:p>
      <w:pPr>
        <w:spacing w:after="0" w:line="10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190 thousand performance-based awards were outstanding as of June 30, 2024.</w:t>
      </w:r>
    </w:p>
    <w:p>
      <w:pPr>
        <w:spacing w:after="0" w:line="13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Market-Based Awards. </w:t>
      </w:r>
      <w:r>
        <w:rPr>
          <w:rFonts w:ascii="Times New Roman" w:cs="Times New Roman" w:eastAsia="Times New Roman" w:hAnsi="Times New Roman"/>
          <w:sz w:val="18"/>
          <w:szCs w:val="18"/>
          <w:color w:val="auto"/>
        </w:rPr>
        <w:t>50% of these awards generally vest if certain specific market conditions are achieved over a 30-day period and the remaining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awards generally vest on the one year anniversary of the initial vesting. The Company estimates the grant date fair value of these awards using a lattice (binomial) model. A total of 112 thousand market-based awards were outstanding as of June 30, 2024.</w:t>
      </w:r>
    </w:p>
    <w:p>
      <w:pPr>
        <w:spacing w:after="0" w:line="12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189 thousand performance-based and market-based awards were outstanding as of June 30, 2024.</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1,554 thousand restricted share units (at a weighted average grant date fair value of $2.52 per share) during the six months ended June 30, 2024. These grants included 88 thousand performance-based awards and 88 thousand awards that include both a performance condition and a market condition. The Company granted 891 thousand restricted share units (at a weighted average grant date fair value of $4.82 per share) during the six months ended June 30, 2023. These grants included 57 thousand performance-based awards and 57 thousand awards that include both a performance condition and a market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1640" w:type="dxa"/>
            <w:vAlign w:val="bottom"/>
          </w:tcPr>
          <w:p>
            <w:pPr>
              <w:spacing w:after="0"/>
              <w:rPr>
                <w:sz w:val="17"/>
                <w:szCs w:val="17"/>
                <w:color w:val="auto"/>
              </w:rPr>
            </w:pPr>
          </w:p>
        </w:tc>
      </w:tr>
      <w:tr>
        <w:trPr>
          <w:trHeight w:val="235"/>
        </w:trPr>
        <w:tc>
          <w:tcPr>
            <w:tcW w:w="96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640" w:type="dxa"/>
            <w:vAlign w:val="bottom"/>
          </w:tcPr>
          <w:p>
            <w:pPr>
              <w:spacing w:after="0"/>
              <w:rPr>
                <w:sz w:val="20"/>
                <w:szCs w:val="20"/>
                <w:color w:val="auto"/>
              </w:rPr>
            </w:pPr>
          </w:p>
        </w:tc>
      </w:tr>
      <w:tr>
        <w:trPr>
          <w:trHeight w:val="68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tc>
        <w:tc>
          <w:tcPr>
            <w:tcW w:w="1640" w:type="dxa"/>
            <w:vAlign w:val="bottom"/>
          </w:tcPr>
          <w:p>
            <w:pPr>
              <w:spacing w:after="0"/>
              <w:rPr>
                <w:sz w:val="24"/>
                <w:szCs w:val="24"/>
                <w:color w:val="auto"/>
              </w:rPr>
            </w:pPr>
          </w:p>
        </w:tc>
      </w:tr>
      <w:tr>
        <w:trPr>
          <w:trHeight w:val="319"/>
        </w:trPr>
        <w:tc>
          <w:tcPr>
            <w:tcW w:w="96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4"/>
        </w:trPr>
        <w:tc>
          <w:tcPr>
            <w:tcW w:w="96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198"/>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1,262,742</w:t>
            </w:r>
          </w:p>
        </w:tc>
      </w:tr>
      <w:tr>
        <w:trPr>
          <w:trHeight w:val="210"/>
        </w:trPr>
        <w:tc>
          <w:tcPr>
            <w:tcW w:w="9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1,554,003</w:t>
            </w:r>
          </w:p>
        </w:tc>
      </w:tr>
      <w:tr>
        <w:trPr>
          <w:trHeight w:val="214"/>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(522,126)</w:t>
            </w:r>
          </w:p>
        </w:tc>
      </w:tr>
      <w:tr>
        <w:trPr>
          <w:trHeight w:val="210"/>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(282,178)</w:t>
            </w:r>
          </w:p>
        </w:tc>
      </w:tr>
      <w:tr>
        <w:trPr>
          <w:trHeight w:val="194"/>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June 30,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2,012,441</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0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6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70,244</w:t>
            </w: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94"/>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26,494</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20" w:type="dxa"/>
            <w:vAlign w:val="bottom"/>
          </w:tcPr>
          <w:p>
            <w:pPr>
              <w:spacing w:after="0"/>
              <w:rPr>
                <w:sz w:val="24"/>
                <w:szCs w:val="24"/>
                <w:color w:val="auto"/>
              </w:rPr>
            </w:pP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2,099</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31,124</w:t>
            </w:r>
          </w:p>
        </w:tc>
        <w:tc>
          <w:tcPr>
            <w:tcW w:w="0" w:type="dxa"/>
            <w:vAlign w:val="bottom"/>
          </w:tcPr>
          <w:p>
            <w:pPr>
              <w:spacing w:after="0"/>
              <w:rPr>
                <w:sz w:val="1"/>
                <w:szCs w:val="1"/>
                <w:color w:val="auto"/>
              </w:rPr>
            </w:pPr>
          </w:p>
        </w:tc>
      </w:tr>
      <w:tr>
        <w:trPr>
          <w:trHeight w:val="214"/>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7,997</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2,223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39,121</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3"/>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tcPr>
          <w:p>
            <w:pPr>
              <w:spacing w:after="0"/>
              <w:rPr>
                <w:sz w:val="24"/>
                <w:szCs w:val="24"/>
                <w:color w:val="auto"/>
              </w:rPr>
            </w:pP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1,930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26,848</w:t>
            </w:r>
          </w:p>
        </w:tc>
        <w:tc>
          <w:tcPr>
            <w:tcW w:w="0" w:type="dxa"/>
            <w:vAlign w:val="bottom"/>
          </w:tcPr>
          <w:p>
            <w:pPr>
              <w:spacing w:after="0"/>
              <w:rPr>
                <w:sz w:val="1"/>
                <w:szCs w:val="1"/>
                <w:color w:val="auto"/>
              </w:rPr>
            </w:pPr>
          </w:p>
        </w:tc>
      </w:tr>
      <w:tr>
        <w:trPr>
          <w:trHeight w:val="214"/>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2,049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35,235</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3"/>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52,891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tcPr>
          <w:p>
            <w:pPr>
              <w:spacing w:after="0"/>
              <w:rPr>
                <w:sz w:val="24"/>
                <w:szCs w:val="24"/>
                <w:color w:val="auto"/>
              </w:rPr>
            </w:pP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4,520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62,626</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4,760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78,590</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3"/>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20" w:type="dxa"/>
            <w:vAlign w:val="bottom"/>
          </w:tcPr>
          <w:p>
            <w:pPr>
              <w:spacing w:after="0"/>
              <w:rPr>
                <w:sz w:val="24"/>
                <w:szCs w:val="24"/>
                <w:color w:val="auto"/>
              </w:rPr>
            </w:pP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4,114</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58,793</w:t>
            </w:r>
          </w:p>
        </w:tc>
        <w:tc>
          <w:tcPr>
            <w:tcW w:w="0" w:type="dxa"/>
            <w:vAlign w:val="bottom"/>
          </w:tcPr>
          <w:p>
            <w:pPr>
              <w:spacing w:after="0"/>
              <w:rPr>
                <w:sz w:val="1"/>
                <w:szCs w:val="1"/>
                <w:color w:val="auto"/>
              </w:rPr>
            </w:pPr>
          </w:p>
        </w:tc>
      </w:tr>
      <w:tr>
        <w:trPr>
          <w:trHeight w:val="214"/>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15,903</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4,359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74,696</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-4130675</wp:posOffset>
            </wp:positionV>
            <wp:extent cx="7050405"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-3861435</wp:posOffset>
            </wp:positionV>
            <wp:extent cx="7050405" cy="160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0405" cy="1600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-2901950</wp:posOffset>
            </wp:positionV>
            <wp:extent cx="7050405"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-2632710</wp:posOffset>
            </wp:positionV>
            <wp:extent cx="7050405" cy="160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0405" cy="1600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-1673860</wp:posOffset>
            </wp:positionV>
            <wp:extent cx="7050405"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-1404620</wp:posOffset>
            </wp:positionV>
            <wp:extent cx="7050405" cy="160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0405" cy="1600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-445135</wp:posOffset>
            </wp:positionV>
            <wp:extent cx="7050405" cy="13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-175895</wp:posOffset>
            </wp:positionV>
            <wp:extent cx="7050405" cy="160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0405"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121"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less than $0.1 million for the three and six months ended June 30, 2024 and 2023, respectively, of service revenue relating to services provided to Aldridge Pite.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Revenue recognized that was included in the contract liability at the beginning of the period was $2.2 million and $2.8 million for the six months ended June 30, 2024 and 2023, respectively ($0.9 million for the second quarter of 2024 and 2023).</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29,151</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18,982</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w:t>
            </w: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19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recognized $0.4 million and $0.5 million for the six months ended June 30, 2024 and 2023, respectively ($0.2 million and $0.3 million for the second quarter of 2024 and 2023, respectively), of cost of revenue relating to services received from Aldridge Pite. As of June 30, 2024, the Company had no payable to Aldridge Pite.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9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1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w:t>
            </w:r>
          </w:p>
        </w:tc>
      </w:tr>
      <w:tr>
        <w:trPr>
          <w:trHeight w:val="2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w:t>
            </w:r>
          </w:p>
        </w:tc>
      </w:tr>
      <w:tr>
        <w:trPr>
          <w:trHeight w:val="214"/>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r>
      <w:tr>
        <w:trPr>
          <w:trHeight w:val="2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r>
      <w:tr>
        <w:trPr>
          <w:trHeight w:val="214"/>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r>
      <w:tr>
        <w:trPr>
          <w:trHeight w:val="194"/>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7"/>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10,634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0551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5511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net</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4"/>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1"/>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5"/>
        </w:trPr>
        <w:tc>
          <w:tcPr>
            <w:tcW w:w="74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4"/>
                <w:szCs w:val="24"/>
                <w:color w:val="auto"/>
              </w:rPr>
            </w:pP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4"/>
                <w:szCs w:val="24"/>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4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5"/>
        </w:trPr>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404"/>
        </w:trPr>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4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-571500</wp:posOffset>
            </wp:positionV>
            <wp:extent cx="7134860"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-302260</wp:posOffset>
            </wp:positionV>
            <wp:extent cx="7134860" cy="13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74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an income tax provision of $1.4 million and $2.2 million for the six months ended June 30, 2024 and 2023, respectively ($0.7 million and $0.6 million for the second quarter of 2024 and 2023, respectively). Income tax provision for the three and six months ended June 30, 2024 was driven primarily by income tax expense on transfer pricing income from India and the United States, no tax benefit on the pretax loss from our Luxembourg operating company, and uncertain tax positions.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LOSS PER SHARE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In accordance with ASC 260, penny warrants are included in the calculation of weighted average basic and diluted loss per share for the period that they are classified as equity. For the three and six months ended June 30, 2024, 1.5 million and 1.5 million penny warrants have been included in the calculation of weighted average basic and diluted loss per share. Diluted net loss per share excludes all dilutive securities because their impact would be anti-dilutive, as described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17"/>
                <w:szCs w:val="17"/>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2"/>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2024 and 2023, 2.2 million and 3.5 million, respectively (2.5 million and 4.1 million for the second quarter of 2024 and 2023, respectively), stock options, restricted shares and restricted share units were excluded from the computation of loss per share, as a result of the following:</w:t>
      </w:r>
    </w:p>
    <w:p>
      <w:pPr>
        <w:spacing w:after="0" w:line="125" w:lineRule="exact"/>
        <w:rPr>
          <w:sz w:val="20"/>
          <w:szCs w:val="20"/>
          <w:color w:val="auto"/>
        </w:rPr>
      </w:pPr>
    </w:p>
    <w:p>
      <w:pPr>
        <w:jc w:val="both"/>
        <w:ind w:left="480" w:hanging="315"/>
        <w:spacing w:after="0" w:line="259"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and 2023, 0.7 million and 2.2 million, respectively (0.7 million and 2.8 million for the second quarter of 2024 and 2023, respectively), stock options, restricted shares and restricted share units were anti-dilutive and have been excluded from the computation of diluted loss per share because the Company incurred a net loss</w:t>
      </w:r>
    </w:p>
    <w:p>
      <w:pPr>
        <w:spacing w:after="0" w:line="18" w:lineRule="exact"/>
        <w:rPr>
          <w:rFonts w:ascii="Times New Roman" w:cs="Times New Roman" w:eastAsia="Times New Roman" w:hAnsi="Times New Roman"/>
          <w:sz w:val="18"/>
          <w:szCs w:val="18"/>
          <w:color w:val="auto"/>
        </w:rPr>
      </w:pPr>
    </w:p>
    <w:p>
      <w:pPr>
        <w:jc w:val="both"/>
        <w:ind w:left="480" w:hanging="315"/>
        <w:spacing w:after="0" w:line="259"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and 2023, 0.6 million and 0.3 million, respectively (0.7 million and 0.3 million for the second quarter of 2024 and 2023, respectively), stock options were anti-dilutive and have been excluded from the computation of diluted loss per share because their exercise price was greater than the average market price of our common stock</w:t>
      </w:r>
    </w:p>
    <w:p>
      <w:pPr>
        <w:spacing w:after="0" w:line="18" w:lineRule="exact"/>
        <w:rPr>
          <w:rFonts w:ascii="Times New Roman" w:cs="Times New Roman" w:eastAsia="Times New Roman" w:hAnsi="Times New Roman"/>
          <w:sz w:val="18"/>
          <w:szCs w:val="18"/>
          <w:color w:val="auto"/>
        </w:rPr>
      </w:pPr>
    </w:p>
    <w:p>
      <w:pPr>
        <w:jc w:val="both"/>
        <w:ind w:left="480" w:hanging="315"/>
        <w:spacing w:after="0" w:line="255"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and 2023, 0.9 million and 1.0 million, respectively (1.1 million and 1.0 million for the second quarter of 2024 and 2023,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during the three and six months ended June 30, 2024, Onity was our largest customer, accounting for 44% of our total revenue. Additionally, 7% of our revenue for the six months ended June 30, 2024 (6% of our revenue for the second quarter of 2024) was earned on the loan portfolios serviced by Onity, when a party other than Onity or the MSRs owner selected Altisource as the service provider.</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March 31, 2024, Onity reported that approximately 15% of loans serviced and subserviced by Onity (measured in UPB) and approximately 66% of all delinquent loans that Onity services were related to Rithm MSRs or rights to MSRs.</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$0.3 million and $0.1 million for the six months ended June 30, 2024 and 2023, respectively ($0.1 million and $0.1 million for the second quarter of 2024 and 2023, respectively). The amortization periods of right-of-use assets are generally limited by the expected lease term. Our leases generally have expected lease terms at adoption of one to six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for the six months ended June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8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2"/>
        </w:trPr>
        <w:tc>
          <w:tcPr>
            <w:tcW w:w="8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08"/>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6.44 %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during the period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4"/>
        </w:trPr>
        <w:tc>
          <w:tcPr>
            <w:tcW w:w="6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14"/>
        </w:trPr>
        <w:tc>
          <w:tcPr>
            <w:tcW w:w="6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14"/>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June 30, 2024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4"/>
        </w:trPr>
        <w:tc>
          <w:tcPr>
            <w:tcW w:w="9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5"/>
        </w:trPr>
        <w:tc>
          <w:tcPr>
            <w:tcW w:w="9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0" w:type="dxa"/>
            <w:vAlign w:val="bottom"/>
          </w:tcPr>
          <w:p>
            <w:pPr>
              <w:spacing w:after="0"/>
              <w:rPr>
                <w:sz w:val="1"/>
                <w:szCs w:val="1"/>
                <w:color w:val="auto"/>
              </w:rPr>
            </w:pPr>
          </w:p>
        </w:tc>
      </w:tr>
      <w:tr>
        <w:trPr>
          <w:trHeight w:val="212"/>
        </w:trPr>
        <w:tc>
          <w:tcPr>
            <w:tcW w:w="9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94"/>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These amounts are held in escrow and other accounts for limited periods of time and are not included in the accompanying condensed consolidated balance sheets. Amounts held in escrow and other accounts were $24.8 million and $21.6 million as of June 30, 2024 and December 31, 2023,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includes interest expense and costs related to corporate functions including executive, infrastructure and certain technology groups, finance, law, compliance, human resources, vendor management, facilities, risk management, and eliminations between reportable segments.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39,121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26,404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12,717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10,634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35,235</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29,703</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12,341</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78,590</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53,569</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25,021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23,486</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(17,536)</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5"/>
              </w:rPr>
              <w:t>74,696</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5"/>
              </w:rPr>
              <w:t>60,660</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5"/>
              </w:rPr>
              <w:t>14,036</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5"/>
              </w:rPr>
              <w:t>24,435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8"/>
              </w:rPr>
              <w:t>(10,399)</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left="442"/>
              <w:spacing w:after="0"/>
              <w:rPr>
                <w:sz w:val="20"/>
                <w:szCs w:val="20"/>
                <w:color w:val="auto"/>
              </w:rPr>
            </w:pPr>
            <w:r>
              <w:rPr>
                <w:rFonts w:ascii="Times New Roman" w:cs="Times New Roman" w:eastAsia="Times New Roman" w:hAnsi="Times New Roman"/>
                <w:sz w:val="16"/>
                <w:szCs w:val="16"/>
                <w:color w:val="auto"/>
                <w:w w:val="98"/>
              </w:rPr>
              <w:t>(19,137)</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8"/>
              </w:rPr>
              <w:t>(29,536)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40,596</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146,557</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2023 filed with the Securities and Exchange Commission (“SEC”) on March 7,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2"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w:t>
      </w:r>
    </w:p>
    <w:p>
      <w:pPr>
        <w:spacing w:after="0" w:line="58" w:lineRule="exact"/>
        <w:rPr>
          <w:rFonts w:ascii="Times New Roman" w:cs="Times New Roman" w:eastAsia="Times New Roman" w:hAnsi="Times New Roman"/>
          <w:sz w:val="18"/>
          <w:szCs w:val="18"/>
          <w:color w:val="auto"/>
        </w:rPr>
      </w:pPr>
    </w:p>
    <w:p>
      <w:pPr>
        <w:ind w:left="640" w:right="20" w:hanging="316"/>
        <w:spacing w:after="0" w:line="26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 and affect anticipated expense reductions in response to lower revenue due to the impacts of COVID-19 or other factors;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impacts of the COVID-19 pandemic and the timeliness and effectiveness of actions taken in response thereto;</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2023 as updated by this Form 10-Q including:</w:t>
      </w:r>
    </w:p>
    <w:p>
      <w:pPr>
        <w:spacing w:after="0" w:line="110" w:lineRule="exact"/>
        <w:rPr>
          <w:sz w:val="20"/>
          <w:szCs w:val="20"/>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anticipated increase in default related referrals following the expiration of foreclosure and eviction moratoriums, forbearance programs and temporary governmental or servicer loss mitigation requirements, the timing of the expiration of such moratoriums, programs and requirements, and any other delays occasioned by government, investor or servicer actions;</w:t>
      </w:r>
    </w:p>
    <w:p>
      <w:pPr>
        <w:spacing w:after="0" w:line="18"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Onity Group Inc. (together with its subsidiaries, “Onity”) (formerly Ocwen Financial Corporation, or “Ocwen”) as a customer or our ability to receive the anticipated volume of referrals from Onity;</w:t>
      </w:r>
    </w:p>
    <w:p>
      <w:pPr>
        <w:spacing w:after="0" w:line="1"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Rithm Capital Corp. (individually, together with one or more of its subsidiaries, or one or more of its subsidiaries individually, “Rithm”) as a customer or our ability to receive the anticipated volume of referrals from Rithm;</w:t>
      </w:r>
    </w:p>
    <w:p>
      <w:pPr>
        <w:spacing w:after="0" w:line="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74"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related to pandemics, epidemics or other force majeure events, including the COVID-19 pandemic, and associated impacts and the duration of such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98"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residential and commercial construction inspection and risk mitigation services, and residential real estate renovation services.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online real estate auction platform and real estate auction, real estate brokerage and asset management services.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08" w:lineRule="exact"/>
        <w:rPr>
          <w:sz w:val="20"/>
          <w:szCs w:val="20"/>
          <w:color w:val="auto"/>
        </w:rPr>
      </w:pPr>
    </w:p>
    <w:p>
      <w:pPr>
        <w:jc w:val="both"/>
        <w:ind w:left="640"/>
        <w:spacing w:after="0" w:line="21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(an automated valuation model and analytics solution).</w:t>
      </w:r>
    </w:p>
    <w:p>
      <w:pPr>
        <w:spacing w:after="0" w:line="13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11"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1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pre and post-close quality control and service transfer processes), and ADMS (a document management and data analytics delivery platform).</w:t>
      </w:r>
    </w:p>
    <w:p>
      <w:pPr>
        <w:spacing w:after="0" w:line="13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continuing unsettled nature of the housing and mortgage servicing markets in the wake of governmental mandates taken in connection with the COVID-19 pandemic and other macro-economic trends, we continue to evaluate our strategy and core businesses and seek to position our businesses to provide long term value to our customers and shareholders.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Onity and Rithm. We believe we are one of only a few providers with a broad suite of solutions, nationwide coverage and scalability. Further, we believe we are well positioned to gain market share from existing and new customers if they consolidate to larger, full-service providers or outsource services that have historically been performed in-house.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Actions taken by federal, state and local governments, GSEs and mortgage servicers in connection with the COVID-19 pandemic continue to have a profound impact on our business, our customers, and the industries in which we operate. Despite the expiration of certain such measures, we believe servicers are proceeding slowly with foreclosure initiations for borrowers in default and foreclosure initiations may not convert to foreclosure sales and REO at the same rate or pace as prior to the pandemic due to improved home equity and borrower relief options. The decline in foreclosure initiations and foreclosure sales throughout the pandemic, partially offset by the restart of the default market, significantly decreased default related referrals to Altisource and continue to negatively impact virtually all of Altisource’s default related services revenue.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will grow. We estimate that in today’s environment it typically takes on average two years to convert foreclosure initiations to foreclosure sales and six months to market and sell the REO. The foreclosure timelines could vary significantly based upon, for example, upon the state where the property is located and whether the foreclosure is contested. The REO sale timelines could also vary significantly based upon, for example, the local real estate market, whether the home is located in a redemption state and whether the home is occupied post foreclosure.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and the six months ended June 30, 2024,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and (3) add new Lenders One members, launch new solutions and increase customer adoption of our solutions to accelerate the growth of our origination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June 30, 2024, approximately 3.1 million shares of common stock remain available for repurchase under the program. There were no purchases of shares of common stock during the six months ended June 30, 2024 and 2023. Luxembourg law limits share repurchases to the balance of Altisource Portfolio Solutions S.A. (unconsolidated parent company) retained earnings, less the value of shares repurchased. As of June 30, 2024, we can repurchase up to approximately $115 million of our common stock under Luxembourg law. Under the Amended Credit Agreement, we are not permitted to repurchase shares except for limited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and six months ended June 30, 2024, Onity was our largest customer, accounting for 44% of our total revenue. Additionally, 7% of our revenue for the six months ended June 30, 2024 (6% of our revenue for the second quarter of 2024) was earned on the loan portfolios serviced by Onity, when a party other than Onity or the mortgage servicing rights (“MSRs”) owner selected Altisource as the service provider.</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March 31, 2024, Onity reported that approximately 15% of loans serviced and subserviced by Onity (measured in UPB) and approximately 66% of all delinquent loans that Onity services were related to Rithm MSRs or rights to MSRs.</w:t>
      </w:r>
    </w:p>
    <w:p>
      <w:pPr>
        <w:spacing w:after="0" w:line="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9% lower for the six months ended June 30, 2024 compared to the same period in 2023 (and 37%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14% lower for the six months ended June 30, 2024 compared to the same period in 2023 (and 53%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decreased by 4% for the six months ended June 30, 2024 compared to the same period in 2023</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 in certain California foreclosures during the three months ended June 30, 2023 negatively impacted revenue in the Servicer and Real Estate segment</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Company’s senior secured term loans was 14.18% for the six months ended June 30, 2024 compared to 11.61% for the same period in 2023</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2023, Altisource Portfolio Solutions S.A. and its wholly-owned subsidiary, Altisource S.à r.l., entered into Amendment No. 2 to the Credit Agreement. In connection with Amendment No. 2, the Company paid $3.3 million for the six months ended June 30, 2023, to advisors and recorded these payments as other expense in the condensed consolidated statements of operations and comprehensive loss (no comparative amount for the six months ended June 30, 2024)</w:t>
      </w:r>
    </w:p>
    <w:p>
      <w:pPr>
        <w:spacing w:after="0" w:line="2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$1.4 million and $2.2 million for the six months ended June 30, 2024 and 2023, respectively ($0.7 million and $0.6 million for the second quarter of 2024 and 2023, respectively). The income tax provision for the three and six months ended June 30, 2024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81"/>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01"/>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3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29,025</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58,106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54,679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7,838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15,648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15,565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26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36,863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33,173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73,754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70,244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4,359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39,121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35,235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78,590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74,696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26,404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29,703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53,569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60,660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12,717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14,036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10,634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23,486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24,435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(6,809)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(10,399)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(9,788)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(19,317)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(16,664)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1,950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(9,649)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(17,536)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(7,566)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(29,536)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(18,837)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(17,429)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(31,704)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(8,307)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(18,850)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(17,505)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(31,797)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28,551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19,648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28,551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28,366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19,648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service revenue of $73.8 million for the six months ended June 30, 2024, a 5% increase compared to the six months ended June 30, 2023 ($36.9 million for the second quarter of 2024, an 11% increase compared to the second quarter of 2023). The increase in service revenue for the three and six months ended June 30, 2024 is primarily driven by higher revenue in the Servicer and Real Estate segment from growth in our foreclosure trustee and field services businesses in the Solutions business, partially offset by $0.8 million of first quarter 2023 non-recurring professional services revenue in the Equator business within the Technology and SaaS Products business.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recognized reimbursable expense revenue of $4.8 million for the six months ended June 30, 2024, a 9% increase compared to the six months ended June 30, 2023 ($2.2 million for the second quarter of 2024, an 8% increase compared to the second quarter of 2023). The increase in reimbursable expenses for the six months ended June 30, 2024 was primarily driven by higher-value REO title related expenses in connection the default title business in the Solutions business within the Servicer and Real Estate segment partially offset by a decrease in property preservation services in the Solutions business within the Servicer and Real Estate segment. The increase in reimbursable expenses for the three months ended June 30, 2024 was primarily driven by an increase in property preservation services in the Solutions business within the Servicer and Real Estate segment.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COVID-19 pandemic and related measures and the rapid rise in mortgage interest rates, the seasonal impact to revenue may not follow historical patterns.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3"/>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14,057</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26,404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recognized cost of revenue of $53.6 million for the six months ended June 30, 2024, a 12% decrease compared to the six months ended June 30, 2023 ($26.4 million for the second quarter of 2024, an 11% decrease compared to the second quarter of 2023). Compensation and benefits for the three and six months ended June 30, 2024 decreased primarily due to efficiency initiatives and cost savings measures taken in 2023. Technology and telecommunications for the three and six months ended June 30, 2024 decreased primarily due to lower overall headcount. In addition, changes in reimbursable expenses for the six months ended June 30, 2024 are consistent with the changes in reimbursable expense revenue discussed in the revenue section above.</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Gross profit increased to $25.0 million, representing 34% of service revenue, for the six months ended June 30, 2024 compared to $14.0 million, representing 20% of service revenue, for the six months ended June 30, 2023 (increased to $12.7 million, representing 34% of service revenue, for the second quarter of 2024, compared to $5.5 million, representing 17% of service revenue, for the second quarter of 2023) . Gross profit as a percentage of service revenue for the three and six months ended ended June 30, 2024 increased compared to the three and six months ended ended June 30, 2023 primarily due to margin expansion in both the Servicer and Real Estate segment and the Origination segment from efficiency initiatives and lower corporate costs as a percentage of revenue.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12,341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SG&amp;A expenses for the six months ended June 30, 2024 of $23.5 million decreased by 4% compared to the six months ended June 30, 2023 ($10.6 million for the second quarter of 2024, a 14% decrease compared to the second quarter of 2023). The decrease for the six months ended June 30, 2024 was primarily driven by lower compensation and benefits and occupancy related costs, partially offset by higher professional services. Compensation and benefits and occupancy related costs for the three and six months ended months ended June 30, 2024 decreased from efficiency and cost reductions measures. Professional services for the six months ended June 30, 2024 increased primarily due to accruals for potential settlements of certain legacy indemnity claims and estimated legal matters.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(loss) from operations for the six months ended June 30, 2024 was $1.5 million, representing 2% of service revenue, compared to $(10.4) million, representing (15)% of service revenue, for the six months ended June 30, 2023 (increased to $2.1 million, representing 6% of service revenue, for the second quarter of 2024, compared to $(6.8) million representing (21)% of service revenue for the second quarter of 2023). Income (loss) from operations as a percentage of service revenue improved for the three and six months ended June 30, 2024 compared to the three and six months ended ended June 30, 2023, primarily as a result of higher gross profit margins and lower SG&amp;A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income (expense), net was $(17.5) million for the six months ended June 30, 2024 compared to $(19.1) million for the six months ended June 30, 2023 ($(9.6) million for the second quarter of 2024 and $(11.4) million for the second quarter of 2023). The change for the three and six months ended June 30, 2024 was primarily driven by lower debt amendment costs and a loss on the change in fair value of the warrant liability for the three and six months ended June 30, 2023 (no comparable amount for the three and six months ended June 30, 2024). The lower costs for the six months ended June 30, 2024 was partially offset by higher interest expense driven by higher interest rates on our amended SSTL.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an income tax provision of $1.4 million and $2.2 million for the six months ended June 30, 2024 and 2023, respectively ($0.7 million and $0.6 million for the second quarter of 2024 and 2023, respectively). The income tax provision for the three and six months ended June 30, 2024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29,025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36,863</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2,223</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31,124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39,121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18,716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26,404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12,717</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10,634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(9,649)</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10,012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(7,566)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24,918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8,255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33,173</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26,848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8,387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35,235</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18,038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8,018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29,703</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8,810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12,341</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(6,809)</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(11,389)</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(1,981)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(18,198)</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4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58,106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15,648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73,754</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4,760</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62,626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15,964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78,590</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37,848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12,489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53,569</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3,475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25,021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23,486</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(17,536)</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19,284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(16,001)</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40" w:type="dxa"/>
            <w:vAlign w:val="bottom"/>
          </w:tcPr>
          <w:p>
            <w:pPr>
              <w:spacing w:after="0"/>
              <w:rPr>
                <w:sz w:val="10"/>
                <w:szCs w:val="10"/>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54,679</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15,565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70,244</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4,359</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58,793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15,903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74,696</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37,763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15,472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60,660</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14,036</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4,939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24,435</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16,091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(10,399)</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(19,137)</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16,091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(29,536)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15,142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38,456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2,634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24,918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58,106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26,848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62,626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recognized service revenue of $58.1 million for the six months ended June 30, 2024, a 6% increase compared to the six months ended June 30, 2023 ($29.0 million for the second quarter of 2024, a 16% increase compared to the second quarter of 2023). We also recognized reimbursable expense revenue of $4.5 million for the six months ended June 30, 2024, a 10% increase compared to the six months ended June 30, 2023 ($2.1 million for the second quarter of 2024, a 9% increase compared to the second quarter of 2023) . The increase in service revenue for the three and six months ended June 30, 2024 was driven by growth in our foreclosure trustee and field services businesses in the Solutions business, partially offset by $0.8 million of first quarter 2023 non-recurring professional services revenue in the Equator business within the Technology and SaaS Products business.</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COVID-19 pandemic and related measures and the rapid rise in mortgage interest rates the seasonal impact to revenue may not follow historical patterns.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3"/>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8,092</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18,038</w:t>
            </w:r>
          </w:p>
        </w:tc>
        <w:tc>
          <w:tcPr>
            <w:tcW w:w="122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six months ended June 30, 2024 of $37.8 million increased by less than 1% compared to the six months ended June 30, 2023 ($18.7 million for the second quarter of 2024, a 4% increased compared to the second quarter of 2023). The increase in cost of revenue for the three and six months ended June 30, 2024 is primarily driven by higher outside fees and services primarily in the foreclosure trustee business in the Solutions business and higher reimbursable expenses, partially offset by lower compensation and benefits from efficiency initiatives and cost savings measures.</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Gross profit increased to $24.8 million, representing 43% of service revenue, for the six months ended June 30, 2024 compared to $21.0 million, representing 38% of service revenue, for the six months ended June 30, 2023 (increased to $12.4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representing 43% of service revenue, for the second quarter of 2024, compared to $8.8 million, representing 35% of service revenue, for the second quarter of 2023). Gross profit as a percentage of service revenue for the three and six months ended June 30, 2024 increased primarily due to price increases for certain services and efficiency initiatives and cost savings measures. Our margins can vary substantially depending upon the service revenue mix.</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for the six months ended June 30, 2024 of $5.5 million increased by 11% compared to the six months ended June 30, 2023 ($2.4 million for the second quarter of 2024, a 9% decrease compared to the second quarter of 2023). The increase in SG&amp;A for the six months ended June 30, 2024 is primarily due to higher professional services, partially offset by lower compensation and benefits. The decrease in SG&amp;A for the three months ended June 30, 2024 is primarily due to lower compensation and benefits and other expenses, partially offset by higher professional services. Professional services for the three and six months ended June 30, 2024 increased primarily due to accruals for potential settlements of certain legacy indemnity claims. Compensation and benefits for the three and six months ended June 30, 2024 decreased from efficiency and cost reduction measures. Other expenses for the three months ended June 30, 2024 decreased from lower bad debt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Income from operations increased to $19.3 million, representing 33% of service revenue, for the six months ended June 30, 2024 compared to $16.1 million, representing 29% of service revenue, for the six months ended June 30, 2023 (increased to $10.0 million, representing 34% of service revenue, for the second quarter of 2024, compared to $6.2 million, representing 25% of service revenue for the second quarter of 2023). The increase in operating income as a percentage of service revenue for the six months ended June 30, 2024 is primarily the result of higher gross profit margins, as discussed above, partially offset by higher SG&amp;A expenses. The increase in operating income as a percentage of service revenue for the three months ended June 30, 2024 is primarily the result of higher gross profit margins and lower SG&amp;A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12,743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8,387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recognized service revenue of $15.6 million for the six months ended June 30, 2024, a 1% increase compared to the six months ended June 30, 2023 ($7.8 million for the second quarter of 2024, a 5% decrease compared to the second quarter of 2023). We also recognized reimbursable expense revenue of $0.2 million for the six months ended June 30, 2024, a 2% decrease compared to the six months ended June 30, 2023 ($0.1 million for the second quarter of 2024, a 4% increase compared to the second quarter of 2023). The increase in service revenue in the Origination segment for the six months ended June 30, 2024 is primarily driven by Lenders One growth with our new reseller products, partially offset by the 4% market decrease in mortgage origination volume and the decline in the Solutions business revenue driven by a lower volume of outsourced fulfillment services. The decrease in service revenue in the Origination segment for the three months ended June 30, 2024 is primarily driven by the 13% market decrease in mortgage origination volume, partially offset by sales wins from our newer reseller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23"/>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5,965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8,018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12,489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six months ended June 30, 2024 of $12.5 million decreased by 19% compared to the six months ended June 30, 2023 ($6.4 million for the second quarter of 2024, a 21% decrease compared to the second quarter of 2023). The decrease in cost of revenue for the three and six months ended June 30, 2024 was primarily driven by the prior year alignment of compensation and benefits with lower origination volume and lower outside fees and services from lower revenue.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increased to $3.5 million, representing 22% of service revenue, for the six months ended June 30, 2024 compared to $0.4 million, representing 3% of service revenue, for the six months ended June 30, 2023 (increased to $1.6 million, representing 21% of service revenue, for the second quarter of 2024, compared to $0.4 million, representing 4% of service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 for the second quarter of 2023). Gross profit as a percentage of service revenue for the three and six months ended June 30, 2024 increased from efficiency initiatives and cost savings measures.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2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for the six months ended June 30, 2024 of $3.7 million decreased by 9% compared to the six months ended June 30, 2023 ($1.7 million for the second quarter of 2024, a 26% decrease compared to the second quarter of 2023). The decrease in SG&amp;A for the three and six months ended June 30, 2024 is primarily due to lower professional services from lower legal-related costs and lower compensation and benefits from efficiency and cost reduction measures. The decrease in SG&amp;A for the six months ended June 30, 2024 is partially offset by higher other expenses from the first quarter 2023 reversal of bad debt expense from collection of aged receivables.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Loss from operations decreased to $(0.2) million, representing (1)% of service revenue, for the six months ended June 30, 2024 compared to $(3.6) million, representing (23)% of service revenue, for the six months ended June 30, 2023 (decreased to $(0.1) million, representing (1)% of service revenue for the second quarter of 2024, compared to $(2.0) million, representing (24)% of service revenue for the second quarter of 2023). The improvement in operating loss as a percentage of service revenue for the three and six months ended June 30, 2024 is primarily from lower SG&amp;A expenses and higher gross profit margins.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23"/>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six months ended June 30, 2024 of $3.2 million decreased by 56% compared to the six months ended June 30, 2023 ($1.3 million for the second quarter of 2024, a 63% decrease compared to the second quarter of 2023). The decrease in cost of revenue for the three and six months ended June 30, 2024 is primarily driven by lower compensation and benefits and technology and telecommunications due to efficiency initiatives and cost savings initiatives.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3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653</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14,288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for the six months ended June 30, 2024 of $14.3 million decreased by 7% compared to the six months ended June 30, 2023 ($6.5 million for the second quarter of 2024, a 12% decrease compared to the second quarter of 2023). The decrease for the three and six months ended June 30, 2024 is primarily driven by lower compensation and benefits and occupancy related costs driven by efficiency initiatives and cost savings measures. The decrease for the six months ended June 30, 2024 is partially offset by higher professional services primarily due to higher legal-related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income (expense), net was $(17.5) million for the six months ended June 30, 2024 compared to $(19.1) million for the six months ended June 30, 2023 ($(9.6) million for the second quarter of 2024 and $(11.4) million for the second quarter of 2023). The change for the three and six months ended June 30, 2024 was primarily driven by lower debt amendment costs and a loss on the change in fair value of the warrant liability for the three and six months ended June 30, 2023 (no comparable amount for the three and six months ended June 30, 2024). The lower costs for the six months ended June 30, 2024 was partially offset by higher interest expense driven by higher interest rates on our amended SSTL.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due to governmental and market responses to the COVID-19 pandemic, revenue has declined significantly compared to pre-pandemic levels. The lower revenue, partially offset by efficiency initiatives and cost savings measures, resulted in negative operating cash flow from operations for the six months ended June 30, 2024 and 2023. We believe our anticipated revenue growth from the return of the default market, on-boarding sales wins, and revenue mix together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sales of equity securities or other similar actions that are aligned with our strategy.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maturity date of the Amended Credit Agreement is April 30, 2025. Since Aggregate Paydowns under the Amended Credit Agreement were equal to or greater than $30 million, the maturity date of the SSTL may be extended at the Company’s option to April 30, 2026 (subject to the representations and warranties being true and correct as of such date and there being no default or event of default being in existence as of such date). Such extension is conditioned upon the Company’s payment of a 2% payment-in-kind extension fee on or before April 30, 2025.</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amounts outstanding under the SSTL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from 50% of Consolidated Excess Cash Flow, as calculated in accordance with the provisions of the Amended Credit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SOFR-based term loans bear interest at a rate per annum equal to SOFR plus 5.00% payable in cash plus a payable in kind (“PIK”) component. Base Rate-based term loans bear interest at a rate per annum equal to the Base Rate plus 4.00% payable in cash plus a PIK component. The PIK component of the interest rate was subject to adjustment based on the amount of Aggregate Paydowns. Since Aggregate Paydowns were $20 million in the first quarter of 2023 and an additional $10 million in the third quarter of 2023, the PIK component was 4.50% for the period March 30, 2023 through June 30, 2023 and 3.75% for periods thereafter. The interest rate as of June 30, 2024, including the PIK component, was 14.16%.</w:t>
      </w:r>
    </w:p>
    <w:p>
      <w:pPr>
        <w:spacing w:after="0" w:line="13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Amended Credit Agreement includes covenants that restrict or limit, among other things, our ability, subject to certain exceptions and baskets, to incur additional debt, pay dividends and repurchase shares of our common stock. Under the Amended Credit Agreement, we are not permitted to repurchase shares except for limited circumstances. In the event we require additional liquidity, our ability to obtain it may be limited by the Amended 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outstanding principal balance of the SSTL was $228.4 million.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“Revolver”). STS is an investment fund managed by Deer Park. Deer Park owns approximately 16% of Altisource’s common stock as of June 30, 2024 and owns Altisource debt as a lender under the Amended Credit Agreement. An employee of Deer Park is a member of Altisource’s Board of Directors.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June 30, 2024, there was no outstanding debt under the Amended Revolver, and since amending the Revolver, the Company has not borrowed any amount under the Amended Revolver.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residential real estate renovation services business, on June 3, 2024 Altisource Solutions, Inc., an indirect subsidiary of Altisource Portfolio Solutions S.A, entered into a revolving loan agreement with a related 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 The outstanding balance on the Revolving Loan Agreement is due and payable on such maturity date.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was no outstanding debt under the Revolving Loan Agreement.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six months ended June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w:t>
            </w:r>
          </w:p>
        </w:tc>
        <w:tc>
          <w:tcPr>
            <w:tcW w:w="1540" w:type="dxa"/>
            <w:vAlign w:val="bottom"/>
            <w:gridSpan w:val="2"/>
            <w:shd w:val="clear" w:color="auto" w:fill="CCEEFF"/>
          </w:tcPr>
          <w:p>
            <w:pPr>
              <w:jc w:val="center"/>
              <w:ind w:left="1161"/>
              <w:spacing w:after="0"/>
              <w:rPr>
                <w:sz w:val="20"/>
                <w:szCs w:val="20"/>
                <w:color w:val="auto"/>
              </w:rPr>
            </w:pPr>
            <w:r>
              <w:rPr>
                <w:rFonts w:ascii="Times New Roman" w:cs="Times New Roman" w:eastAsia="Times New Roman" w:hAnsi="Times New Roman"/>
                <w:sz w:val="16"/>
                <w:szCs w:val="16"/>
                <w:color w:val="auto"/>
                <w:w w:val="97"/>
              </w:rPr>
              <w:t>(81)</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1540" w:type="dxa"/>
            <w:vAlign w:val="bottom"/>
            <w:tcBorders>
              <w:bottom w:val="single" w:sz="8" w:color="CCEEFF"/>
            </w:tcBorders>
            <w:gridSpan w:val="2"/>
          </w:tcPr>
          <w:p>
            <w:pPr>
              <w:jc w:val="center"/>
              <w:ind w:left="1181"/>
              <w:spacing w:after="0"/>
              <w:rPr>
                <w:sz w:val="20"/>
                <w:szCs w:val="20"/>
                <w:color w:val="auto"/>
              </w:rPr>
            </w:pPr>
            <w:r>
              <w:rPr>
                <w:rFonts w:ascii="Times New Roman" w:cs="Times New Roman" w:eastAsia="Times New Roman" w:hAnsi="Times New Roman"/>
                <w:sz w:val="16"/>
                <w:szCs w:val="16"/>
                <w:color w:val="auto"/>
                <w:w w:val="99"/>
              </w:rPr>
              <w:t>85</w:t>
            </w:r>
          </w:p>
        </w:tc>
      </w:tr>
      <w:tr>
        <w:trPr>
          <w:trHeight w:val="207"/>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(16,030)</w:t>
            </w:r>
          </w:p>
        </w:tc>
        <w:tc>
          <w:tcPr>
            <w:tcW w:w="1540" w:type="dxa"/>
            <w:vAlign w:val="bottom"/>
            <w:gridSpan w:val="2"/>
            <w:shd w:val="clear" w:color="auto" w:fill="CCEEFF"/>
          </w:tcPr>
          <w:p>
            <w:pPr>
              <w:jc w:val="center"/>
              <w:ind w:left="1161"/>
              <w:spacing w:after="0"/>
              <w:rPr>
                <w:sz w:val="20"/>
                <w:szCs w:val="20"/>
                <w:color w:val="auto"/>
              </w:rPr>
            </w:pPr>
            <w:r>
              <w:rPr>
                <w:rFonts w:ascii="Times New Roman" w:cs="Times New Roman" w:eastAsia="Times New Roman" w:hAnsi="Times New Roman"/>
                <w:sz w:val="16"/>
                <w:szCs w:val="16"/>
                <w:color w:val="auto"/>
                <w:w w:val="97"/>
              </w:rPr>
              <w:t>(82)</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54,273</w:t>
            </w:r>
          </w:p>
        </w:tc>
        <w:tc>
          <w:tcPr>
            <w:tcW w:w="1540" w:type="dxa"/>
            <w:vAlign w:val="bottom"/>
            <w:tcBorders>
              <w:bottom w:val="single" w:sz="8" w:color="CCEEFF"/>
            </w:tcBorders>
            <w:gridSpan w:val="2"/>
          </w:tcPr>
          <w:p>
            <w:pPr>
              <w:jc w:val="center"/>
              <w:ind w:left="1161"/>
              <w:spacing w:after="0"/>
              <w:rPr>
                <w:sz w:val="20"/>
                <w:szCs w:val="20"/>
                <w:color w:val="auto"/>
              </w:rPr>
            </w:pPr>
            <w:r>
              <w:rPr>
                <w:rFonts w:ascii="Times New Roman" w:cs="Times New Roman" w:eastAsia="Times New Roman" w:hAnsi="Times New Roman"/>
                <w:sz w:val="16"/>
                <w:szCs w:val="16"/>
                <w:color w:val="auto"/>
                <w:w w:val="97"/>
              </w:rPr>
              <w:t>(35)</w:t>
            </w:r>
          </w:p>
        </w:tc>
      </w:tr>
      <w:tr>
        <w:trPr>
          <w:trHeight w:val="194"/>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38,243</w:t>
            </w:r>
          </w:p>
        </w:tc>
        <w:tc>
          <w:tcPr>
            <w:tcW w:w="1540" w:type="dxa"/>
            <w:vAlign w:val="bottom"/>
            <w:gridSpan w:val="2"/>
          </w:tcPr>
          <w:p>
            <w:pPr>
              <w:jc w:val="center"/>
              <w:ind w:left="1161"/>
              <w:spacing w:after="0"/>
              <w:rPr>
                <w:sz w:val="20"/>
                <w:szCs w:val="20"/>
                <w:color w:val="auto"/>
              </w:rPr>
            </w:pPr>
            <w:r>
              <w:rPr>
                <w:rFonts w:ascii="Times New Roman" w:cs="Times New Roman" w:eastAsia="Times New Roman" w:hAnsi="Times New Roman"/>
                <w:sz w:val="16"/>
                <w:szCs w:val="16"/>
                <w:color w:val="auto"/>
                <w:w w:val="97"/>
              </w:rPr>
              <w:t>(15)</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six months ended June 30, 2024, net cash used in operating activities was $(2.1) million compared to net cash used in operating activities of $(10.9) million for the six months ended June 30, 2023. The improvement in cash used in operating activities was driven by a $14.6 million improvement in net loss adjusted for non-cash items included in the determination of net loss (PIK interest, stock based compensation, change in the fair value of warrant liability, bad debt expense, depreciation and amortization, deferred income taxes, amortization of debt discount, amortization of debt issuance and amendment costs, loss on disposal of fixed assets and amortization of intangible assets). This was partially offset by a $5.9 million decrease in cash provided by working capital from the $1.1 million net payment of taxes for the six months ended June 30, 2024 compared to the $4.5 million net collection of taxes receivable for the six months ended June 30, 2023 and a $2.0 million return of surety bonds in the six months ended June 30, 2023.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cash used in financing activities were $(0.8) million and $(5.1) million for the six months ended June 30, 2024 and 2023, respectively. During the six months ended June 30, 2024 and 2023, we made payments of $0.6 million and $0.5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six months ended June 30, 2024 and 2023, we distributed $0.1 million and $0.2 million, respectively, to non-controlling interests. During the six months ended June 30, 2023, we received $20.5 million in proceeds from the issuance of common stock, net of issuance costs, and used $20.0 million of the proceeds for repayment of debt. Also during the six months ended June 30, 2023, we paid $4.8 million to lenders or others on behalf of the lenders related to the debt amendment.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the maturity of the SSTL under the Amended Credit Agreement, interest expense under the Amended Credit Agreement (see Liquidity section above), and operating lease payments on certain of our premises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0" w:type="dxa"/>
            <w:vAlign w:val="bottom"/>
          </w:tcPr>
          <w:p>
            <w:pPr>
              <w:spacing w:after="0"/>
              <w:rPr>
                <w:sz w:val="1"/>
                <w:szCs w:val="1"/>
                <w:color w:val="auto"/>
              </w:rPr>
            </w:pPr>
          </w:p>
        </w:tc>
      </w:tr>
      <w:tr>
        <w:trPr>
          <w:trHeight w:val="194"/>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Senior secured term loans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Interest expense payments </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8" w:lineRule="exact"/>
        <w:rPr>
          <w:sz w:val="20"/>
          <w:szCs w:val="20"/>
          <w:color w:val="auto"/>
        </w:rPr>
      </w:pPr>
    </w:p>
    <w:p>
      <w:pPr>
        <w:jc w:val="both"/>
        <w:ind w:left="240" w:hanging="234"/>
        <w:spacing w:after="0" w:line="237" w:lineRule="auto"/>
        <w:tabs>
          <w:tab w:leader="none" w:pos="35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SSTL as of June 30, 2024 is $228.4 million and is due on April 30, 2025. Since Aggregate Paydowns were equal to or greater than $30 million, the maturity date of the SSTL may be extended at the Company’s option to April 30, 2026 (subject to a payment of a 2% payment-in-kind extension fee on or before April 30, 2025 and subject to the representations and warranties being true and correct as of such date and there being no default or event of default being in existence as of such date). The table herein reflects a maturity of April 2025. The increase in outstanding balance is from the PIK component of our interest expense and is assumed to be paid in kind through the April 2025 maturity date.</w:t>
      </w:r>
    </w:p>
    <w:p>
      <w:pPr>
        <w:ind w:left="240" w:hanging="234"/>
        <w:spacing w:after="0" w:line="215"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based on the SOFR interest rate as of June 30, 2024 and the April 30, 2025 maturity date. Based on the April 30, 2025 maturity date, no interest expense has been included beyond April 30, 2025.</w:t>
      </w:r>
    </w:p>
    <w:p>
      <w:pPr>
        <w:spacing w:after="0" w:line="14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anticipate funding future liquidity requirements with a combination of existing cash balances, cash anticipated to be generated by operating activities and, as needed, proceeds from the Amended Revolver. For further information, see Note 10 and Note 21 to the condensed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$24.8 million and $21.6 million as of June 30, 2024 and December 31,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2024, there were no significant changes to our contractual obligations from those identified in our Form 10-K for the fiscal year ended December 31, 2023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2023 filed with the SEC on March 7, 2024. There have been no material changes to our critical accounting policies during the six months ended June 30,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Amended Credit Agreement, the initial interest rate charged on the SSTL is SOFR (as defined in the Amended Credit Agreement), with a minimum floor of 1.00%, plus 5.00% paid in cash plus 5.00% PIK. Based on par paydowns of $30 million during the year ended December 31, 2023, the PIK component was reduced to 3.75%.</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the principal amount outstanding and SOFR as of June 30, 2024, a one percentage point increase in SOFR above the minimum floor would increase our annual interest expense by approximately $2.3 million. There would be a $2.3 million decrease in our annual interest expense if there was a one percentage point decrease in SOFR.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second quarter of 2024, a one percentage point increase or decrease in value of the Indian rupee in relation to the United States dollar would increase or decrease our annual expenses by approximately $0.3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As of June 30, 2024,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2024.</w:t>
      </w:r>
    </w:p>
    <w:p>
      <w:pPr>
        <w:spacing w:after="0" w:line="104"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2023 filed with the SEC on March 7,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June 30, 2024. On May 16, 2023, our shareholders approved the renewal and amendment of the share repurchase program previously approved by the shareholders on May 15, 2018. Under the program, we are authorized to purchase up to 3.1 million shares of our common stock in the open market, subject to certain parameters, for a period of five years from the date of approval. As of June 30, 2024, the maximum number of shares that may be purchased under the repurchase program is 3.1 million shares of the Company’s common stock. In addition to the share repurchase program, during the three months ended June 30, 2024, 26,786 and common shares were withheld from employees to satisfy tax withholding obligations that arose from the vesting of restricted shares.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20, 2024, the Company issued a total of 232,580 Restricted share units (“RSUs”) as equity compensation under the Altisource 2024 Long Term Incentive Plan to the Company’s Chairman and Chief Executive Officer, Chief Financial Officer, and Chief Legal and Compliance Officer as unregistered securities in a private placement exempt from registration pursuant to Rule 4(a)(2) of the Securities Act of 1933, as amended.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6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period ended June 30, 2024 is formatted in Inline XBRL interactive data files: (i) Condensed Consolidated Balance Sheets as of June 30, 2024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8"/>
                <w:szCs w:val="18"/>
                <w:color w:val="auto"/>
                <w:w w:val="99"/>
              </w:rPr>
              <w:t>and December 31, 2023; (ii) Condensed Consolidated Statements of Operations and Comprehensive Loss for the three and 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June 30, 2024 and 2023; (iii) Condensed Consolidated Statements of Equity for the six months ended June 30, 2024 and 2023; (iv) Condensed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Consolidated Statements of Cash Flows for the six months ended June 30, 2024 and 2023; and (v) Notes to Condensed Consolidated Financial</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278"/>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4" w:lineRule="exact"/>
        <w:rPr>
          <w:sz w:val="20"/>
          <w:szCs w:val="20"/>
          <w:color w:val="auto"/>
        </w:rPr>
      </w:pPr>
    </w:p>
    <w:p>
      <w:pPr>
        <w:ind w:left="1120" w:hanging="1096"/>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14605</wp:posOffset>
            </wp:positionV>
            <wp:extent cx="27851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ind w:left="6880"/>
        <w:spacing w:after="0" w:line="236" w:lineRule="auto"/>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7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3"/>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5"/>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1"/>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7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3"/>
        </w:trPr>
        <w:tc>
          <w:tcPr>
            <w:tcW w:w="3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3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7"/>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1"/>
        </w:trPr>
        <w:tc>
          <w:tcPr>
            <w:tcW w:w="3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7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2024</w:t>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June 30, 2024,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06" w:lineRule="exact"/>
        <w:rPr>
          <w:sz w:val="20"/>
          <w:szCs w:val="20"/>
          <w:color w:val="auto"/>
        </w:rPr>
      </w:pPr>
    </w:p>
    <w:p>
      <w:pPr>
        <w:ind w:left="700" w:hanging="37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3"/>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1"/>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2024</w:t>
            </w:r>
          </w:p>
        </w:tc>
        <w:tc>
          <w:tcPr>
            <w:tcW w:w="1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2024</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2024-07-25T06:11:14Z</dcterms:created>
  <dcterms:modified xsi:type="dcterms:W3CDTF">2024-07-25T06:11:14Z</dcterms:modified>
</cp:coreProperties>
</file>