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100965</wp:posOffset>
            </wp:positionV>
            <wp:extent cx="199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09"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June 30, 2021</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154305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182"/>
        </w:trPr>
        <w:tc>
          <w:tcPr>
            <w:tcW w:w="7260" w:type="dxa"/>
            <w:vAlign w:val="bottom"/>
            <w:gridSpan w:val="6"/>
          </w:tcPr>
          <w:p>
            <w:pPr>
              <w:jc w:val="center"/>
              <w:ind w:right="16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624"/>
              <w:spacing w:after="0"/>
              <w:rPr>
                <w:sz w:val="20"/>
                <w:szCs w:val="20"/>
                <w:color w:val="auto"/>
              </w:rPr>
            </w:pPr>
            <w:r>
              <w:rPr>
                <w:rFonts w:ascii="Arial" w:cs="Arial" w:eastAsia="Arial" w:hAnsi="Arial"/>
                <w:sz w:val="14"/>
                <w:szCs w:val="14"/>
                <w:color w:val="auto"/>
                <w:w w:val="96"/>
              </w:rPr>
              <w:t>(I.R.S. Employer Identification No.)</w:t>
            </w:r>
          </w:p>
        </w:tc>
      </w:tr>
      <w:tr>
        <w:trPr>
          <w:trHeight w:val="358"/>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40, avenue Monterey</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03"/>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spacing w:after="0" w:line="69"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03" w:right="339" w:bottom="1440" w:gutter="0" w:footer="0" w:header="0"/>
        </w:sectPr>
      </w:pPr>
    </w:p>
    <w:p>
      <w:pPr>
        <w:spacing w:after="0" w:line="93" w:lineRule="exact"/>
        <w:rPr>
          <w:sz w:val="24"/>
          <w:szCs w:val="24"/>
          <w:color w:val="auto"/>
        </w:rPr>
      </w:pPr>
    </w:p>
    <w:p>
      <w:pPr>
        <w:ind w:left="14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1440" w:space="340"/>
            <w:col w:w="5520" w:space="720"/>
            <w:col w:w="1580" w:space="480"/>
            <w:col w:w="1160"/>
          </w:cols>
          <w:pgMar w:left="320" w:top="1403" w:right="339" w:bottom="1440" w:gutter="0" w:footer="0" w:header="0"/>
          <w:type w:val="continuous"/>
        </w:sect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As of July 23, 2021, there were 15,896,932 outstanding shares of the registrant’s common stock (excluding 9,515,816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Page</w:t>
            </w:r>
          </w:p>
        </w:tc>
      </w:tr>
      <w:tr>
        <w:trPr>
          <w:trHeight w:val="175"/>
        </w:trPr>
        <w:tc>
          <w:tcPr>
            <w:tcW w:w="10120" w:type="dxa"/>
            <w:vAlign w:val="bottom"/>
            <w:gridSpan w:val="22"/>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Financial Statements (Unaudited)</w:t>
              </w:r>
            </w:hyperlink>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09"/>
        </w:trPr>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Loss</w:t>
              </w:r>
            </w:hyperlink>
          </w:p>
        </w:tc>
        <w:tc>
          <w:tcPr>
            <w:tcW w:w="640" w:type="dxa"/>
            <w:vAlign w:val="bottom"/>
            <w:gridSpan w:val="2"/>
          </w:tcPr>
          <w:p>
            <w:pPr>
              <w:jc w:val="center"/>
              <w:ind w:left="37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Equity</w:t>
              </w:r>
            </w:hyperlink>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60" w:type="dxa"/>
            <w:vAlign w:val="bottom"/>
          </w:tcPr>
          <w:p>
            <w:pPr>
              <w:spacing w:after="0"/>
              <w:rPr>
                <w:sz w:val="18"/>
                <w:szCs w:val="18"/>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9160" w:type="dxa"/>
            <w:vAlign w:val="bottom"/>
            <w:gridSpan w:val="18"/>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012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PART II — Other Information</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r>
      <w:tr>
        <w:trPr>
          <w:trHeight w:val="20"/>
        </w:trPr>
        <w:tc>
          <w:tcPr>
            <w:tcW w:w="2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6</w:t>
              </w:r>
            </w:hyperlink>
          </w:p>
        </w:tc>
        <w:tc>
          <w:tcPr>
            <w:tcW w:w="9160" w:type="dxa"/>
            <w:vAlign w:val="bottom"/>
            <w:gridSpan w:val="18"/>
          </w:tcPr>
          <w:p>
            <w:pPr>
              <w:ind w:left="140"/>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120" w:type="dxa"/>
            <w:vAlign w:val="bottom"/>
            <w:gridSpan w:val="5"/>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SIGNATURES</w:t>
              </w:r>
            </w:hyperlink>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100,155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71,545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Convertible debt payable to related parties (Note 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contingencies and regulatory matters (Note 23)</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15,897 outstanding as of</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tcPr>
          <w:p>
            <w:pPr>
              <w:ind w:left="300"/>
              <w:spacing w:after="0"/>
              <w:rPr>
                <w:sz w:val="20"/>
                <w:szCs w:val="20"/>
                <w:color w:val="auto"/>
              </w:rPr>
            </w:pPr>
            <w:r>
              <w:rPr>
                <w:rFonts w:ascii="Arial" w:cs="Arial" w:eastAsia="Arial" w:hAnsi="Arial"/>
                <w:sz w:val="18"/>
                <w:szCs w:val="18"/>
                <w:color w:val="auto"/>
              </w:rPr>
              <w:t>June 30, 2021; 15,664 outstanding as of December 31, 2020)</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141,473</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190,383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Treasury stock, at cost (9,516 shares as of June 30, 2021 and 9,749 shares as of December 31, 2020)</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(441,034)</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Altisource deficit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deficit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r>
      <w:tr>
        <w:trPr>
          <w:trHeight w:val="197"/>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216,786</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177,209</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39,577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52,794</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r>
      <w:tr>
        <w:trPr>
          <w:trHeight w:val="196"/>
        </w:trPr>
        <w:tc>
          <w:tcPr>
            <w:tcW w:w="6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(21,911)</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(12,571)</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(20,960)</w:t>
            </w: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(42,871)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(46,409)</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15,830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15,549</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(34,864)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(40,569)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(46,409)</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1"/>
                <w:szCs w:val="11"/>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Six months ended</w:t>
      </w:r>
    </w:p>
    <w:p>
      <w:pPr>
        <w:ind w:left="95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(46,409)</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7,049</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4,824</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(6,734)</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business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convertible debt payable to related parties (Note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(14,590)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8,463</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 (received),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Net (decrease) increase in payables for purchases of premises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2021, Lenders One had total assets of $1.1 million and total liabilities of $0.9 million. As of December 31, 2020, Lenders One had total assets of $2.3 million and total liabilities of $0.1 million.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On May 27, 2021, Pointillist issued $1.2 million in principal of convertible notes to related parties with a maturity date of January 1, 2023. The notes bear interest at a rate of 7% per annum. The principal and unpaid accrued interest then outstanding under the notes (1) automatically converts to Pointillist equity at the earlier of the time Pointillist receives proceeds of $5.0 million or more from the sale of its equity or January 1, 2023, or (2) are repaid in cash or Pointillist equity (at the Lenders’ option) in the event of a corporate transaction or initial public offering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2020, as filed with the SEC on March 11,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Simplifying the Accounting for Income Taxes</w:t>
      </w:r>
      <w:r>
        <w:rPr>
          <w:rFonts w:ascii="Arial" w:cs="Arial" w:eastAsia="Arial" w:hAnsi="Arial"/>
          <w:sz w:val="18"/>
          <w:szCs w:val="18"/>
          <w:color w:val="auto"/>
        </w:rPr>
        <w:t>. This standard is part of the FASB’s initiative to reduce complexity in accounting standards by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instituting several simplifying provisions and removing several exceptions pertaining to income tax accounting. This standard is effective for annual periods beginning after December 15, 2020, including interim periods within that reporting period. The Company adopted this standard effective January 1, 2021 and has applied it prospectively. Adoption of this new standard did not have any impact on the Company’s condensed consolidated financial statements.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(Topic 470) and Derivatives and Hedging -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Entity’s Own Equity (Topic 815)</w:t>
      </w:r>
      <w:r>
        <w:rPr>
          <w:rFonts w:ascii="Arial" w:cs="Arial" w:eastAsia="Arial" w:hAnsi="Arial"/>
          <w:sz w:val="18"/>
          <w:szCs w:val="18"/>
          <w:color w:val="auto"/>
        </w:rPr>
        <w:t>. This standard simplifies the accounting for certain financial instruments with characteristics of liability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convertible debt instruments. This standard is effective for annual periods beginning after December 15, 2021, including interim periods within that reporting period. Early adoption is permitted for annual periods beginning after December 15, 2020. The Company early adopted this standard effective January 1, 2021 and has applied it prospectively. Adoption of this new standard did not have a material impact on the Company’s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the FASB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This standard applies only to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2021, Ocwen was our largest customer, accounting for 32% of our total revenue for the six months ended June 30, 2021 (31% of our revenue for the second quarter of 2021). Ocwen purchases certain mortgage services from us under the terms of services agreements and amendments thereto (collectively, the “Ocwen Services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Agreements”) with terms extending through August 2030. Certain of the Ocwen Services Agreements contain a “most favored nation” provision and also grant the parties the right to renegotiate pricing, among other things.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six months ended June 30, 2021 and 2020, we recognized revenue from Ocwen of $31.2 million and $131.6 million, respectively ($14.2 million and $57.4 million for the second quarter of 2021 and 2020, respectively). Revenue from Ocwen as a percentage of consolidated revenue was 32% and 61% for the six months ended June 30, 2021 and 2020, respectively (31% and 60% for the second quarter of 2021 and 2020, respectively).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six months ended June 30, 2021 and 2020, we recognized revenue of $5.5 million and $12.8 million, respectively ($2.9 million and $5.0 million for the second quarter of 2021 and 2020, respectively), related to the portfolios serviced by Ocwen when a party other than Ocwen or the MSRs owner selected Altisource as the service provider. These amounts are not included in deriving revenue from Ocwen and revenue from Ocwen as a percentage of revenue discussed above.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$0.3 million and $55.0 million of service revenue from Ocwen for the six months ended June 30, 2021 and 2020, respectively (less than $0.1 million and $25.7 million for the second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 million and $12.7 million of service revenue from Ocwen for the six months ended June 30, 2021 and 2020, respectively ($0.9 million and $4.8 million for the second quarter of 2021 and 2020, respectively), was derived from default valuations and title services referrals from the NRZ portfolios. To address the reduction in revenue, Altisource is undertaking several measures to further reduce its cost structure and strengthen its operations.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Federal Housing Administration (“FHA”) loans and field services on Ocwen’s FHA, Veterans Affairs and United States Department of Agriculture loans (collectively, “Government Loans”), and title services on FHA and Veterans Affairs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During the second quarter of 2021, Ocwen transitioned over 1,900 of its FHA first chance auction inventory to us and increased our percentage of field services referrals on its Government Loans.</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2021, accounts receivable from Ocwen totaled $4.2 million, $3.7 million of which was billed and $0.5 million of which was unbilled. As of December 31, 2020, accounts receivable from Ocwen totaled $5.9 million, $5.1 million of which was billed and $0.8 million of which was unbilled.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March 31, 2021, approximately 36% of loans serviced and subserviced by Ocwen (measured in unpaid principal balance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2021 and 2020, we recognized revenue from NRZ of $1.7 million and $4.6 million, respectively ($0.9 million and $1.9 million for the second quarter of 2021 and 2020, respectively), under the Brokerage Agreement. For the six months ended June 30, 2021 and 2020, we recognized additional revenue of $7.6 million and $19.1 million, respectively ($4.1 million and $7.1 million for the second quarter of 2021 and 2020, respectively), relating to the Subject MSRs when a party other than NRZ selects Altisource as the service provider.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A BUSINESS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on the closing date of August 8, 2018. The second installment of $3.0 million was to be received on the earlier of a RESI change of control or on August 8, 2023. On October 19, 2020, RESI announced that it had entered into a definitive merger agreement to sell RESI. The merger closed on January 11, 2021 and the Company subsequently received the $3.0 million payment. The present value of the second installment is included in other assets in the accompanying condensed consolidated balance sheets at a discounted value of $2.5 million as of December 31, 2020 (no comparative amount as of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June 30, 2021 and December 31, 2020, we held no shares of RESI common stock. During the three and six months ended June 30, 2020, we recognized an unrealized loss from the change in fair value of $(11.2) million and $(12.6) million, respectively (no comparative amount for the three and six months ended June 30, 2021). During the six months ended June 30, 2020, we earned dividends of $0.5 million related to this investment (no comparative amount for the three and six months ended June 30, 2021 and for the second quarter of 2020).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 for expected credit losses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Balance at Beginning of</w:t>
            </w: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9"/>
                <w:szCs w:val="9"/>
                <w:b w:val="1"/>
                <w:bCs w:val="1"/>
                <w:color w:val="auto"/>
              </w:rPr>
              <w:t>(1)</w:t>
            </w:r>
          </w:p>
        </w:tc>
        <w:tc>
          <w:tcPr>
            <w:tcW w:w="40" w:type="dxa"/>
            <w:vAlign w:val="bottom"/>
          </w:tcPr>
          <w:p>
            <w:pPr>
              <w:spacing w:after="0"/>
              <w:rPr>
                <w:sz w:val="10"/>
                <w:szCs w:val="10"/>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Balance at End of Period</w:t>
            </w:r>
          </w:p>
        </w:tc>
        <w:tc>
          <w:tcPr>
            <w:tcW w:w="0" w:type="dxa"/>
            <w:vAlign w:val="bottom"/>
          </w:tcPr>
          <w:p>
            <w:pPr>
              <w:spacing w:after="0"/>
              <w:rPr>
                <w:sz w:val="1"/>
                <w:szCs w:val="1"/>
                <w:color w:val="auto"/>
              </w:rPr>
            </w:pPr>
          </w:p>
        </w:tc>
      </w:tr>
      <w:tr>
        <w:trPr>
          <w:trHeight w:val="188"/>
        </w:trPr>
        <w:tc>
          <w:tcPr>
            <w:tcW w:w="4380" w:type="dxa"/>
            <w:vAlign w:val="bottom"/>
            <w:gridSpan w:val="2"/>
            <w:vMerge w:val="continue"/>
          </w:tcPr>
          <w:p>
            <w:pPr>
              <w:spacing w:after="0"/>
              <w:rPr>
                <w:sz w:val="16"/>
                <w:szCs w:val="16"/>
                <w:color w:val="auto"/>
              </w:rPr>
            </w:pPr>
          </w:p>
        </w:tc>
        <w:tc>
          <w:tcPr>
            <w:tcW w:w="1120" w:type="dxa"/>
            <w:vAlign w:val="bottom"/>
          </w:tcPr>
          <w:p>
            <w:pPr>
              <w:jc w:val="center"/>
              <w:ind w:left="442"/>
              <w:spacing w:after="0"/>
              <w:rPr>
                <w:sz w:val="20"/>
                <w:szCs w:val="20"/>
                <w:color w:val="auto"/>
              </w:rPr>
            </w:pPr>
            <w:r>
              <w:rPr>
                <w:rFonts w:ascii="Arial" w:cs="Arial" w:eastAsia="Arial" w:hAnsi="Arial"/>
                <w:sz w:val="14"/>
                <w:szCs w:val="14"/>
                <w:b w:val="1"/>
                <w:bCs w:val="1"/>
                <w:color w:val="auto"/>
                <w:w w:val="91"/>
              </w:rPr>
              <w:t>Period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Twelve months ended December 31, 2020</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2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120" w:type="dxa"/>
            <w:vAlign w:val="bottom"/>
            <w:gridSpan w:val="5"/>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Amounts written off as uncollectible or transferred to other accounts or utilized.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w w:val="98"/>
              </w:rPr>
              <w:t>NOTE 6 — PREPAID EXPENSES AND OTHER CURRENT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Maintenance agreements, current portion</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5,173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19,074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amounted to $2.3 million and $7.7 million for the six months ended June 30, 2021 and 2020, respectively ($1.2 million and $3.6 million for the second quarter of 2021 and 2020, respectively), and is included in cost of revenue for operating assets and in selling, general and administrative expenses for non-operating assets in the accompanying condensed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Uruguay</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RIGHT-OF-USE ASSETS UNDER OPERATING LEASES, NET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of operating leases was $4.5 million and $5.5 million for the six months ended June 30, 2021 and 2020, respectively ($2.6 million and $2.8 million for the second quarter of 2021 and 2020, respectively), and is included in cost of revenue for operating assets and in selling, general and administrative expenses for non-operating assets in the accompanying condensed consolidated statements of operations and comprehensive loss.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4"/>
                <w:szCs w:val="14"/>
                <w:b w:val="1"/>
                <w:bCs w:val="1"/>
                <w:color w:val="auto"/>
              </w:rPr>
              <w:t>Total</w:t>
            </w:r>
          </w:p>
        </w:tc>
      </w:tr>
      <w:tr>
        <w:trPr>
          <w:trHeight w:val="199"/>
        </w:trPr>
        <w:tc>
          <w:tcPr>
            <w:tcW w:w="9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55"/>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2021 and December 31, 2020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Gross carrying amount</w:t>
            </w:r>
          </w:p>
        </w:tc>
        <w:tc>
          <w:tcPr>
            <w:tcW w:w="220" w:type="dxa"/>
            <w:vAlign w:val="bottom"/>
          </w:tcPr>
          <w:p>
            <w:pPr>
              <w:spacing w:after="0"/>
              <w:rPr>
                <w:sz w:val="14"/>
                <w:szCs w:val="14"/>
                <w:color w:val="auto"/>
              </w:rPr>
            </w:pPr>
          </w:p>
        </w:tc>
        <w:tc>
          <w:tcPr>
            <w:tcW w:w="2340" w:type="dxa"/>
            <w:vAlign w:val="bottom"/>
            <w:gridSpan w:val="5"/>
          </w:tcPr>
          <w:p>
            <w:pPr>
              <w:ind w:left="18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4"/>
                <w:szCs w:val="14"/>
                <w:color w:val="auto"/>
              </w:rPr>
            </w:pPr>
          </w:p>
        </w:tc>
        <w:tc>
          <w:tcPr>
            <w:tcW w:w="222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estimated</w:t>
            </w: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
                <w:szCs w:val="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
                <w:szCs w:val="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
                <w:szCs w:val="2"/>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35"/>
        </w:trPr>
        <w:tc>
          <w:tcPr>
            <w:tcW w:w="2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useful life</w:t>
            </w: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Pr>
          <w:p>
            <w:pPr>
              <w:spacing w:after="0"/>
              <w:rPr>
                <w:sz w:val="16"/>
                <w:szCs w:val="16"/>
                <w:color w:val="auto"/>
              </w:rPr>
            </w:pPr>
          </w:p>
        </w:tc>
        <w:tc>
          <w:tcPr>
            <w:tcW w:w="9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80"/>
              <w:spacing w:after="0" w:line="176"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(192,352)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(187,923)</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29"/>
        </w:trPr>
        <w:tc>
          <w:tcPr>
            <w:tcW w:w="260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 lived intangible assets was $5.5 million and $7.0 million for the six months ended June 30, 2021 and 2020, respectively ($2.9 million and $2.8 million for the second quarter of 2021 and 2020,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2021 through 2025 is $9.5 million, $5.1 million, $5.1 million, $5.1 million and $5.1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11 — ACCOUNTS PAYABLE, ACCRUED EXPENSES AND 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1"/>
                <w:szCs w:val="21"/>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2"/>
                <w:szCs w:val="22"/>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Less: Debt issuance costs,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mandatory repayments of the Term B Loans due until April 2024, when the balance is due at maturity, except as otherwise described herein.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June 30, 2021. The Company did not generate any Consolidated Excess Cash Flow in the second quarter of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June 30, 2021. The lenders have no obligation to provide any incremental indebtedness.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June 30, 2021 was 5.00%.</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equal to the sum of (i) the Base Rate plus (ii) 3.00%. The unused commitment fee is 0.50%. Borrowings under the revolving credit facility are not permitted if our leverage ratio exceeds 3.50 to 1.00. Our leverage ratio exceeded 3.50 to 1.00 for the twelve months ended June 30, 2021. There were no borrowings outstanding under the revolving credit facility as of June 30,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debt issuance costs were $2.0 million, net of $2.5 million of accumulated amortization. As of December 31, 2020, debt issuance costs were $2.4 million, net of $2.2 million of accumulated amortization.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LP owns approximately 24% of Altisource’s common stock as of June 30,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 million through June 22, 2022, $15 million through June 22, 2023, and $10 million until the end of the term. Amounts that are repaid may be re-borrowed in accordance with the limitations set forth below.</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Outstanding amounts borrowed pursuant to the Credit Facility will amortize over the three-year term as follows: on June 22, 2022, the difference between the then outstanding balance above $15 million and $15 million, on June 22, 2023, the difference between the then outstanding balance above $10 million and $10 million, and on June 22, 2024, the then outstanding balance of the loan will be due and payable by Altisource.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were no borrowing outstanding under the Credit Facility. On July 6, 2021, the Company borrowed $6 million under the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June 30, 2021 and December 31, 2020. The following fair values are estimated using market information and what the Company believes to be appropriate valuation methodologies under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2021</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Fair value</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receivable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207,652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the rental property management business in August 2018, Altisource was to receive $3.0 million on the earlier of a RESI change of control or on August 8, 2023. On October 19, 2020, RESI announced that it had entered into a definitive merger agreement to sell RESI. The merger closed on January 11, 2021 and the Company subsequently received the $3.0 million payment (See Note 3 for additional information). We measure long-term receivables without a stated interest rate based on the present value of the future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31% and 32% of its revenue from Ocwen for the three and six months ended June 30, 2021, respectively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15 — SHAREHOLDERS’ EQUITY AND SHARE-BASED COMPENSATION Share Repurchase Program</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2021, approximately 2.4 million shares of common stock remain available for repurchase under the program. There were no purchases of shares of common stock during the six months ended June 30, 2021 and 2020. Luxembourg law limits share repurchases to the balance of Altisource Portfolio Solutions S.A. (unconsolidated parent company) retained earnings, less the value of shares repurchased. As of June 30, 2021, we can repurchase up to approximately $82 million of our common stock under Luxembourg law. Our Credit Agreement also limits the amount we can spend on share repurchases, which limit was approximately $395 million as of June 30, 2021, and may prevent repurchases in certain circumstances, including if our leverage ratio exceeds 3.50 to 1.00. Our leverage ratio exceeded 3.50 to 1.00 for the twelve months ended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$2.1 million and $4.8 million for the six months ended June 30, 2021 and 2020, respectively ($0.6 million and $1.9 million for the second quarter of 2021 and 2020, respectively). As of June 30, 2021, estimated unrecognized compensation costs related to share-based awards amounted to $4.2 million, which we expect to recognize over a weighted average remaining requisite service period of approximately 1.36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223 thousand service-based options were outstanding as of June 30, 2021.</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187 thousand market-based options were outstanding as of June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427 thousand performance-based options outstanding as of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six months ended June 30, 2021 and 2020.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00"/>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14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899,914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Forfeited/expired</w:t>
            </w:r>
          </w:p>
        </w:tc>
        <w:tc>
          <w:tcPr>
            <w:tcW w:w="14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2"/>
              </w:rPr>
              <w:t>(63,324)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June 30, 2021</w:t>
            </w:r>
          </w:p>
        </w:tc>
        <w:tc>
          <w:tcPr>
            <w:tcW w:w="1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836,590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June 30, 2021</w:t>
            </w:r>
          </w:p>
        </w:tc>
        <w:tc>
          <w:tcPr>
            <w:tcW w:w="1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594,901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restricted share units. The restricted shares and restricted share units are composed of a combination of service-based awards, performance-based awards and market-based awards.</w:t>
      </w:r>
    </w:p>
    <w:p>
      <w:pPr>
        <w:spacing w:after="0" w:line="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shares and restricted share units at the end of the vesting period. A total of 278 thousand service-based awards were outstanding as of June 30, 2021. Beginning in 2019, the Company granted service-based restricted share units as a component of most employees’ annual incentive compensation rather than cash.</w:t>
      </w:r>
    </w:p>
    <w:p>
      <w:pPr>
        <w:spacing w:after="0" w:line="13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189 thousand performance-based awards were outstanding as of June 30, 2021.</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Market-Based Awards. </w:t>
      </w:r>
      <w:r>
        <w:rPr>
          <w:rFonts w:ascii="Arial" w:cs="Arial" w:eastAsia="Arial" w:hAnsi="Arial"/>
          <w:sz w:val="18"/>
          <w:szCs w:val="18"/>
          <w:color w:val="auto"/>
        </w:rPr>
        <w:t>50% of these awards generally vest if certain specific market conditions are achieved over a 30-day period and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50% of these awards generally vest on the one year anniversary of the initial vesting.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Company estimates the grant date fair value of these awards using a lattice (binomial) model. A total of 112 thousand market-based awards were outstanding as of June 30, 2021.</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77 thousand performance-based and market-based awards were outstanding as of June 30, 2021.</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granted 338 thousand restricted share units (at a weighted average grant date fair value of $9.53 per share) during the six months ended June 30, 2021. These grants include 29 thousand performance-based awards that include both a performance condition and a market condition. The Company granted 37 thousand performance-based awards that include both a performance condition and a market condition for the six months ended June 30, 2020. There were no market-based awards granted for the six months ended June 30,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878,521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338,445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(232,900)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(328,358)</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June 30, 2021</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655,708</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REVENUE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Service revenue consists of amounts attributable to our fee-based services. Reimbursable expenses and non-controlling interest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62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9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199"/>
        </w:trPr>
        <w:tc>
          <w:tcPr>
            <w:tcW w:w="6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204,184</w:t>
            </w: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11,685</w:t>
            </w:r>
          </w:p>
        </w:tc>
      </w:tr>
      <w:tr>
        <w:trPr>
          <w:trHeight w:val="22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196"/>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4"/>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216,786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major source is as follows:</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Revenue recognized</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Revenue related to</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60" w:type="dxa"/>
            <w:vAlign w:val="bottom"/>
            <w:gridSpan w:val="3"/>
          </w:tcPr>
          <w:p>
            <w:pPr>
              <w:jc w:val="right"/>
              <w:ind w:right="180"/>
              <w:spacing w:after="0" w:line="135" w:lineRule="exact"/>
              <w:rPr>
                <w:sz w:val="20"/>
                <w:szCs w:val="20"/>
                <w:color w:val="auto"/>
              </w:rPr>
            </w:pPr>
            <w:r>
              <w:rPr>
                <w:rFonts w:ascii="Arial" w:cs="Arial" w:eastAsia="Arial" w:hAnsi="Arial"/>
                <w:sz w:val="14"/>
                <w:szCs w:val="14"/>
                <w:b w:val="1"/>
                <w:bCs w:val="1"/>
                <w:color w:val="auto"/>
                <w:w w:val="95"/>
              </w:rPr>
              <w:t>technology platforms</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performed or assets</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and professional</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88"/>
        </w:trPr>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46,041</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Three months ended June 30, 2020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Six months ended June 30, 2021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96,506</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216,786</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5). Our contract liabilities consist of current deferred revenue and other non-current liabilities as reported on the accompanying condensed consolidated balance sheets. Revenue recognized that was included in the contract liability at the beginning of the period was $3.8 million and $3.8 million for the six months ended June 30, 2021 and 2020, respectively ($1.6 million and $1.3 million for the second quarter of 2021 and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50,829</w:t>
            </w: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89,901</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w:t>
            </w: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11,685</w:t>
            </w: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w:t>
            </w: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177,209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19 — OTHER INCOME (EXPENSE),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4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an income tax provision of $1.4 million and $3.5 million for the six months ended June 30, 2021 and 2020, respectively ($0.6 million and $1.1 million for the second quarter of 2021 and 2020, respectively). The income tax provision for the three and six months ended June 30, 2021 was driven by income tax on transfer pricing income from India, no tax benefit on the pretax loss from our Luxembourg operating company and Pointillist, uncertain tax positions and tax on unrepatriated earnings in India.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LOSS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199"/>
        </w:trPr>
        <w:tc>
          <w:tcPr>
            <w:tcW w:w="6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8"/>
        </w:trPr>
        <w:tc>
          <w:tcPr>
            <w:tcW w:w="62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15,549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and 2020, 1.6 million and 1.8 million, respectively (1.5 million and 1.5 million for the second quarter of 2021 and 2020, respectively), stock options, restricted shares and restricted share units, were excluded from the computation of loss per share, as a result of the following:</w:t>
      </w:r>
    </w:p>
    <w:p>
      <w:pPr>
        <w:spacing w:after="0" w:line="130" w:lineRule="exact"/>
        <w:rPr>
          <w:sz w:val="20"/>
          <w:szCs w:val="20"/>
          <w:color w:val="auto"/>
        </w:rPr>
      </w:pPr>
    </w:p>
    <w:p>
      <w:pPr>
        <w:jc w:val="both"/>
        <w:ind w:left="500" w:hanging="330"/>
        <w:spacing w:after="0" w:line="25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both the six months ended June 30, 2021 and 2020, 0.3 million and 0.2 million, respectively (0.3 million and 0.1 million for the second quarter of 2021 and 2020, respectively) stock options, restricted shares and restricted share units were anti-dilutive and have been excluded from the computation of diluted loss per share because the Company incurred a net loss</w:t>
      </w:r>
    </w:p>
    <w:p>
      <w:pPr>
        <w:spacing w:after="0" w:line="2" w:lineRule="exact"/>
        <w:rPr>
          <w:rFonts w:ascii="Arial" w:cs="Arial" w:eastAsia="Arial" w:hAnsi="Arial"/>
          <w:sz w:val="18"/>
          <w:szCs w:val="18"/>
          <w:color w:val="auto"/>
        </w:rPr>
      </w:pPr>
    </w:p>
    <w:p>
      <w:pPr>
        <w:jc w:val="both"/>
        <w:ind w:left="500" w:hanging="330"/>
        <w:spacing w:after="0" w:line="250"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months ended June 30, 2021 and 2020, 0.2 million and 0.6 million, respectively (0.2 million and 0.3 million for the second quarter of 2021 and 2020,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500" w:hanging="330"/>
        <w:spacing w:after="0" w:line="273" w:lineRule="auto"/>
        <w:tabs>
          <w:tab w:leader="none" w:pos="49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six months ended June 30, 2021 and 2020, 1.1 million and 1.0 million, respectively (1.0 million and 1.1 million for the second quarter of 2021 and 2020,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RESTRUCTURING CHARGES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three and six months ended June 30, 2020, Altisource incurred $5.8 million and $8.7 million, respectively, of severance costs, professional services fees, facility consolidation costs, technology costs and business wind down costs related to the plan (no comparative amount for the three and six months ended June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 the Company completed the analysis of its services for potential exposure to sales tax in various jurisdictions in the United States. Future changes in our estimated sales tax exposure could result in a material adjustment to our condensed consolidated financial statements, which would impact our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six months ended June 30, 2021, Ocwen was our largest customer, accounting for 32% of our total revenue (31% of our revenue for the second quarter of 2021). Additionally, 6% of our revenue for the six months ended June 30, 2021 (6% of our revenue for the second quarter of 2021) was earned on the loan portfolios serviced by Ocwen, when a party other than Ocwen or the MSRs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March 31, 2021, approximately 36%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$0.3 million and $55.0 million of service revenue from Ocwen for the six months ended June 30, 2021 and 2020, respectively (less than $0.1 million and $25.7 million for the second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service providers in the fourth quarter of 2020. We anticipate that the transition of such default valuations and title services will continue during the course of 2021. We estimate that $1.8 million and $12.7 million of service revenue from Ocwen for the six months ended June 30, 2021 and 2020, respectively ($0.9 million and $4.8 million for the second quarter of 2021 and 2020, respectively), was derived from default valuations and title services referrals from the NRZ portfolios. To address the reduction in revenue, Altisource is undertaking several measures to further reduce its cost structure and strengthen its operations.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FHA loans and field services on Ocwen’s Government Loans, and title services on FHA and Veterans Affairs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During the second quarter of 2021, Ocwen transitioned over 1,900 of its FHA first chance auction inventory to us and increased our percentage of field services referrals on its Government Loans.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$0.4 million and $0.7 million for the six months ended June 30, 2021 and 2020, respectively ($0.1 million and $0.4 million for the second quarter of 2021 and 2020, respectively). The amortization periods of right-of-use assets are generally limited by the expected lease term. Our leases generally have expected lease terms at adoption of one to six years. As of June 30, 2021, we entered into a five year lease for additional office space which has not yet commenced.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for the six months ended June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2.72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2"/>
              </w:rPr>
              <w:t>6.43 %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6.99 %</w:t>
            </w:r>
          </w:p>
        </w:tc>
        <w:tc>
          <w:tcPr>
            <w:tcW w:w="0" w:type="dxa"/>
            <w:vAlign w:val="bottom"/>
          </w:tcPr>
          <w:p>
            <w:pPr>
              <w:spacing w:after="0"/>
              <w:rPr>
                <w:sz w:val="1"/>
                <w:szCs w:val="1"/>
                <w:color w:val="auto"/>
              </w:rPr>
            </w:pPr>
          </w:p>
        </w:tc>
      </w:tr>
      <w:tr>
        <w:trPr>
          <w:trHeight w:val="472"/>
        </w:trPr>
        <w:tc>
          <w:tcPr>
            <w:tcW w:w="624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is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80" w:type="dxa"/>
            <w:vAlign w:val="bottom"/>
            <w:gridSpan w:val="8"/>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jc w:val="right"/>
              <w:ind w:right="89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ind w:left="520"/>
              <w:spacing w:after="0"/>
              <w:rPr>
                <w:sz w:val="20"/>
                <w:szCs w:val="20"/>
                <w:color w:val="auto"/>
              </w:rPr>
            </w:pPr>
            <w:r>
              <w:rPr>
                <w:rFonts w:ascii="Arial" w:cs="Arial" w:eastAsia="Arial" w:hAnsi="Arial"/>
                <w:sz w:val="18"/>
                <w:szCs w:val="18"/>
                <w:color w:val="auto"/>
                <w:w w:val="97"/>
              </w:rPr>
              <w:t>3,210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7"/>
              </w:rPr>
              <w:t>1,498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Cash used in operating activities for amounts included in the measurement of lease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vMerge w:val="restart"/>
            <w:shd w:val="clear" w:color="auto" w:fill="CCEEFF"/>
          </w:tcPr>
          <w:p>
            <w:pPr>
              <w:ind w:left="520"/>
              <w:spacing w:after="0"/>
              <w:rPr>
                <w:sz w:val="20"/>
                <w:szCs w:val="20"/>
                <w:color w:val="auto"/>
              </w:rPr>
            </w:pPr>
            <w:r>
              <w:rPr>
                <w:rFonts w:ascii="Arial" w:cs="Arial" w:eastAsia="Arial" w:hAnsi="Arial"/>
                <w:sz w:val="18"/>
                <w:szCs w:val="18"/>
                <w:color w:val="auto"/>
                <w:w w:val="97"/>
              </w:rPr>
              <w:t>5,453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5"/>
          </w:tcPr>
          <w:p>
            <w:pPr>
              <w:ind w:left="580"/>
              <w:spacing w:after="0"/>
              <w:rPr>
                <w:sz w:val="20"/>
                <w:szCs w:val="20"/>
                <w:color w:val="auto"/>
              </w:rPr>
            </w:pPr>
            <w:r>
              <w:rPr>
                <w:rFonts w:ascii="Arial" w:cs="Arial" w:eastAsia="Arial" w:hAnsi="Arial"/>
                <w:sz w:val="18"/>
                <w:szCs w:val="18"/>
                <w:color w:val="auto"/>
                <w:w w:val="95"/>
              </w:rPr>
              <w:t>(459)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458"/>
        </w:trPr>
        <w:tc>
          <w:tcPr>
            <w:tcW w:w="624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June 30, 2021 are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6"/>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6"/>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$15.6 million and $20.0 million as of June 30, 2021 and December 31,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2020 filed with the Securities and Exchange Commission (“SEC”) on March 11,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as a result of Project Catalyst and otherwise in response to lower revenues due to COVID-19, or other factors;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2020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forbearance programs and temporary governmental loss mitigation requirements, the timing of the expiration of such moratoriums and programs, and any other delays occasioned by government, investor or servicer actions;</w:t>
      </w:r>
    </w:p>
    <w:p>
      <w:pPr>
        <w:spacing w:after="0" w:line="2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launch and gain market acceptance of new solutions or recoup our investments in developing such new solutions;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provide loan servicers and originators with marketplaces, services and technologies that span the residential mortgage lifecycle. We provide buyers, sellers, servicers and investors with the technology enabled marketplaces and other solutions that span the residential real estate lifecycle.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right="1860" w:firstLine="332"/>
        <w:spacing w:after="0" w:line="313"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Property preservation and inspection services and vendor management oversight software-as-a-service (“SaaS”) platform </w:t>
      </w:r>
      <w:r>
        <w:rPr>
          <w:rFonts w:ascii="Arial" w:cs="Arial" w:eastAsia="Arial" w:hAnsi="Arial"/>
          <w:sz w:val="18"/>
          <w:szCs w:val="18"/>
          <w:u w:val="single" w:color="auto"/>
          <w:color w:val="auto"/>
        </w:rPr>
        <w:t>Marketplace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1" w:lineRule="exact"/>
        <w:rPr>
          <w:rFonts w:ascii="Arial" w:cs="Arial" w:eastAsia="Arial" w:hAnsi="Arial"/>
          <w:sz w:val="18"/>
          <w:szCs w:val="18"/>
          <w:color w:val="auto"/>
        </w:rPr>
      </w:pPr>
    </w:p>
    <w:p>
      <w:pPr>
        <w:ind w:right="960" w:firstLine="332"/>
        <w:spacing w:after="0" w:line="254"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w:t>
      </w:r>
      <w:r>
        <w:rPr>
          <w:rFonts w:ascii="Arial" w:cs="Arial" w:eastAsia="Arial" w:hAnsi="Arial"/>
          <w:sz w:val="18"/>
          <w:szCs w:val="18"/>
          <w:u w:val="single" w:color="auto"/>
          <w:color w:val="auto"/>
        </w:rPr>
        <w:t>Mortgage and Real Estate Solutions</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insurance (as an agent) and settlement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5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out businesses to provide long term value to our shareholders.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our offerings that support residential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remain elevated following the expiration of the foreclosure moratoriums and forbearance plans, or customers and prospects consolidate to larger, full-service providers or outsource services that have historically been performed in-house.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provide services to mortgage loan originators (or other similar mortgage market participants) in originating, buying and selling residential mortgages.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independent mortgage bankers, credit unions, and mid-size and larger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consolidate to larger, full-service providers or outsource services that have historically been performed in-house. With our Origination business’s unique distribution engine, mission critical solutions and strong growth prospects, we believe this business will be a significant catalyst to create value for shareholders. Notably, there are several companies that we believe have similar business models which recently executed capital market transactions at attractive valuations. Given the attractive market comparables and the progress we are making with the Origination business, we are evaluating ways to enhance shareholder value. These options may include a potential divestiture, joint venture, third party investment in or other strategic transaction, as well as retaining and further investing in this business. There can be no assurance that this exploration will result in any transaction by us. We do not intend to provide updates regarding these matters unless and until we determine that further disclosure is appropriate or required.</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On May 27, 2021, Pointillist issued $1.2 million in principal of convertible notes to related parties with a maturity date of January 1, 2023. The notes bear interest at a rate of 7% per annum. The principal and unpaid accrued interest then outstanding under the notes (1) automatically converts to Pointillist equity at the earlier of the time Pointillist receives proceeds of $5.0 million or more from the sale of its equity or January 1, 2023, or (2) are repaid in cash or Pointillist equity (at the Lenders’ option) in the event of a corporate transaction or initial public offering of Pointillist. Altisource has no ongoing obligation to provide future funding to Pointillist.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2021, we entered into a revolving credit facility with STS Master Fund, Ltd. (“STS”), an investment fund managed by Deer Park Road Management Company, LP (the “Credit Facility”).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Facility provides us with the ability to borrow up to $20 million through June 22, 2022, up to $15 million through June 22, 2023, and up to $10 million until the end of the term. We may voluntarily prepay all or any portion of the outstanding loans at any time. Amounts available under the Credit Facility are for general corporate purposes. As of June 30, 2021, there were no borrowing outstanding under the Credit Facility. On July 6, 2021, the Company borrowed $6 million under the Credit Facility. The Credit Facility was filed in a Form 8-K filed on June 21,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response to the COVID-19 pandemic, various governmental entities and servicers implemented unprecedented foreclosure and eviction moratoriums and forbearance programs to help mitigate the impact to borrowers and renters. As a result of these measures and other related actions, foreclosure initiations were 81% lower for January through May 2021 compared to the same period in 2020 (with such foreclosure initiations representing 1% of seriously delinquent loans as of the beginning of the year compared to 27% in the same period in 2020). The decline in foreclosure initiations resulted in significantly lower REO referrals and negatively impacted virtually all of the default related services performed on delinquent loans, loans in foreclosure and REO.</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same time, beginning in the first half of 2020 the Federal Reserve lowered the target for the federal funds rate to 0% to 0.25% and bought billions of dollars of mortgage backed securities on the secondary market to reduce interest rates. As a result of the lower interest rate environment, second quarter 2021 mortgage originations were 13% higher than second quarter 2020 (according to the Mortgage Bankers Association) driving higher demand for origination related services. For the full year, the Mortgage Bankers Association forecasts that origination volume will decline by 7% compared to 2020.</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cannot predict the duration of the pandemic and future governmental measures. However, we recently gained additional clarity on the timing of the recovery of the default market. The Federal government extended its foreclosure and eviction moratoriums by one month through July 2021 and indicated this will be the last extension. The CFPB also finalized its rules on temporary loss mitigation measures, which essentially prohibits foreclosure initiations until January 1, 2022 other than a few exceptions, including for those loans that were 120 days or more delinquent prior to the pandemic. Based on this clarity, we believe the Default business will grow in 2022 and stabilize during 2023 when we anticipate foreclosures commenced after the expiration of the foreclosure moratoriums, forbearance plans and temporary loss mitigation rules become REO and are sold. We further anticipate that our originations business will continue to grow from new customer wins, and cross selling existing and new offerings to customers.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address the lower anticipated revenue, Altisource is working to (1) reduce our cost structure, (2) maintain the infrastructure to deliver default related services for our customer base and support the anticipated increase in demand following the expiration of the moratoriums and forbearance plans, and (3) accelerate the growth of our originations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2021, approximately 2.4 million shares of common stock remain available for repurchase under the program. There were no purchases of shares of common stock during the six months ended June 30, 2021 and 2020. Luxembourg law limits share repurchases to the balance of Altisource Portfolio Solutions S.A. (unconsolidated parent company) retained earnings, less the value of shares repurchased. As of June 30, 2021, we can repurchase up to approximately $82 million of our common stock under Luxembourg law. Our Credit Agreement also limits the amount we can spend on share repurchases, which limit was approximately $395 million as of June 30, 2021, and may prevent repurchases in certain circumstances, including if our leverage ratio exceeds 3.50 to 1.00. Our leverage ratio exceeded 3.50 to 1.00 for the twelve months ended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2021, Ocwen was our largest customer, accounting for 32% of our total revenue for the six months ended June 30, 2021 (31% of our revenue for the second quarter of 2021). Additionally, 6% of our revenue for the six months ended June 30, 2021 (6% of our revenue for the second quarter of 2021) was earned on the loan portfolios serviced by Ocwen, when a party other than Ocwen or the MSRs owner selected Altisource as the service provider.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Ocwen has disclosed that NRZ is its largest client. As of March 31, 2021, approximately 36% of loans serviced and subserviced by Ocwen (measured in unpaid principal balance)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$0.3 million and $55.0 million of service revenue from Ocwen for the six months ended June 30, 2021 and 2020, respectively (less than $0.1 million and $25.7 million for the second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 million and $12.7 million of service revenue from Ocwen for the six months ended June 30, 2021 and 2020, respectively ($0.9 million and $4.8 million for the second quarter of 2021 and 2020, respectively), was derived from default valuations and title services referrals from the NRZ portfolios. To address the reduction in revenue, Altisource is undertaking several measures to further reduce its cost structure and strengthen its operations.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Federal Housing Administration (“FHA”) loans and field services on Ocwen’s FHA, Veterans Affairs and United States Department of Agriculture loans (collectively, “Government Loans”), and title services on FHA and Veterans Affairs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During the second quarter of 2021, Ocwen transitioned over 1,900 of its FHA first chance auction inventory to us and increased our percentage of field services referrals on its Government Loans.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financial performance in its default businesses was negatively impacted by the COVID-19 pandemic for the three and six months ended June 30, 2021. Governmental, and in some instances, servicer measures to provide support to borrowers, including foreclosure and eviction moratoriums and forbearance programs, reduced referral volumes and inflows of REO. COVID-19 pandemic related governmental restrictions and changing vendor and consumer behavior also impacted financial performance. These impacts were partially offset by stronger performance from the Company’s origination businesses that benefited from lower interest rates, customer wins and new offerings for the three and six months ended June 30, 2021 compared to the three and six months ended June 30, 2020. Across the Company’s three core businesses, service revenue from customers other than Ocwen, NRZ and RESI for the three and six months ended June 30, 2021 grew by less than 1% and 6%, respectively, compared to the three and six months ended June 30, 2020. Compared to the six months ended June 30, 2020, the increase is primarily from 39% growth in our origination businesses partially offset by a 68% decline in our default business. Service revenue from our default and other business was $58.9 million and $179.0 million for the six months ended June 30, 2021 and 2020, respectively ($28.3 million and $77.7 million for the second quarter of 2021 and 2020, respectively), and service revenue from our origination business was $31.3 million and $22.6 million for the six months ended June 30, 2021 and 2020, respectively ($14.5 million and $12.5 million for the second quarter of 2021 and 2020, respectively).</w:t>
      </w:r>
    </w:p>
    <w:p>
      <w:pPr>
        <w:spacing w:after="0" w:line="5"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$0.3 million and $55.0 million of service revenue from Ocwen for the six months ended June 30, 2021 and 2020, respectively (less than $0.1 million and $25.7 million for the second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$1.8 million and $12.7 million of service revenue from Ocwen for the six months ended June 30, 2021 and 2020, respectively ($0.9 million and $4.8 million for the second quarter of 2021 and 2020, respectively), was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derived from default valuations and title services referrals from the NRZ portfolios. To address the reduction in revenue, Altisource is undertaking several measures to further reduce its cost structure and strengthen its operations.</w:t>
      </w:r>
    </w:p>
    <w:p>
      <w:pPr>
        <w:spacing w:after="0" w:line="8"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2020, we recognized an unrealized loss of $(12.6) million ($(11.2) million for the second quarter of 2020) from the change in fair value on our investment in Front Yard Residential Corporation (“RESI”) in other income (expense), net in the condensed consolidated statements of operations and comprehensive loss from a change in the market value of RESI common shares (no comparative amount for the three and six months ended June 30, 2021).</w:t>
      </w:r>
    </w:p>
    <w:p>
      <w:pPr>
        <w:spacing w:after="0" w:line="24"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three and six months ended June 30, 2020, Altisource incurred $5.8 million and $8.7 million, respectively, of severance costs, professional services fees, facility consolidation costs, technology costs and business wind down costs related to the reorganization plan (no comparative amount for the three and six months ended June 30, 2021).</w:t>
      </w:r>
    </w:p>
    <w:p>
      <w:pPr>
        <w:spacing w:after="0" w:line="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recognized an income tax provision of $1.4 million and $3.5 million for the six months ended June 30, 2021 and 2020, respectively ($0.6 million and $1.1 million for the second quarter of 2021 and 2020, respectively). The income tax provision for the three and six months ended June 30, 2021 was driven by income tax on transfer pricing income from India, no tax benefit on the pretax loss from our Luxembourg operating company and Pointillist, uncertain tax positions and tax on unrepatriated earnings in India.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5"/>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 Increase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96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3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91,008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204,184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11,685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46,041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95,342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96,506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216,786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44,037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82,628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94,195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177,209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12,714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39,577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24,701</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35,442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52,794</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5,769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(17,756)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(33,131)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(21,911)</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(9,162)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4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loss on investment in equity</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(11,224)</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(12,571)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773</w:t>
            </w:r>
          </w:p>
        </w:tc>
        <w:tc>
          <w:tcPr>
            <w:tcW w:w="10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(15,991)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(20,960)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Loss before income taxes and non-</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(18,070)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(33,747)</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(39,142)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(42,871)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(3,538)</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(34,864)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(40,569)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(46,409)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34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Net loss (income) attributable to non-</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(302)</w:t>
            </w:r>
          </w:p>
        </w:tc>
        <w:tc>
          <w:tcPr>
            <w:tcW w:w="10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(35,061)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(46,711)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Gross profit/service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from operations/service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15,830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15,601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15,549</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15,549</w:t>
            </w:r>
          </w:p>
        </w:tc>
        <w:tc>
          <w:tcPr>
            <w:tcW w:w="10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4"/>
              </w:rPr>
              <w:t>Six months ended 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1"/>
                <w:szCs w:val="11"/>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7"/>
        </w:trPr>
        <w:tc>
          <w:tcPr>
            <w:tcW w:w="3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47,567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left="453"/>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102,480</w:t>
            </w:r>
          </w:p>
        </w:tc>
        <w:tc>
          <w:tcPr>
            <w:tcW w:w="100" w:type="dxa"/>
            <w:vAlign w:val="bottom"/>
          </w:tcPr>
          <w:p>
            <w:pPr>
              <w:spacing w:after="0"/>
              <w:rPr>
                <w:sz w:val="19"/>
                <w:szCs w:val="19"/>
                <w:color w:val="auto"/>
              </w:rPr>
            </w:pPr>
          </w:p>
        </w:tc>
        <w:tc>
          <w:tcPr>
            <w:tcW w:w="980" w:type="dxa"/>
            <w:vAlign w:val="bottom"/>
          </w:tcPr>
          <w:p>
            <w:pPr>
              <w:jc w:val="center"/>
              <w:ind w:left="553"/>
              <w:spacing w:after="0"/>
              <w:rPr>
                <w:sz w:val="20"/>
                <w:szCs w:val="20"/>
                <w:color w:val="auto"/>
              </w:rPr>
            </w:pPr>
            <w:r>
              <w:rPr>
                <w:rFonts w:ascii="Arial" w:cs="Arial" w:eastAsia="Arial" w:hAnsi="Arial"/>
                <w:sz w:val="18"/>
                <w:szCs w:val="18"/>
                <w:color w:val="auto"/>
                <w:w w:val="93"/>
              </w:rPr>
              <w:t>(76)</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3"/>
              </w:rPr>
              <w:t>(53)</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left="453"/>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55,744</w:t>
            </w:r>
          </w:p>
        </w:tc>
        <w:tc>
          <w:tcPr>
            <w:tcW w:w="100" w:type="dxa"/>
            <w:vAlign w:val="bottom"/>
          </w:tcPr>
          <w:p>
            <w:pPr>
              <w:spacing w:after="0"/>
              <w:rPr>
                <w:sz w:val="19"/>
                <w:szCs w:val="19"/>
                <w:color w:val="auto"/>
              </w:rPr>
            </w:pPr>
          </w:p>
        </w:tc>
        <w:tc>
          <w:tcPr>
            <w:tcW w:w="980" w:type="dxa"/>
            <w:vAlign w:val="bottom"/>
          </w:tcPr>
          <w:p>
            <w:pPr>
              <w:jc w:val="center"/>
              <w:ind w:left="553"/>
              <w:spacing w:after="0"/>
              <w:rPr>
                <w:sz w:val="20"/>
                <w:szCs w:val="20"/>
                <w:color w:val="auto"/>
              </w:rPr>
            </w:pPr>
            <w:r>
              <w:rPr>
                <w:rFonts w:ascii="Arial" w:cs="Arial" w:eastAsia="Arial" w:hAnsi="Arial"/>
                <w:sz w:val="18"/>
                <w:szCs w:val="18"/>
                <w:color w:val="auto"/>
                <w:w w:val="93"/>
              </w:rPr>
              <w:t>(19)</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Earlier Stage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53"/>
              <w:spacing w:after="0"/>
              <w:rPr>
                <w:sz w:val="20"/>
                <w:szCs w:val="20"/>
                <w:color w:val="auto"/>
              </w:rPr>
            </w:pPr>
            <w:r>
              <w:rPr>
                <w:rFonts w:ascii="Arial" w:cs="Arial" w:eastAsia="Arial" w:hAnsi="Arial"/>
                <w:sz w:val="18"/>
                <w:szCs w:val="18"/>
                <w:color w:val="auto"/>
                <w:w w:val="93"/>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ind w:left="553"/>
              <w:spacing w:after="0"/>
              <w:rPr>
                <w:sz w:val="20"/>
                <w:szCs w:val="20"/>
                <w:color w:val="auto"/>
              </w:rPr>
            </w:pPr>
            <w:r>
              <w:rPr>
                <w:rFonts w:ascii="Arial" w:cs="Arial" w:eastAsia="Arial" w:hAnsi="Arial"/>
                <w:sz w:val="18"/>
                <w:szCs w:val="18"/>
                <w:color w:val="auto"/>
                <w:w w:val="93"/>
              </w:rPr>
              <w:t>(79)</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204,184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3"/>
              </w:rPr>
              <w:t>(55)</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left="453"/>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980" w:type="dxa"/>
            <w:vAlign w:val="bottom"/>
          </w:tcPr>
          <w:p>
            <w:pPr>
              <w:jc w:val="center"/>
              <w:ind w:left="553"/>
              <w:spacing w:after="0"/>
              <w:rPr>
                <w:sz w:val="20"/>
                <w:szCs w:val="20"/>
                <w:color w:val="auto"/>
              </w:rPr>
            </w:pPr>
            <w:r>
              <w:rPr>
                <w:rFonts w:ascii="Arial" w:cs="Arial" w:eastAsia="Arial" w:hAnsi="Arial"/>
                <w:sz w:val="18"/>
                <w:szCs w:val="18"/>
                <w:color w:val="auto"/>
                <w:w w:val="93"/>
              </w:rPr>
              <w:t>(70)</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3"/>
              </w:rPr>
              <w:t>(72)</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53"/>
              <w:spacing w:after="0"/>
              <w:rPr>
                <w:sz w:val="20"/>
                <w:szCs w:val="20"/>
                <w:color w:val="auto"/>
              </w:rPr>
            </w:pPr>
            <w:r>
              <w:rPr>
                <w:rFonts w:ascii="Arial" w:cs="Arial" w:eastAsia="Arial" w:hAnsi="Arial"/>
                <w:sz w:val="18"/>
                <w:szCs w:val="18"/>
                <w:color w:val="auto"/>
                <w:w w:val="93"/>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ind w:left="553"/>
              <w:spacing w:after="0"/>
              <w:rPr>
                <w:sz w:val="20"/>
                <w:szCs w:val="20"/>
                <w:color w:val="auto"/>
              </w:rPr>
            </w:pPr>
            <w:r>
              <w:rPr>
                <w:rFonts w:ascii="Arial" w:cs="Arial" w:eastAsia="Arial" w:hAnsi="Arial"/>
                <w:sz w:val="18"/>
                <w:szCs w:val="18"/>
                <w:color w:val="auto"/>
                <w:w w:val="93"/>
              </w:rPr>
              <w:t>(45)</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3"/>
              </w:rPr>
              <w:t>(66)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ind w:left="453"/>
              <w:spacing w:after="0"/>
              <w:rPr>
                <w:sz w:val="20"/>
                <w:szCs w:val="20"/>
                <w:color w:val="auto"/>
              </w:rPr>
            </w:pPr>
            <w:r>
              <w:rPr>
                <w:rFonts w:ascii="Arial" w:cs="Arial" w:eastAsia="Arial" w:hAnsi="Arial"/>
                <w:sz w:val="18"/>
                <w:szCs w:val="18"/>
                <w:color w:val="auto"/>
                <w:w w:val="93"/>
              </w:rPr>
              <w:t>(72)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center"/>
              <w:ind w:left="553"/>
              <w:spacing w:after="0"/>
              <w:rPr>
                <w:sz w:val="20"/>
                <w:szCs w:val="20"/>
                <w:color w:val="auto"/>
              </w:rPr>
            </w:pPr>
            <w:r>
              <w:rPr>
                <w:rFonts w:ascii="Arial" w:cs="Arial" w:eastAsia="Arial" w:hAnsi="Arial"/>
                <w:sz w:val="18"/>
                <w:szCs w:val="18"/>
                <w:color w:val="auto"/>
                <w:w w:val="93"/>
              </w:rPr>
              <w:t>(44)</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left="453"/>
              <w:spacing w:after="0"/>
              <w:rPr>
                <w:sz w:val="20"/>
                <w:szCs w:val="20"/>
                <w:color w:val="auto"/>
              </w:rPr>
            </w:pPr>
            <w:r>
              <w:rPr>
                <w:rFonts w:ascii="Arial" w:cs="Arial" w:eastAsia="Arial" w:hAnsi="Arial"/>
                <w:sz w:val="18"/>
                <w:szCs w:val="18"/>
                <w:color w:val="auto"/>
                <w:w w:val="93"/>
              </w:rPr>
              <w:t>(52)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216,786</w:t>
            </w:r>
          </w:p>
        </w:tc>
        <w:tc>
          <w:tcPr>
            <w:tcW w:w="100" w:type="dxa"/>
            <w:vAlign w:val="bottom"/>
          </w:tcPr>
          <w:p>
            <w:pPr>
              <w:spacing w:after="0"/>
              <w:rPr>
                <w:sz w:val="19"/>
                <w:szCs w:val="19"/>
                <w:color w:val="auto"/>
              </w:rPr>
            </w:pPr>
          </w:p>
        </w:tc>
        <w:tc>
          <w:tcPr>
            <w:tcW w:w="980" w:type="dxa"/>
            <w:vAlign w:val="bottom"/>
          </w:tcPr>
          <w:p>
            <w:pPr>
              <w:jc w:val="center"/>
              <w:ind w:left="553"/>
              <w:spacing w:after="0"/>
              <w:rPr>
                <w:sz w:val="20"/>
                <w:szCs w:val="20"/>
                <w:color w:val="auto"/>
              </w:rPr>
            </w:pPr>
            <w:r>
              <w:rPr>
                <w:rFonts w:ascii="Arial" w:cs="Arial" w:eastAsia="Arial" w:hAnsi="Arial"/>
                <w:sz w:val="18"/>
                <w:szCs w:val="18"/>
                <w:color w:val="auto"/>
                <w:w w:val="93"/>
              </w:rPr>
              <w:t>(55)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service revenue of $92.0 million for the six months ended June 30, 2021, a 55% decrease compared to the six months ended June 30, 2020 ($44.0 million for the second quarter of 2021, a 52% decrease compared to the second quarter of 2020), primarily from COVID-19 pandemic related foreclosure and eviction moratoriums and borrower forbearance plans, and an MSR investor’s 2020 instructions to Ocwen to transition field services, title and valuation referrals historically provided to Altisource to the MSR investor’s captive vendors. The decreases for the three and six months ended June 30, 2021 were partially offset by an increase in revenue from our origination business of 16% and 39%, respectively, from higher origination related volumes driven by a lower interest rate environment, customer wins and new offerings.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reimbursable expense revenue of $3.9 million for the six months ended June 30, 2021, a 66% decrease compared to the six months ended June 30, 2020 ($1.9 million for the second quarter of 2021, a 50% decrease compared to the second quarter of 2020). The decrease in reimbursable expenses for the six months ended June 30, 2021 was consistent with the decline in service revenue discussed above.</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and depreciation and amortization of operating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40" w:type="dxa"/>
            <w:vAlign w:val="bottom"/>
            <w:gridSpan w:val="6"/>
          </w:tcPr>
          <w:p>
            <w:pPr>
              <w:ind w:left="680"/>
              <w:spacing w:after="0"/>
              <w:rPr>
                <w:sz w:val="20"/>
                <w:szCs w:val="20"/>
                <w:color w:val="auto"/>
              </w:rPr>
            </w:pPr>
            <w:r>
              <w:rPr>
                <w:rFonts w:ascii="Arial" w:cs="Arial" w:eastAsia="Arial" w:hAnsi="Arial"/>
                <w:sz w:val="14"/>
                <w:szCs w:val="14"/>
                <w:b w:val="1"/>
                <w:bCs w:val="1"/>
                <w:color w:val="auto"/>
                <w:w w:val="90"/>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cost of revenue of $94.2 million for the six months ended June 30, 2021, a 47% decrease compared to the six months ended June 30, 2020 ($44.0 million for the second quarter of 2021, a 47% decrease compared to the second quarter of 2020). The decreases in outside fees and services were primarily driven by lower service revenue in Field Services and Marketplace businesses, discussed in the revenue section above. Compensation and benefits for the three and six months ended June 30, 2021 decreased primarily due to lower headcount in connection with cash cost savings measures taken in 2020 in response to the COVID-19 related decreases in service revenue and reduction in revenue from Ocwen discussed in the revenue section above. The Company also continued to reduce employee costs in the three and six months ended June 30, 2021 as a result of the extension of the expiration of foreclosure moratoriums and forbearance plans. The decreases in reimbursable expenses were consistent with the changes in reimbursable expense revenue discussed in the revenue section above.</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decreased to $2.3 million, representing 3% of service revenue, for the six months ended June 30, 2021 compared to $39.6 million, representing 19% of service revenue, for the six months ended June 30, 2020 (decreased to $2.0 million, representing 5% of service revenue, for the second quarter of 2021, compared to $12.7 million, representing 14% of service revenue, for the second quarter of 2020). Gross profit as a percentage of service revenue for the three and six months ended June 30, 2021 decreased compared to the three and six months ended June 30, 2020 primarily due to revenue mix with lower revenue from the higher margin Marketplace businesses and lower gross profit margin in the Field Services business. These decreases were partially offset by our COVID-19 cash cost savings measures.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680"/>
              <w:spacing w:after="0"/>
              <w:rPr>
                <w:sz w:val="20"/>
                <w:szCs w:val="20"/>
                <w:color w:val="auto"/>
              </w:rPr>
            </w:pPr>
            <w:r>
              <w:rPr>
                <w:rFonts w:ascii="Arial" w:cs="Arial" w:eastAsia="Arial" w:hAnsi="Arial"/>
                <w:sz w:val="14"/>
                <w:szCs w:val="14"/>
                <w:b w:val="1"/>
                <w:bCs w:val="1"/>
                <w:color w:val="auto"/>
                <w:w w:val="89"/>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14"/>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7"/>
        </w:trPr>
        <w:tc>
          <w:tcPr>
            <w:tcW w:w="4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SG&amp;A expenses for the six months ended June 30, 2021 of $35.4 million decreased by 33% compared to the six months ended June 30, 2020 ($16.6 million for the second quarter of 2021, a 33% decrease compared to the second quarter of 2020). The decreases were primarily driven by lower compensation and benefits, occupancy related costs and marketing costs. Compensation and benefits for the three and six months ended June 30, 2021 decreased primarily due to lower headcount in connection with cash cost savings measures taken in 2020 in response to the COVID-19 related decreases in service revenue and reduction in revenue from Ocwen discussed in the revenue section above. The Company also continued to reduce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and benefits costs in the three and six months ended June 30, 2021 as a result of the extension of the expiration of foreclosure moratoriums and forbearance plans. The decreases in occupancy related costs primarily resulted from facility consolidation initiatives. The decreases in marketing costs were primarily driven by COVID-19 cost savings measures and the decline in revenue. For the six months ended June 30, 2021, the decrease in amortization of intangible assets was driven by the completion of the amortization period of certain intangible assets during 2020 and lower revenue generated from the Homeward Residential, Inc. and Residential Capital, LLC portfolios (revenue-based amortization) consistent with the reduction in the size of Ocwen’s portfolio, discussed in the revenue section above. In addition, Other expenses decreased for the six months ended June 30, 2021 primarily due to lower travel and entertainment costs driven by COVID-19 travel restrictions, lower billings to Transworld Systems Inc. for transition services in connection with the July 1, 2019 sale of the Financial Services Business and lower bad debt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three and six months ended June 30, 2020, Altisource incurred $5.8 million and $8.7 million, respectively, of severance costs, professional services fees, facility consolidation costs, technology costs and business wind down costs related to the reorganization plan (no comparative amount for the three and six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for the six months ended June 30, 2021 was $(33.1) million, representing (36)% of service revenue, compared to $(21.9) million, representing (11)% of service revenue, for the six months ended June 30, 2020 (decreased to $(14.6) million, representing (33)% of service revenue, for the second quarter of 2021, compared to $(17.8) million, representing (20)% of service revenue, for the second quarter of 2020). Loss from operations as a percentage of service revenue increased for the three and six months ended June 30, 2021 compared to the three and six months ended June 30, 2020, primarily as a result of lower gross profit margins during the six months ended June 30, 2020, partially offset by lower SG&amp;A expenses and restructuring charges, as discussed above.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Ocwen is our largest customer, 2021 declines in service revenue from Ocwen and the changes in mix of revenue from Ocwen have had a negative impact on our loss from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loss on our investment in RESI common shares and other non-operating gains and losses.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was $(6.0) million for the six months ended June 30, 2021 compared to $(21.0) million for the six months ended June 30, 2020 ($(3.5) million for the second quarter of 2021 and $(16.0) million for the second quarter of 2020). The decrease in other expense for the three and six months ended June 30, 2021 was primarily driven by a $(11.2) million and $(12.6) million unrealized loss on our investment in RESI common shares for the three and six months ended June 30, 2020, respectively (no comparative amount for the three and six months ended June 30, 2021). In addition, other expense also decreased due to lower interest expense during the three and six months ended June 30, 2021. Interest expense decreased primarily due to the lower average outstanding balances of the senior secured term loan as a result of repayments during 2020 and lower interest rates. For the six months ended June 30, 2021, the interest rate of the senior secured term loan was 5.00% compared to 5.70% for the six months ended June 30, 2020 (5.00% for the second quarter of 2021 compared to 5.45% for the second quarter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an income tax provision of $1.4 million and $3.5 million for the six months ended June 30, 2021 and 2020, respectively ($0.6 million and $1.1 million for the second quarter of 2021 and 2020, respectively). The income tax provision for the three and six months ended June 30, 2021 was driven by income tax on transfer pricing income from India, no tax benefit on the pretax loss from our Luxembourg operating company and Pointillist, uncertain tax positions and tax on unrepatriated earnings in India.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 of liquidity has historically been cash flow from operations, cash proceeds from sales of businesses and cash on hand. However, due to the COVID-19 pandemic and an MSR investor’s instructions to Ocwen to transition field services, valuation and title services to the investor’s captive service providers, revenue has declined significantly. The lower revenue, partially offset by cost savings initiatives, resulted in a negative operating cash flow from operations for six months ended June 30, 2021. To address our current operating environment, we plan to continue our cost reduction initiatives to reduce cash burn. To increase our liquidity to provide a greater cushion, we entered into a Credit Facility during the second quarter of 2021. We also anticipate that we will continue to grow our origination businesses and that referral volumes from delinquent mortgages will increase following the expiration of the pandemic related foreclosure moratoriums, the CFPB's temporary loss mitigation measures and other pandemic related borrower relief measures.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and capital investments. In addition, from time to time, we consider and evaluate business acquisitions, dispositions, closures or other similar actions that are aligned with our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June 30, 2021, $247.2 million of the Term B Loans were outstanding. Borrowings under the revolving credit facility are not permitted if our leverage ratio exceeds to 3.50 to 1.00. Our leverage ratio exceeded 3.50 to 1.00 for the twelve months ended June 30, 2021. There were no borrowings outstanding under the revolving credit facility as of June 30, 2021.</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no mandatory repayments of the Term B Loans due until maturity in April 2024, except as otherwise described herein.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June 30, 2021. The Company did not generate any Consolidated Excess Cash Flow during the six months ended June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June 30, 2021 was 5.00%.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June 30, 2021. The lenders have no obligation to provide any incremental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22, 2021 Altisource S.à r.l, a subsidiary of Altisource Portfolio Solutions S.A., entered into a revolving credit facility with a related party, STS. STS is an investment fund managed by Deer Park Road Management Company, LP. Deer Park Road Management Company, LP owns approximately 24% of Altisource’s common stock as of June 30,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 a maximum amount of $20 million through June 22, 2022, $15 million through June 22, 2023, and $10 million until the end of the term. Amounts that are repaid may be re-borrowed in accordance with the limitations set forth below.</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amounts borrowed pursuant to the Credit Facility will amortize over the three-year term as follows: on June 22, 2022, the difference between the then outstanding balance above $15 million and $15 million, will be due and payable by Altisource; on June 22, 2023, the difference between the then outstanding balance above $10 million and $10 million, will be due and payable by Altisource; and on June 22, 2024, the then outstanding balance of the loan will be due and payable by Altisource.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were no borrowing outstanding under the Credit Facility. On July 6, 2021, the Company borrowed $6 million under the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 Increase (decrease)</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adjusted for non-cash items</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(14,590)</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 and restricted cash at the beginning of the period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loss. For the six months ended June 30, 2021, cash flows used in operating activities were $(22.8) million, or approximately $(0.25) for every dollar of service revenue ($(0.14) for every dollar of service revenue for the second quarter of 2021), compared to cash flows used in operating activities of $(11.2) million, or approximately $(0.05) for every dollar of service revenue for the six months ended June 30, 2020 ($(0.11) for every dollar of service revenue for the second quarter of 2020). During the six months ended June 30, 2021, the increase in cash used in operating activities was driven by an $18.0 million increase in net loss, adjusted for non-cash items, partially offset by lower cash used for changes in operating assets and liabilities of $6.5 million. The increase in net loss, adjusted for non-cash items, was primarily due to lower gross profit during the six months ended June 30, 2021 from lower service revenue driven by the COVID-19 pandemic and the loss of certain services relating to one of Ocwen’s subservicing customers, partially offset by decreases in expenses as a result of COVID-19 cash cost savings measures, the Project Catalyst cost reduction initiatives and lower SG&amp;A expenses. The decrease in cash used for changes in operating assets and liabilities was primarily driven by lower cash payments for annual incentive compensation bonuses in the first quarter of 2021 by $7.2 million partially offset by a decrease in accounts receivable of $4.0 million for the six months ended June 30, 2021 compared to a decrease in accounts receivable of $7.2 million during the six months ended June 30, 2020,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for the six months ended June 30, 2021 and 2020 consisted of additions to premises and equipment and proceeds from the sale of a business. Cash flows provided by (used in) investing activities were $2.3 million and $(1.5) million for the six months ended June 30, 2021 and 2020, respectively. The change in cash provided by investing activities was primarily driven by $3.0 million in proceeds received in connection with the second installment from the August 2018 sale of the rental property management business to RESI. In addition, we used $(0.7) million and $(1.5) million for the six months ended June 30, 2021 and 2020, for additions to premises and equipment primarily related to investments in the development of certain software applications and facility improvements.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flows from financing activities for the six months ended June 30, 2021 and 2020 primarily included payments of tax withholdings on issuance of restricted share units and restricted shares, distributions to non-controlling interests and proceeds from convertible notes payable to related parties. Cash flows used in financing activities were $(1.5) million and $(1.9) million for the six months ended June 30, 2021 and 2020, respectively. During the six months ended June 30, 2021 and 2020, we made payments of $(0.9) million and $(1.4)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six months ended June 30, 2021 and 2020, we distributed $(1.8) million and $(0.5) million, respectively, to non-controlling interests. During the six months ended June 30, 2021, we also received proceeds from the Pointillist convertible notes payable to related parties of $1.2 million (no comparable amount for the six months ended June 30,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June 30, 2021</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future liquidity obligations primarily pertain to long-term debt repayments and interest expense under the Credit Agreement and Credit Facility (see Liquidity section above), lease payments and distributions to Lenders One members. During the next 12 months, we expect to pay $12.4 million of interest expense (assuming no further principal repayments and the June 30, 2021 interest rate) under the Credit Agreement, $0.8 million of interest expense under the Credit Facility and make lease payments of $6.9 million.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existing cash and cash equivalents balances and available borrowings under the Credit Facility, net of our anticipated cash flows used in operations, will be sufficient to meet our liquidity needs, including to fund operating expenses, required interest and lease payments, for the next 12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there were no significant changes to our contractual obligations from those identified in our Form 10-K for the fiscal year ended December 31, 2020 and this Form 10-Q, other than those that occur in the normal course of business. See Note 23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2020 filed with the SEC on March 11, 2021. There have been no material changes to our critical accounting policies during the six months ended June 30,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June 30, 2021, a one percentage point increase in the Eurodollar rate would increase our annual interest expense by approximately $2.5 million. There would be no decrease in our annual interest expense if there was a one percentage point decrease in the Eurodollar Rate, as a result of the 1.00% minimum floor.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2021, a one percentage point increase or decrease in value of the Indian rupee in relation to the United States dollar would increase or decrease our annual expenses by approximately $0.3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 evaluation was conducted under the supervision and with the participation of our management, including our Chairman and Chief Executive Officer and Chief Financial Officer, of the effectiveness of our disclosure controls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procedures (as defined in Rule 13a-15(e) and Rule 15d-15(e) of the Exchange Act). Based on this evaluation, such officers have concluded that our disclosure controls and procedures were effective as of June 30, 2021.</w:t>
      </w:r>
    </w:p>
    <w:p>
      <w:pPr>
        <w:spacing w:after="0" w:line="11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2020 filed with the SEC on March 11, 2021, except as provided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level of debt and provisions in our Credit Facility could limit our ability to react to changes in the economy or our industry. Our failure to comply with the covenants or terms contained in our Credit Facility, could result in an event of default.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credit agreement dated as of June 22, 2021 providing us with a revolving credit facility in an initial amount of $20 million. Our Credit Facility agreements require us to repay amounts in excess of specified thresholds as of certain dates as follows: repay outstanding amounts in excess of $15 million as of June 23, 2022; repay outstanding amounts in excess of $10 million as of June 23, 2023; and repay all outstanding amounts as of June 22, 2024. In addition, the Credit Facility agreements obligate us to comply with certain covenants or terms, the failure of which could give risk to an event of default.</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our cash from operations declines, there can be no assurance that our cash balances and other assets readily available for sale would be sufficient to fully repay borrowings as the same become due or that we will be able to refinance the remaining portion of the debt prior to the due date. If we were to default on our debt, our lenders could take action adverse to our interests under the terms of the Credit Facility agreements, including the lender seeking to take possession of the applicable collateral. Under such circumstances, if we are not able to agree upon a resolution with our lender, we might seek applicable legal protections including under bankruptcy law, which in turn could provide certain of our clients the ability to terminate our agreements. If we refinance the loan under less favorable terms, we may be more constrained in our ability to finance and operate our business. Furthermore, an event of default of the Credit Facility agreements could permit the lender to terminate its obligations to extend credit and to cause all outstanding amounts to become immediately due and payable, as well as permitting lender to avail itself to certain other remedies set forth in such agreements. Our assets or cash flows may not be sufficient to fully repay borrowings under the Credit Facility agreements if accelerated upon an event of default and we may not be able to refinance or restructure the payments on such debt.</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event of default under the Credit Facility could result in a going concern uncertainty, which in turn could result in a default to our Senior Secured Term Loan agreements.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Our Credit Facility required the pledge of a substantial portion of our available collateral and impacts our ability to incur additional debt under the terms of our senior secured term loan agreements which could make it difficult to obtain additional debt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Secured Term Loan agreements place certain limitations on incurring additional debt and on assets that may function as collateral on other debt. Amounts borrowed pursuant to the Credit Facility reduce the additional borrowing (outside of the revolver) permitted, without lender approval, under our Senior Secured Term Loan agreements. To the extent we exhaust permitted additional borrowing under the Senior Secured Term Loan agreements, we may be unable to secured future debt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secure such debt on favorable terms. In addition, the Credit Facility is secured by a lien on all equity in Altisource Business Solutions Private Limited (“ABSPL”), our main India subsidiary. The ABSPL equity was the remaining significant Altisource asset that was not subject to a security interest under the Senior Secured Term Loan agreements. Pledging the equity in ABSPL as collateral for the Credit Facility could leave us unable secure additional debt at reasonable rates if we are unable to provide collateral sufficient to satisfy potential lenders.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Senior Secured Term Loan agreements limit the additional borrowing permitted by the Company, amounts outstanding under the Credit Facility would apply to this capacity, impacting our ability to obtain additional debt financing.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purchases of shares of common stock during the three months ended June 30, 2021.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June 30, 2021, the maximum number of shares that may be purchased under the repurchase program is 2.4 million shares of the Company’s common stock. In addition to the share repurchase program, during the three months ended June 30, 2021, 12,652 common shares were withheld from employees to satisfy tax withholding obligations that arose from the vesting of restricted shares.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01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101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top w:val="single" w:sz="8" w:color="auto"/>
            </w:tcBorders>
            <w:gridSpan w:val="2"/>
          </w:tcPr>
          <w:p>
            <w:pPr>
              <w:ind w:left="20"/>
              <w:spacing w:after="0"/>
              <w:rPr>
                <w:rFonts w:ascii="Arial" w:cs="Arial" w:eastAsia="Arial" w:hAnsi="Arial"/>
                <w:sz w:val="18"/>
                <w:szCs w:val="18"/>
                <w:color w:val="0000FF"/>
                <w:w w:val="79"/>
              </w:rPr>
            </w:pPr>
            <w:hyperlink r:id="rId6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5"/>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Credit Agreement, dated June 22, 2021 among Altisource S.à r.l. and STS Master Fund, Ltd. (incorporated by reference to Exhibit 10.1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the Company’s Form 8-K filed on July 23,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3"/>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Section 302 Certification of the Chief Executive Officer pursuant to Exchange Act Rule 13a-14(a)</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Section 302 Certification of the Chief Financial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5"/>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Certification by the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76" w:lineRule="exact"/>
              <w:rPr>
                <w:sz w:val="20"/>
                <w:szCs w:val="20"/>
                <w:color w:val="auto"/>
              </w:rPr>
            </w:pPr>
            <w:r>
              <w:rPr>
                <w:rFonts w:ascii="Arial" w:cs="Arial" w:eastAsia="Arial" w:hAnsi="Arial"/>
                <w:sz w:val="18"/>
                <w:szCs w:val="18"/>
                <w:color w:val="auto"/>
                <w:w w:val="92"/>
              </w:rPr>
              <w:t>period ended June 30, 2021 is formatted in Inline XBRL interactive data files: (i) Condensed Consolidated Balance Sheets as of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76" w:lineRule="exact"/>
              <w:rPr>
                <w:sz w:val="20"/>
                <w:szCs w:val="20"/>
                <w:color w:val="auto"/>
              </w:rPr>
            </w:pPr>
            <w:r>
              <w:rPr>
                <w:rFonts w:ascii="Arial" w:cs="Arial" w:eastAsia="Arial" w:hAnsi="Arial"/>
                <w:sz w:val="18"/>
                <w:szCs w:val="18"/>
                <w:color w:val="auto"/>
                <w:w w:val="90"/>
              </w:rPr>
              <w:t>2021 and December 31, 2020; (ii) Condensed Consolidated Statements of Operations and Comprehensive Loss for the three and 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76" w:lineRule="exact"/>
              <w:rPr>
                <w:sz w:val="20"/>
                <w:szCs w:val="20"/>
                <w:color w:val="auto"/>
              </w:rPr>
            </w:pPr>
            <w:r>
              <w:rPr>
                <w:rFonts w:ascii="Arial" w:cs="Arial" w:eastAsia="Arial" w:hAnsi="Arial"/>
                <w:sz w:val="18"/>
                <w:szCs w:val="18"/>
                <w:color w:val="auto"/>
                <w:w w:val="92"/>
              </w:rPr>
              <w:t>ended June 30, 2021 and 2020; (iii) Condensed Consolidated Statements of Equity for the six months ended June 30, 2021 and 2020; (iv)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76" w:lineRule="exact"/>
              <w:rPr>
                <w:sz w:val="20"/>
                <w:szCs w:val="20"/>
                <w:color w:val="auto"/>
              </w:rPr>
            </w:pPr>
            <w:r>
              <w:rPr>
                <w:rFonts w:ascii="Arial" w:cs="Arial" w:eastAsia="Arial" w:hAnsi="Arial"/>
                <w:sz w:val="18"/>
                <w:szCs w:val="18"/>
                <w:color w:val="auto"/>
                <w:w w:val="95"/>
              </w:rPr>
              <w:t>Condensed Consolidated Statements of Cash Flows for the six months ended June 30, 2021 and 2020; and (v) Notes to Condensed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1120" w:hanging="1094"/>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3"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July 29, 2021</w:t>
            </w:r>
          </w:p>
        </w:tc>
        <w:tc>
          <w:tcPr>
            <w:tcW w:w="7200" w:type="dxa"/>
            <w:vAlign w:val="bottom"/>
            <w:gridSpan w:val="2"/>
          </w:tcPr>
          <w:p>
            <w:pPr>
              <w:ind w:left="2340"/>
              <w:spacing w:after="0"/>
              <w:rPr>
                <w:sz w:val="20"/>
                <w:szCs w:val="20"/>
                <w:color w:val="auto"/>
              </w:rPr>
            </w:pPr>
            <w:r>
              <w:rPr>
                <w:rFonts w:ascii="Arial" w:cs="Arial" w:eastAsia="Arial" w:hAnsi="Arial"/>
                <w:sz w:val="18"/>
                <w:szCs w:val="18"/>
                <w:color w:val="auto"/>
              </w:rPr>
              <w:t>By:   /s/ William B. Shepro</w:t>
            </w:r>
          </w:p>
        </w:tc>
      </w:tr>
      <w:tr>
        <w:trPr>
          <w:trHeight w:val="222"/>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29"/>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July 29, 2021</w:t>
            </w:r>
          </w:p>
        </w:tc>
        <w:tc>
          <w:tcPr>
            <w:tcW w:w="7200" w:type="dxa"/>
            <w:vAlign w:val="bottom"/>
            <w:gridSpan w:val="2"/>
          </w:tcPr>
          <w:p>
            <w:pPr>
              <w:ind w:left="2340"/>
              <w:spacing w:after="0"/>
              <w:rPr>
                <w:sz w:val="20"/>
                <w:szCs w:val="20"/>
                <w:color w:val="auto"/>
              </w:rPr>
            </w:pPr>
            <w:r>
              <w:rPr>
                <w:rFonts w:ascii="Arial" w:cs="Arial" w:eastAsia="Arial" w:hAnsi="Arial"/>
                <w:sz w:val="18"/>
                <w:szCs w:val="18"/>
                <w:color w:val="auto"/>
              </w:rPr>
              <w:t>By:   /s/ Michelle D. Esterman</w:t>
            </w:r>
          </w:p>
        </w:tc>
      </w:tr>
      <w:tr>
        <w:trPr>
          <w:trHeight w:val="222"/>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29"/>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218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2021</w:t>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June 30, 2021,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214"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720" w:hanging="388"/>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July 29, 2021</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July 29,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0" Type="http://schemas.openxmlformats.org/officeDocument/2006/relationships/hyperlink" Target="https://www.sec.gov/Archives/edgar/data/0001462418/000146241821000025/ex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2021-07-29T06:13:45Z</dcterms:created>
  <dcterms:modified xsi:type="dcterms:W3CDTF">2021-07-29T06:13:45Z</dcterms:modified>
</cp:coreProperties>
</file>