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SCHEDULE 14A Information</w:t>
      </w:r>
    </w:p>
    <w:p>
      <w:pPr>
        <w:spacing w:after="0" w:line="23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Exchange Act of 1934</w:t>
      </w:r>
    </w:p>
    <w:p>
      <w:pPr>
        <w:spacing w:after="0" w:line="6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580" w:hanging="24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sz w:val="20"/>
          <w:szCs w:val="20"/>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1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ALTISOURCE PORTFOLIO SOLUTIONS S.A.</w:t>
      </w:r>
    </w:p>
    <w:p>
      <w:pPr>
        <w:spacing w:after="0" w:line="2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N/A</w:t>
      </w:r>
    </w:p>
    <w:p>
      <w:pPr>
        <w:spacing w:after="0" w:line="2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580" w:hanging="248"/>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900" w:right="4999" w:hanging="379"/>
        <w:spacing w:after="0" w:line="41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70" w:lineRule="exact"/>
        <w:rPr>
          <w:rFonts w:ascii="Arial" w:cs="Arial" w:eastAsia="Arial" w:hAnsi="Arial"/>
          <w:sz w:val="18"/>
          <w:szCs w:val="18"/>
          <w:color w:val="auto"/>
        </w:rPr>
      </w:pPr>
    </w:p>
    <w:p>
      <w:pPr>
        <w:ind w:left="900" w:right="4939" w:hanging="379"/>
        <w:spacing w:after="0" w:line="41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spacing w:after="0" w:line="170" w:lineRule="exact"/>
        <w:rPr>
          <w:rFonts w:ascii="Arial" w:cs="Arial" w:eastAsia="Arial" w:hAnsi="Arial"/>
          <w:sz w:val="18"/>
          <w:szCs w:val="18"/>
          <w:color w:val="auto"/>
        </w:rPr>
      </w:pPr>
    </w:p>
    <w:p>
      <w:pPr>
        <w:ind w:left="900" w:right="259" w:hanging="379"/>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346" w:lineRule="exact"/>
        <w:rPr>
          <w:rFonts w:ascii="Arial" w:cs="Arial" w:eastAsia="Arial" w:hAnsi="Arial"/>
          <w:sz w:val="18"/>
          <w:szCs w:val="18"/>
          <w:color w:val="auto"/>
        </w:rPr>
      </w:pPr>
    </w:p>
    <w:p>
      <w:pPr>
        <w:ind w:left="900" w:right="5619" w:hanging="379"/>
        <w:spacing w:after="0" w:line="41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170" w:lineRule="exact"/>
        <w:rPr>
          <w:rFonts w:ascii="Arial" w:cs="Arial" w:eastAsia="Arial" w:hAnsi="Arial"/>
          <w:sz w:val="18"/>
          <w:szCs w:val="18"/>
          <w:color w:val="auto"/>
        </w:rPr>
      </w:pPr>
    </w:p>
    <w:p>
      <w:pPr>
        <w:ind w:left="900" w:hanging="379"/>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20" w:hanging="18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520" w:right="419" w:hanging="188"/>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900" w:right="7499" w:hanging="379"/>
        <w:spacing w:after="0" w:line="41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70" w:lineRule="exact"/>
        <w:rPr>
          <w:rFonts w:ascii="Arial" w:cs="Arial" w:eastAsia="Arial" w:hAnsi="Arial"/>
          <w:sz w:val="18"/>
          <w:szCs w:val="18"/>
          <w:color w:val="auto"/>
        </w:rPr>
      </w:pPr>
    </w:p>
    <w:p>
      <w:pPr>
        <w:ind w:left="900" w:right="5939" w:hanging="379"/>
        <w:spacing w:after="0" w:line="41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70" w:lineRule="exact"/>
        <w:rPr>
          <w:rFonts w:ascii="Arial" w:cs="Arial" w:eastAsia="Arial" w:hAnsi="Arial"/>
          <w:sz w:val="18"/>
          <w:szCs w:val="18"/>
          <w:color w:val="auto"/>
        </w:rPr>
      </w:pPr>
    </w:p>
    <w:p>
      <w:pPr>
        <w:ind w:left="900" w:right="8419" w:hanging="379"/>
        <w:spacing w:after="0" w:line="41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170" w:lineRule="exact"/>
        <w:rPr>
          <w:rFonts w:ascii="Arial" w:cs="Arial" w:eastAsia="Arial" w:hAnsi="Arial"/>
          <w:sz w:val="18"/>
          <w:szCs w:val="18"/>
          <w:color w:val="auto"/>
        </w:rPr>
      </w:pPr>
    </w:p>
    <w:p>
      <w:pPr>
        <w:ind w:left="900" w:right="8519" w:hanging="379"/>
        <w:spacing w:after="0" w:line="41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-5439410</wp:posOffset>
            </wp:positionV>
            <wp:extent cx="5814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-4872990</wp:posOffset>
            </wp:positionV>
            <wp:extent cx="581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-4170045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-3604260</wp:posOffset>
            </wp:positionV>
            <wp:extent cx="581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-3037840</wp:posOffset>
            </wp:positionV>
            <wp:extent cx="581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-1785620</wp:posOffset>
            </wp:positionV>
            <wp:extent cx="581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-1219835</wp:posOffset>
            </wp:positionV>
            <wp:extent cx="581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-654050</wp:posOffset>
            </wp:positionV>
            <wp:extent cx="581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-87630</wp:posOffset>
            </wp:positionV>
            <wp:extent cx="581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ectPr>
          <w:pgSz w:w="11900" w:h="16838" w:orient="portrait"/>
          <w:cols w:equalWidth="0" w:num="1">
            <w:col w:w="10219"/>
          </w:cols>
          <w:pgMar w:left="240" w:top="122" w:right="1440"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322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NOTICE OF ANNUAL MEETING OF SHAREHOLDERS AND IMPORTANT NOTICE</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REGARDING THE AVAILABILITY OF PROXY MATERIALS FOR THE SHAREHOLDER</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MEETING TO BE HELD ON MAY 18, 2011</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PROXY STATEMENT</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ANNUAL MEETING OF SHAREHOLDERS</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ELECTION OF DIRECTORS</w:t>
        </w:r>
      </w:hyperlink>
    </w:p>
    <w:p>
      <w:pPr>
        <w:spacing w:after="0" w:line="1" w:lineRule="exact"/>
        <w:rPr>
          <w:sz w:val="20"/>
          <w:szCs w:val="20"/>
          <w:color w:val="auto"/>
        </w:rPr>
      </w:pPr>
    </w:p>
    <w:p>
      <w:pPr>
        <w:ind w:right="899"/>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EACH OF THE NOMINEES FOR DIRECTOR</w:t>
        </w:r>
      </w:hyperlink>
    </w:p>
    <w:p>
      <w:pPr>
        <w:spacing w:after="0" w:line="1" w:lineRule="exact"/>
        <w:rPr>
          <w:sz w:val="20"/>
          <w:szCs w:val="20"/>
          <w:color w:val="auto"/>
        </w:rPr>
      </w:pPr>
    </w:p>
    <w:p>
      <w:pPr>
        <w:ind w:right="3679"/>
        <w:spacing w:after="0" w:line="241" w:lineRule="auto"/>
        <w:rPr>
          <w:rFonts w:ascii="Arial" w:cs="Arial" w:eastAsia="Arial" w:hAnsi="Arial"/>
          <w:sz w:val="21"/>
          <w:szCs w:val="21"/>
          <w:u w:val="single" w:color="auto"/>
          <w:color w:val="0000EE"/>
        </w:rPr>
      </w:pPr>
      <w:hyperlink w:anchor="page13">
        <w:r>
          <w:rPr>
            <w:rFonts w:ascii="Arial" w:cs="Arial" w:eastAsia="Arial" w:hAnsi="Arial"/>
            <w:sz w:val="21"/>
            <w:szCs w:val="21"/>
            <w:u w:val="single" w:color="auto"/>
            <w:color w:val="0000EE"/>
          </w:rPr>
          <w:t>BOARD OF DIRECTORS AND CORPORATE GOVERNANCE</w:t>
        </w:r>
      </w:hyperlink>
      <w:r>
        <w:rPr>
          <w:rFonts w:ascii="Arial" w:cs="Arial" w:eastAsia="Arial" w:hAnsi="Arial"/>
          <w:sz w:val="21"/>
          <w:szCs w:val="21"/>
          <w:u w:val="single" w:color="auto"/>
          <w:color w:val="0000EE"/>
        </w:rPr>
        <w:t xml:space="preserve"> </w:t>
      </w:r>
      <w:hyperlink w:anchor="page17">
        <w:r>
          <w:rPr>
            <w:rFonts w:ascii="Arial" w:cs="Arial" w:eastAsia="Arial" w:hAnsi="Arial"/>
            <w:sz w:val="21"/>
            <w:szCs w:val="21"/>
            <w:u w:val="single" w:color="auto"/>
            <w:color w:val="0000EE"/>
          </w:rPr>
          <w:t>BOARD OF DIRECTORS COMPENSATION</w:t>
        </w:r>
      </w:hyperlink>
      <w:r>
        <w:rPr>
          <w:rFonts w:ascii="Arial" w:cs="Arial" w:eastAsia="Arial" w:hAnsi="Arial"/>
          <w:sz w:val="21"/>
          <w:szCs w:val="21"/>
          <w:u w:val="single" w:color="auto"/>
          <w:color w:val="0000EE"/>
        </w:rPr>
        <w:t xml:space="preserve"> </w:t>
      </w:r>
      <w:hyperlink w:anchor="page18">
        <w:r>
          <w:rPr>
            <w:rFonts w:ascii="Arial" w:cs="Arial" w:eastAsia="Arial" w:hAnsi="Arial"/>
            <w:sz w:val="21"/>
            <w:szCs w:val="21"/>
            <w:u w:val="single" w:color="auto"/>
            <w:color w:val="0000EE"/>
          </w:rPr>
          <w:t>EXECUTIVE OFFICERS WHO ARE NOT DIRECTORS</w:t>
        </w:r>
      </w:hyperlink>
    </w:p>
    <w:p>
      <w:pPr>
        <w:spacing w:after="0" w:line="2" w:lineRule="exact"/>
        <w:rPr>
          <w:rFonts w:ascii="Arial" w:cs="Arial" w:eastAsia="Arial" w:hAnsi="Arial"/>
          <w:sz w:val="21"/>
          <w:szCs w:val="21"/>
          <w:u w:val="single" w:color="auto"/>
          <w:color w:val="0000EE"/>
        </w:rPr>
      </w:pPr>
    </w:p>
    <w:p>
      <w:pPr>
        <w:ind w:right="1919"/>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SECURITY OWNERSHIP OF CERTAIN BENEFICIAL OWNERS AND RELATED</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SHAREHOLDER MATTERS</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COMPENSATION DISCUSSION AND ANALYSIS</w:t>
        </w:r>
      </w:hyperlink>
    </w:p>
    <w:p>
      <w:pPr>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EXECUTIVE COMPENSATION</w:t>
        </w:r>
      </w:hyperlink>
    </w:p>
    <w:p>
      <w:pPr>
        <w:spacing w:after="0" w:line="1" w:lineRule="exact"/>
        <w:rPr>
          <w:sz w:val="20"/>
          <w:szCs w:val="20"/>
          <w:color w:val="auto"/>
        </w:rPr>
      </w:pPr>
    </w:p>
    <w:p>
      <w:pPr>
        <w:ind w:right="1159"/>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APPOINTMENT OF INDEPENDENT REGISTERED CERTIFIED PUBLIC ACCOUNTING</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FIRM</w:t>
        </w:r>
      </w:hyperlink>
    </w:p>
    <w:p>
      <w:pPr>
        <w:spacing w:after="0" w:line="1" w:lineRule="exact"/>
        <w:rPr>
          <w:sz w:val="20"/>
          <w:szCs w:val="20"/>
          <w:color w:val="auto"/>
        </w:rPr>
      </w:pPr>
    </w:p>
    <w:p>
      <w:pPr>
        <w:ind w:right="899"/>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THE APPOINTMENT OF DELOITTE &amp; TOUCHE LLP AND DELOITTE S.A. (TOGETHER</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“DELOITTE”) AS THE INDEPENDENT REGISTERED CERTIFIED PUBLIC ACCOUNTING</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FIRM FOR 2011</w:t>
        </w:r>
      </w:hyperlink>
    </w:p>
    <w:p>
      <w:pPr>
        <w:spacing w:after="0" w:line="3" w:lineRule="exact"/>
        <w:rPr>
          <w:rFonts w:ascii="Arial" w:cs="Arial" w:eastAsia="Arial" w:hAnsi="Arial"/>
          <w:sz w:val="22"/>
          <w:szCs w:val="22"/>
          <w:u w:val="single" w:color="auto"/>
          <w:color w:val="0000EE"/>
        </w:rPr>
      </w:pPr>
    </w:p>
    <w:p>
      <w:pPr>
        <w:ind w:right="899"/>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RECEIPT OF THE DIRECTORS’ REPORT (“RAPPORT DE GESTION”) ON THE</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LUXEMBOURG STATUTORY ACCOUNTS FOR THE YEAR ENDED DECEMBER 31, 2010</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THE APPROVAL AND RATIFICATION OF THE DIRECTORS’ REPORT FOR THE YEAR</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ENDED DECEMBER 31, 2010</w:t>
        </w:r>
      </w:hyperlink>
    </w:p>
    <w:p>
      <w:pPr>
        <w:spacing w:after="0" w:line="3" w:lineRule="exact"/>
        <w:rPr>
          <w:rFonts w:ascii="Arial" w:cs="Arial" w:eastAsia="Arial" w:hAnsi="Arial"/>
          <w:sz w:val="22"/>
          <w:szCs w:val="22"/>
          <w:u w:val="single" w:color="auto"/>
          <w:color w:val="0000EE"/>
        </w:rPr>
      </w:pPr>
    </w:p>
    <w:p>
      <w:pPr>
        <w:ind w:right="1019"/>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APPROVAL OF THE LUXEMBOURG STATUTORY ACCOUNTS FOR THE YEAR ENDED</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DECEMBER 31, 2010 AND ALLOCATION OF THE RESULTS OF THE YEAR ENDED</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DECEMBER 31, 2010</w:t>
        </w:r>
      </w:hyperlink>
    </w:p>
    <w:p>
      <w:pPr>
        <w:spacing w:after="0" w:line="2" w:lineRule="exact"/>
        <w:rPr>
          <w:rFonts w:ascii="Arial" w:cs="Arial" w:eastAsia="Arial" w:hAnsi="Arial"/>
          <w:sz w:val="22"/>
          <w:szCs w:val="22"/>
          <w:u w:val="single" w:color="auto"/>
          <w:color w:val="0000EE"/>
        </w:rPr>
      </w:pPr>
    </w:p>
    <w:p>
      <w:pPr>
        <w:ind w:right="679"/>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THE APPROVAL OF THE LUXEMBOURG STATUTORY ACCOUNTS FOR THE YEAR</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ENDED DECEMBER 31, 2010 AND ALLOCATION OF THE RESULTS OF THE YEAR ENDED</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DECEMBER 31, 2010</w:t>
        </w:r>
      </w:hyperlink>
    </w:p>
    <w:p>
      <w:pPr>
        <w:spacing w:after="0" w:line="3" w:lineRule="exact"/>
        <w:rPr>
          <w:rFonts w:ascii="Arial" w:cs="Arial" w:eastAsia="Arial" w:hAnsi="Arial"/>
          <w:sz w:val="22"/>
          <w:szCs w:val="22"/>
          <w:u w:val="single" w:color="auto"/>
          <w:color w:val="0000EE"/>
        </w:rPr>
      </w:pPr>
    </w:p>
    <w:p>
      <w:pPr>
        <w:jc w:val="both"/>
        <w:ind w:right="799"/>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DISCHARGE OF EACH OF THE CURRENT AND PAST DIRECTORS OF ALTISOURCE FOR</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THE PERFORMANCE OF THEIR MANDATE DURING THE YEAR ENDED DECEMBER 31,</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2010</w:t>
        </w:r>
      </w:hyperlink>
    </w:p>
    <w:p>
      <w:pPr>
        <w:spacing w:after="0" w:line="2" w:lineRule="exact"/>
        <w:rPr>
          <w:rFonts w:ascii="Arial" w:cs="Arial" w:eastAsia="Arial" w:hAnsi="Arial"/>
          <w:sz w:val="22"/>
          <w:szCs w:val="22"/>
          <w:u w:val="single" w:color="auto"/>
          <w:color w:val="0000EE"/>
        </w:rPr>
      </w:pPr>
    </w:p>
    <w:p>
      <w:pPr>
        <w:jc w:val="both"/>
        <w:ind w:right="699"/>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THE DISCHARGE OF EACH OF THE CURRENT AND PAST DIRECTORS OF ALTISOURCE</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FOR THE PERFORMANCE OF THEIR MANDATE DURING THE YEAR ENDED DECEMBER</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31, 2010</w:t>
        </w:r>
      </w:hyperlink>
    </w:p>
    <w:p>
      <w:pPr>
        <w:spacing w:after="0" w:line="3" w:lineRule="exact"/>
        <w:rPr>
          <w:rFonts w:ascii="Arial" w:cs="Arial" w:eastAsia="Arial" w:hAnsi="Arial"/>
          <w:sz w:val="22"/>
          <w:szCs w:val="22"/>
          <w:u w:val="single" w:color="auto"/>
          <w:color w:val="0000EE"/>
        </w:rPr>
      </w:pPr>
    </w:p>
    <w:p>
      <w:pPr>
        <w:ind w:right="1999"/>
        <w:spacing w:after="0" w:line="267" w:lineRule="auto"/>
        <w:rPr>
          <w:rFonts w:ascii="Arial" w:cs="Arial" w:eastAsia="Arial" w:hAnsi="Arial"/>
          <w:sz w:val="19"/>
          <w:szCs w:val="19"/>
          <w:u w:val="single" w:color="auto"/>
          <w:color w:val="0000EE"/>
        </w:rPr>
      </w:pPr>
      <w:hyperlink w:anchor="page46">
        <w:r>
          <w:rPr>
            <w:rFonts w:ascii="Arial" w:cs="Arial" w:eastAsia="Arial" w:hAnsi="Arial"/>
            <w:sz w:val="19"/>
            <w:szCs w:val="19"/>
            <w:u w:val="single" w:color="auto"/>
            <w:color w:val="0000EE"/>
          </w:rPr>
          <w:t>ADVISORY VOTE ON EXECUTIVE COMPENSATION “SAY ON PAY”</w:t>
        </w:r>
      </w:hyperlink>
      <w:r>
        <w:rPr>
          <w:rFonts w:ascii="Arial" w:cs="Arial" w:eastAsia="Arial" w:hAnsi="Arial"/>
          <w:sz w:val="19"/>
          <w:szCs w:val="19"/>
          <w:u w:val="single" w:color="auto"/>
          <w:color w:val="0000EE"/>
        </w:rPr>
        <w:t xml:space="preserve"> </w:t>
      </w:r>
      <w:hyperlink w:anchor="page47">
        <w:r>
          <w:rPr>
            <w:rFonts w:ascii="Arial" w:cs="Arial" w:eastAsia="Arial" w:hAnsi="Arial"/>
            <w:sz w:val="19"/>
            <w:szCs w:val="19"/>
            <w:u w:val="single" w:color="auto"/>
            <w:color w:val="0000EE"/>
          </w:rPr>
          <w:t>ADVISORY VOTE ON FREQUENCY OF EXECUTIVE COMPENSATION VOTE</w:t>
        </w:r>
      </w:hyperlink>
    </w:p>
    <w:p>
      <w:pPr>
        <w:ind w:right="899"/>
        <w:spacing w:after="0" w:line="230"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THE OPTION OF “EVERY THREE (3) YEARS” AS THE FREQUENCY WITH WHICH</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SHAREHOLDERS ARE PROVIDED AN ADVISORY VOTE ON THE COMPENSATION OF</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NAMED EXECUTIVE OFFICERS, AS DISCLOSED IN THIS PROXY STATEMENT</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ACCORDINGLY, SIGNED PROXIES RETURNED WITHOUT SPECIFIC VOTING</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DIRECTIONS WILL BE VOTED FOR A FREQUENCY OF THREE YEARS</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APPROVAL OF CHANGE IN DIRECTORS’ COMPENSATION</w:t>
        </w:r>
      </w:hyperlink>
    </w:p>
    <w:p>
      <w:pPr>
        <w:spacing w:after="0" w:line="5" w:lineRule="exact"/>
        <w:rPr>
          <w:rFonts w:ascii="Arial" w:cs="Arial" w:eastAsia="Arial" w:hAnsi="Arial"/>
          <w:sz w:val="22"/>
          <w:szCs w:val="22"/>
          <w:u w:val="single" w:color="auto"/>
          <w:color w:val="0000EE"/>
        </w:rPr>
      </w:pPr>
    </w:p>
    <w:p>
      <w:pPr>
        <w:ind w:right="899"/>
        <w:spacing w:after="0" w:line="230"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THE APPROVAL OF A CHANGE IN DIRECTORS’ COMPENSATION</w:t>
        </w:r>
      </w:hyperlink>
    </w:p>
    <w:p>
      <w:pPr>
        <w:spacing w:after="0" w:line="231" w:lineRule="auto"/>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BUSINESS RELATIONSHIPS AND RELATED PARTY TRANSACTIONS</w:t>
        </w:r>
      </w:hyperlink>
    </w:p>
    <w:p>
      <w:pPr>
        <w:spacing w:after="0" w:line="231" w:lineRule="auto"/>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SHAREHOLDER PROPOSALS</w:t>
        </w:r>
      </w:hyperlink>
    </w:p>
    <w:p>
      <w:pPr>
        <w:spacing w:after="0" w:line="231"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ANNUAL REPORTS</w:t>
        </w:r>
      </w:hyperlink>
    </w:p>
    <w:p>
      <w:pPr>
        <w:spacing w:after="0"/>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OTHER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130810</wp:posOffset>
            </wp:positionV>
            <wp:extent cx="61785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8550" cy="21590"/>
                    </a:xfrm>
                    <a:prstGeom prst="rect">
                      <a:avLst/>
                    </a:prstGeom>
                    <a:noFill/>
                  </pic:spPr>
                </pic:pic>
              </a:graphicData>
            </a:graphic>
          </wp:anchor>
        </w:drawing>
      </w:r>
    </w:p>
    <w:p>
      <w:pPr>
        <w:sectPr>
          <w:pgSz w:w="11900" w:h="16838" w:orient="portrait"/>
          <w:cols w:equalWidth="0" w:num="1">
            <w:col w:w="9399"/>
          </w:cols>
          <w:pgMar w:left="106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205740</wp:posOffset>
            </wp:positionV>
            <wp:extent cx="151765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April __,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85" w:lineRule="exact"/>
        <w:rPr>
          <w:sz w:val="20"/>
          <w:szCs w:val="20"/>
          <w:color w:val="auto"/>
        </w:rPr>
      </w:pPr>
    </w:p>
    <w:p>
      <w:pPr>
        <w:ind w:right="159"/>
        <w:spacing w:after="0" w:line="259" w:lineRule="auto"/>
        <w:rPr>
          <w:sz w:val="20"/>
          <w:szCs w:val="20"/>
          <w:color w:val="auto"/>
        </w:rPr>
      </w:pPr>
      <w:r>
        <w:rPr>
          <w:rFonts w:ascii="Arial" w:cs="Arial" w:eastAsia="Arial" w:hAnsi="Arial"/>
          <w:sz w:val="18"/>
          <w:szCs w:val="18"/>
          <w:color w:val="auto"/>
        </w:rPr>
        <w:t>On behalf of the Board of Directors, we cordially invite you to attend the Annual Meeting of Shareholders of Altisource Portfolio Solutions S.A. which will be held at the offices of the Company located at 291, route d’Arlon, L-1150 Luxembourg City, Grand Duchy of Luxembourg on Wednesday, May 18, 2011, at 9:00 a.m., Central European Time. The matters to be considered by shareholders at the Annual Meeting are described in detail in the accompanying materials.</w:t>
      </w:r>
    </w:p>
    <w:p>
      <w:pPr>
        <w:spacing w:after="0" w:line="160" w:lineRule="exact"/>
        <w:rPr>
          <w:sz w:val="20"/>
          <w:szCs w:val="20"/>
          <w:color w:val="auto"/>
        </w:rPr>
      </w:pPr>
    </w:p>
    <w:p>
      <w:pPr>
        <w:ind w:right="199"/>
        <w:spacing w:after="0" w:line="259"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the Annual Meeting in person. We urge you to complete your proxy card in one of the manners described in the accompanying materials even if you plan to attend the Annual Meeting. This will not prevent you from voting in person but will ensure that your vote is counted if you are unable to attend.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Your support of and interest in Altisource Portfolio Solutions S.A. is sincerely appreciated.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William B. Shepro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291, route d’Arlon</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L-1150 Luxembourg City</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R.C.S. Luxembourg B. 72.391</w:t>
      </w:r>
    </w:p>
    <w:p>
      <w:pPr>
        <w:spacing w:after="0" w:line="180" w:lineRule="exact"/>
        <w:rPr>
          <w:sz w:val="20"/>
          <w:szCs w:val="20"/>
          <w:color w:val="auto"/>
        </w:rPr>
      </w:pPr>
    </w:p>
    <w:p>
      <w:pPr>
        <w:jc w:val="center"/>
        <w:ind w:left="720" w:right="128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18, 2011</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NOTICE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221" w:lineRule="exact"/>
        <w:rPr>
          <w:sz w:val="20"/>
          <w:szCs w:val="20"/>
          <w:color w:val="auto"/>
        </w:rPr>
      </w:pPr>
    </w:p>
    <w:p>
      <w:pPr>
        <w:ind w:left="740"/>
        <w:spacing w:after="0"/>
        <w:tabs>
          <w:tab w:leader="none" w:pos="18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18, 2011</w:t>
      </w:r>
    </w:p>
    <w:p>
      <w:pPr>
        <w:spacing w:after="0" w:line="225" w:lineRule="exact"/>
        <w:rPr>
          <w:sz w:val="20"/>
          <w:szCs w:val="20"/>
          <w:color w:val="auto"/>
        </w:rPr>
      </w:pPr>
    </w:p>
    <w:p>
      <w:pPr>
        <w:ind w:left="740"/>
        <w:spacing w:after="0"/>
        <w:tabs>
          <w:tab w:leader="none" w:pos="188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225" w:lineRule="exact"/>
        <w:rPr>
          <w:sz w:val="20"/>
          <w:szCs w:val="20"/>
          <w:color w:val="auto"/>
        </w:rPr>
      </w:pPr>
    </w:p>
    <w:p>
      <w:pPr>
        <w:ind w:left="740"/>
        <w:spacing w:after="0"/>
        <w:tabs>
          <w:tab w:leader="none" w:pos="18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2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Grand Duchy of Luxembourg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PURPOSE</w:t>
      </w:r>
    </w:p>
    <w:p>
      <w:pPr>
        <w:spacing w:after="0" w:line="189" w:lineRule="exact"/>
        <w:rPr>
          <w:sz w:val="20"/>
          <w:szCs w:val="20"/>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elect five (5) Directors for a one (1) year term and/or until their successors are elected and qualified;</w:t>
      </w:r>
    </w:p>
    <w:p>
      <w:pPr>
        <w:spacing w:after="0" w:line="184" w:lineRule="exact"/>
        <w:rPr>
          <w:rFonts w:ascii="Arial" w:cs="Arial" w:eastAsia="Arial" w:hAnsi="Arial"/>
          <w:sz w:val="18"/>
          <w:szCs w:val="18"/>
          <w:b w:val="1"/>
          <w:bCs w:val="1"/>
          <w:color w:val="auto"/>
        </w:rPr>
      </w:pPr>
    </w:p>
    <w:p>
      <w:pPr>
        <w:ind w:left="1080" w:right="399" w:hanging="370"/>
        <w:spacing w:after="0" w:line="264"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ratify the appointment by the Audit Committee of our Board of Directors of Deloitte &amp; Touche LLP and Deloitte S.A. (together “Deloitte”) to be our independent registered certified public accounting firm for the year ending December 31, 2011;</w:t>
      </w:r>
    </w:p>
    <w:p>
      <w:pPr>
        <w:spacing w:after="0" w:line="154" w:lineRule="exact"/>
        <w:rPr>
          <w:rFonts w:ascii="Arial" w:cs="Arial" w:eastAsia="Arial" w:hAnsi="Arial"/>
          <w:sz w:val="18"/>
          <w:szCs w:val="18"/>
          <w:b w:val="1"/>
          <w:bCs w:val="1"/>
          <w:color w:val="auto"/>
        </w:rPr>
      </w:pPr>
    </w:p>
    <w:p>
      <w:pPr>
        <w:ind w:left="1080" w:right="1119" w:hanging="370"/>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To receive the Directors’ report on the Luxembourg statutory accounts </w:t>
      </w:r>
      <w:r>
        <w:rPr>
          <w:rFonts w:ascii="Arial" w:cs="Arial" w:eastAsia="Arial" w:hAnsi="Arial"/>
          <w:sz w:val="18"/>
          <w:szCs w:val="18"/>
          <w:i w:val="1"/>
          <w:iCs w:val="1"/>
          <w:color w:val="auto"/>
        </w:rPr>
        <w:t>(“Directors Report”)</w:t>
      </w:r>
      <w:r>
        <w:rPr>
          <w:rFonts w:ascii="Arial" w:cs="Arial" w:eastAsia="Arial" w:hAnsi="Arial"/>
          <w:sz w:val="18"/>
          <w:szCs w:val="18"/>
          <w:color w:val="auto"/>
        </w:rPr>
        <w:t xml:space="preserve"> for the year ended December 31, 2010;</w:t>
      </w:r>
    </w:p>
    <w:p>
      <w:pPr>
        <w:spacing w:after="0" w:line="129" w:lineRule="exact"/>
        <w:rPr>
          <w:rFonts w:ascii="Arial" w:cs="Arial" w:eastAsia="Arial" w:hAnsi="Arial"/>
          <w:sz w:val="18"/>
          <w:szCs w:val="18"/>
          <w:b w:val="1"/>
          <w:bCs w:val="1"/>
          <w:color w:val="auto"/>
        </w:rPr>
      </w:pPr>
    </w:p>
    <w:p>
      <w:pPr>
        <w:ind w:left="1080" w:right="319" w:hanging="370"/>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To approve the Luxembourg statutory accounts for the year ended December 31, 2010 </w:t>
      </w:r>
      <w:r>
        <w:rPr>
          <w:rFonts w:ascii="Arial" w:cs="Arial" w:eastAsia="Arial" w:hAnsi="Arial"/>
          <w:sz w:val="18"/>
          <w:szCs w:val="18"/>
          <w:i w:val="1"/>
          <w:iCs w:val="1"/>
          <w:color w:val="auto"/>
        </w:rPr>
        <w:t>(“Annual Statutory Accounts”)</w:t>
      </w:r>
      <w:r>
        <w:rPr>
          <w:rFonts w:ascii="Arial" w:cs="Arial" w:eastAsia="Arial" w:hAnsi="Arial"/>
          <w:sz w:val="18"/>
          <w:szCs w:val="18"/>
          <w:color w:val="auto"/>
        </w:rPr>
        <w:t xml:space="preserve"> and to allocate the results of the year ended December 31, 2010;</w:t>
      </w:r>
    </w:p>
    <w:p>
      <w:pPr>
        <w:spacing w:after="0" w:line="129" w:lineRule="exact"/>
        <w:rPr>
          <w:rFonts w:ascii="Arial" w:cs="Arial" w:eastAsia="Arial" w:hAnsi="Arial"/>
          <w:sz w:val="18"/>
          <w:szCs w:val="18"/>
          <w:b w:val="1"/>
          <w:bCs w:val="1"/>
          <w:color w:val="auto"/>
        </w:rPr>
      </w:pPr>
    </w:p>
    <w:p>
      <w:pPr>
        <w:ind w:left="1080" w:right="659" w:hanging="370"/>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discharge each of the current and past Directors of Altisource Portfolio Solutions S.A. for the performance of their mandate during the year ended December 31, 2010;</w:t>
      </w:r>
    </w:p>
    <w:p>
      <w:pPr>
        <w:spacing w:after="0" w:line="143" w:lineRule="exact"/>
        <w:rPr>
          <w:rFonts w:ascii="Arial" w:cs="Arial" w:eastAsia="Arial" w:hAnsi="Arial"/>
          <w:sz w:val="18"/>
          <w:szCs w:val="18"/>
          <w:b w:val="1"/>
          <w:bCs w:val="1"/>
          <w:color w:val="auto"/>
        </w:rPr>
      </w:pPr>
    </w:p>
    <w:p>
      <w:pPr>
        <w:ind w:left="1080" w:right="299" w:hanging="370"/>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on an advisory (non-binding) basis, the compensation of Altisource’s named executive officers as disclosed in the Proxy Statement (“Say-on-Pay”);</w:t>
      </w:r>
    </w:p>
    <w:p>
      <w:pPr>
        <w:spacing w:after="0" w:line="129" w:lineRule="exact"/>
        <w:rPr>
          <w:rFonts w:ascii="Arial" w:cs="Arial" w:eastAsia="Arial" w:hAnsi="Arial"/>
          <w:sz w:val="18"/>
          <w:szCs w:val="18"/>
          <w:b w:val="1"/>
          <w:bCs w:val="1"/>
          <w:color w:val="auto"/>
        </w:rPr>
      </w:pPr>
    </w:p>
    <w:p>
      <w:pPr>
        <w:ind w:left="1080" w:right="459" w:hanging="370"/>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hold an advisory vote as to the frequency that an advisory vote on executive compensation should be presented to the shareholders;</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a change in our Directors’ compensation; and</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To transact such other business as may properly come before the meeting and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654685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PROCEDURES</w:t>
      </w:r>
    </w:p>
    <w:p>
      <w:pPr>
        <w:spacing w:after="0" w:line="202" w:lineRule="exact"/>
        <w:rPr>
          <w:sz w:val="20"/>
          <w:szCs w:val="20"/>
          <w:color w:val="auto"/>
        </w:rPr>
      </w:pPr>
    </w:p>
    <w:p>
      <w:pPr>
        <w:ind w:left="1080" w:right="29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Board of Directors has fixed March 15, 2011 as the record date for the determination of shareholders entitled to notice of and to vote at the Annual Meeting.</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184" w:lineRule="exact"/>
        <w:rPr>
          <w:rFonts w:ascii="Arial" w:cs="Arial" w:eastAsia="Arial" w:hAnsi="Arial"/>
          <w:sz w:val="18"/>
          <w:szCs w:val="18"/>
          <w:b w:val="1"/>
          <w:bCs w:val="1"/>
          <w:color w:val="auto"/>
        </w:rPr>
      </w:pPr>
    </w:p>
    <w:p>
      <w:pPr>
        <w:ind w:left="1080" w:right="259" w:hanging="370"/>
        <w:spacing w:after="0" w:line="276" w:lineRule="auto"/>
        <w:tabs>
          <w:tab w:leader="none" w:pos="10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 xml:space="preserve">The proxy statement for our 2011 Annual Meeting of Shareholders and our annual report to shareholders on Form 10-K for the year ended December 31, 2010 are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under Investor Relations. Additionally, and in accordance with Securities and Exchange Commission rules, you may access our proxy statement at </w:t>
      </w:r>
      <w:r>
        <w:rPr>
          <w:rFonts w:ascii="Arial" w:cs="Arial" w:eastAsia="Arial" w:hAnsi="Arial"/>
          <w:sz w:val="17"/>
          <w:szCs w:val="17"/>
          <w:u w:val="single" w:color="auto"/>
          <w:color w:val="auto"/>
        </w:rPr>
        <w:t>http://www.proxyvote.com</w:t>
      </w:r>
      <w:r>
        <w:rPr>
          <w:rFonts w:ascii="Arial" w:cs="Arial" w:eastAsia="Arial" w:hAnsi="Arial"/>
          <w:sz w:val="17"/>
          <w:szCs w:val="17"/>
          <w:color w:val="auto"/>
        </w:rPr>
        <w:t>, a website that does not identify or track visitors of the site, by entering the 12 digit Control Number found on your Beneficial Notice Card or on your Proxy Card in the space provided.</w:t>
      </w:r>
    </w:p>
    <w:p>
      <w:pPr>
        <w:spacing w:after="0" w:line="145" w:lineRule="exact"/>
        <w:rPr>
          <w:rFonts w:ascii="Arial" w:cs="Arial" w:eastAsia="Arial" w:hAnsi="Arial"/>
          <w:sz w:val="17"/>
          <w:szCs w:val="17"/>
          <w:b w:val="1"/>
          <w:bCs w:val="1"/>
          <w:color w:val="auto"/>
        </w:rPr>
      </w:pPr>
    </w:p>
    <w:p>
      <w:pPr>
        <w:ind w:left="1080" w:right="19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Directors’ Report and the draft Annual Statutory Accounts are available for inspection at Altisource Portfolio Solutions S.A.’s registered office.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Kevin J. Wilcox</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___, 2011</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PROXY STATEMENT</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ANNUAL MEETING OF SHAREHOLDERS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Information</w:t>
      </w:r>
    </w:p>
    <w:p>
      <w:pPr>
        <w:spacing w:after="0" w:line="202" w:lineRule="exact"/>
        <w:rPr>
          <w:sz w:val="20"/>
          <w:szCs w:val="20"/>
          <w:color w:val="auto"/>
        </w:rPr>
      </w:pPr>
    </w:p>
    <w:p>
      <w:pPr>
        <w:ind w:left="340" w:right="219"/>
        <w:spacing w:after="0" w:line="257" w:lineRule="auto"/>
        <w:rPr>
          <w:sz w:val="20"/>
          <w:szCs w:val="20"/>
          <w:color w:val="auto"/>
        </w:rPr>
      </w:pPr>
      <w:r>
        <w:rPr>
          <w:rFonts w:ascii="Arial" w:cs="Arial" w:eastAsia="Arial" w:hAnsi="Arial"/>
          <w:sz w:val="18"/>
          <w:szCs w:val="18"/>
          <w:color w:val="auto"/>
        </w:rPr>
        <w:t>We have made this proxy statement available to you on or about April ___, 2011 as a holder of Common Stock of Altisource Portfolio Solutions S.A. because our Board of Directors is soliciting your proxy to be used at our Annual Meeting of Shareholders (the “Annual Meeting”) and at any adjournment of this meeting. The Annual Meeting will be held at our offices located at 291, route d’Arlon, L-1150 Luxembourg City, Grand Duchy of Luxembourg on Wednesday, May 18, 2011, at 9:00 a.m., Central European Time for the purposes listed in the Notice of Annual Meeting of Shareholders.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a Proxy Works</w:t>
      </w:r>
    </w:p>
    <w:p>
      <w:pPr>
        <w:spacing w:after="0" w:line="189" w:lineRule="exact"/>
        <w:rPr>
          <w:sz w:val="20"/>
          <w:szCs w:val="20"/>
          <w:color w:val="auto"/>
        </w:rPr>
      </w:pPr>
    </w:p>
    <w:p>
      <w:pPr>
        <w:jc w:val="both"/>
        <w:ind w:left="340" w:right="359"/>
        <w:spacing w:after="0" w:line="286" w:lineRule="auto"/>
        <w:rPr>
          <w:sz w:val="20"/>
          <w:szCs w:val="20"/>
          <w:color w:val="auto"/>
        </w:rPr>
      </w:pPr>
      <w:r>
        <w:rPr>
          <w:rFonts w:ascii="Arial" w:cs="Arial" w:eastAsia="Arial" w:hAnsi="Arial"/>
          <w:sz w:val="17"/>
          <w:szCs w:val="17"/>
          <w:color w:val="auto"/>
        </w:rPr>
        <w:t>If you properly complete, sign and return your proxy to Altisource Portfolio Solutions S.A. (“Altisource” or the “Company”) and do not revoke it prior to its use, it will be voted in accordance with your instructions. If no contrary instructions are given, other than as discussed below with respect to broker “non-votes”, each proxy received will be voted:</w:t>
      </w:r>
    </w:p>
    <w:p>
      <w:pPr>
        <w:spacing w:after="0" w:line="139" w:lineRule="exact"/>
        <w:rPr>
          <w:sz w:val="20"/>
          <w:szCs w:val="20"/>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each of the nominees for Director;</w:t>
      </w:r>
    </w:p>
    <w:p>
      <w:pPr>
        <w:spacing w:after="0" w:line="184" w:lineRule="exact"/>
        <w:rPr>
          <w:rFonts w:ascii="Arial" w:cs="Arial" w:eastAsia="Arial" w:hAnsi="Arial"/>
          <w:sz w:val="18"/>
          <w:szCs w:val="18"/>
          <w:b w:val="1"/>
          <w:bCs w:val="1"/>
          <w:color w:val="auto"/>
        </w:rPr>
      </w:pPr>
    </w:p>
    <w:p>
      <w:pPr>
        <w:ind w:left="1080" w:right="25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ratification of the appointment of Deloitte &amp; Touche LLP and Deloitte S.A. (together “Deloitte”), to be our independent registered certified public accounting firm for 2011;</w:t>
      </w:r>
    </w:p>
    <w:p>
      <w:pPr>
        <w:spacing w:after="0" w:line="129" w:lineRule="exact"/>
        <w:rPr>
          <w:rFonts w:ascii="Arial" w:cs="Arial" w:eastAsia="Arial" w:hAnsi="Arial"/>
          <w:sz w:val="18"/>
          <w:szCs w:val="18"/>
          <w:b w:val="1"/>
          <w:bCs w:val="1"/>
          <w:color w:val="auto"/>
        </w:rPr>
      </w:pPr>
    </w:p>
    <w:p>
      <w:pPr>
        <w:ind w:left="1080" w:right="71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approval of the Directors’ report (“</w:t>
      </w:r>
      <w:r>
        <w:rPr>
          <w:rFonts w:ascii="Arial" w:cs="Arial" w:eastAsia="Arial" w:hAnsi="Arial"/>
          <w:sz w:val="18"/>
          <w:szCs w:val="18"/>
          <w:i w:val="1"/>
          <w:iCs w:val="1"/>
          <w:color w:val="auto"/>
        </w:rPr>
        <w:t>rapport de gestion</w:t>
      </w:r>
      <w:r>
        <w:rPr>
          <w:rFonts w:ascii="Arial" w:cs="Arial" w:eastAsia="Arial" w:hAnsi="Arial"/>
          <w:sz w:val="18"/>
          <w:szCs w:val="18"/>
          <w:color w:val="auto"/>
        </w:rPr>
        <w:t>”) on the Luxembourg statutory accounts for the year ended December 31, 2010;</w:t>
      </w:r>
    </w:p>
    <w:p>
      <w:pPr>
        <w:spacing w:after="0" w:line="143" w:lineRule="exact"/>
        <w:rPr>
          <w:rFonts w:ascii="Arial" w:cs="Arial" w:eastAsia="Arial" w:hAnsi="Arial"/>
          <w:sz w:val="18"/>
          <w:szCs w:val="18"/>
          <w:b w:val="1"/>
          <w:bCs w:val="1"/>
          <w:color w:val="auto"/>
        </w:rPr>
      </w:pPr>
    </w:p>
    <w:p>
      <w:pPr>
        <w:ind w:left="1080" w:right="31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approval of the Luxembourg statutory accounts for the year ended December 31, 2010 and to allocate the results of the year ended December 31, 2010;</w:t>
      </w:r>
    </w:p>
    <w:p>
      <w:pPr>
        <w:spacing w:after="0" w:line="129" w:lineRule="exact"/>
        <w:rPr>
          <w:rFonts w:ascii="Arial" w:cs="Arial" w:eastAsia="Arial" w:hAnsi="Arial"/>
          <w:sz w:val="18"/>
          <w:szCs w:val="18"/>
          <w:b w:val="1"/>
          <w:bCs w:val="1"/>
          <w:color w:val="auto"/>
        </w:rPr>
      </w:pPr>
    </w:p>
    <w:p>
      <w:pPr>
        <w:ind w:left="1080" w:right="41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approval of the discharge of each of the current and past Directors of Altisource for the performance of their mandate during the year ended December 31, 2010;</w:t>
      </w:r>
    </w:p>
    <w:p>
      <w:pPr>
        <w:spacing w:after="0" w:line="129" w:lineRule="exact"/>
        <w:rPr>
          <w:rFonts w:ascii="Arial" w:cs="Arial" w:eastAsia="Arial" w:hAnsi="Arial"/>
          <w:sz w:val="18"/>
          <w:szCs w:val="18"/>
          <w:b w:val="1"/>
          <w:bCs w:val="1"/>
          <w:color w:val="auto"/>
        </w:rPr>
      </w:pPr>
    </w:p>
    <w:p>
      <w:pPr>
        <w:ind w:left="1080" w:right="33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approval, on an advisory basis, of the compensation of Altisource’s named executive officers as disclosed in the Proxy Statement (“Say-on-Pay”);</w:t>
      </w:r>
    </w:p>
    <w:p>
      <w:pPr>
        <w:spacing w:after="0" w:line="143" w:lineRule="exact"/>
        <w:rPr>
          <w:rFonts w:ascii="Arial" w:cs="Arial" w:eastAsia="Arial" w:hAnsi="Arial"/>
          <w:sz w:val="18"/>
          <w:szCs w:val="18"/>
          <w:b w:val="1"/>
          <w:bCs w:val="1"/>
          <w:color w:val="auto"/>
        </w:rPr>
      </w:pPr>
    </w:p>
    <w:p>
      <w:pPr>
        <w:ind w:left="1080" w:right="73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every three years to be the frequency that an advisory vote on executive compensation should be presented to the shareholders;</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approval of a change in our Directors’ compensation; and</w:t>
      </w:r>
    </w:p>
    <w:p>
      <w:pPr>
        <w:spacing w:after="0" w:line="184" w:lineRule="exact"/>
        <w:rPr>
          <w:rFonts w:ascii="Arial" w:cs="Arial" w:eastAsia="Arial" w:hAnsi="Arial"/>
          <w:sz w:val="18"/>
          <w:szCs w:val="18"/>
          <w:b w:val="1"/>
          <w:bCs w:val="1"/>
          <w:color w:val="auto"/>
        </w:rPr>
      </w:pPr>
    </w:p>
    <w:p>
      <w:pPr>
        <w:ind w:left="1080" w:right="67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with regard to any other business that properly comes before the meeting in accordance with the best judgment of the persons appointed as proxies.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to Revoke a Proxy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Your proxy may be used only at the Annual Meeting and any adjournment of this meeting and will not be used for any other meeting.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have the power to revoke your proxy at any time before it is exercised by:</w:t>
      </w:r>
    </w:p>
    <w:p>
      <w:pPr>
        <w:spacing w:after="0" w:line="170" w:lineRule="exact"/>
        <w:rPr>
          <w:sz w:val="20"/>
          <w:szCs w:val="20"/>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filing written notice with our Corporate Secretary at the following address:</w:t>
      </w:r>
    </w:p>
    <w:p>
      <w:pPr>
        <w:spacing w:after="0" w:line="19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Kevin J. Wilcox, Corporate Secretary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Altisource Portfolio Solutions S.A.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Grand Duchy of Luxembourg</w:t>
      </w:r>
    </w:p>
    <w:p>
      <w:pPr>
        <w:spacing w:after="0" w:line="200" w:lineRule="exact"/>
        <w:rPr>
          <w:sz w:val="20"/>
          <w:szCs w:val="20"/>
          <w:color w:val="auto"/>
        </w:rPr>
      </w:pPr>
    </w:p>
    <w:p>
      <w:pPr>
        <w:spacing w:after="0" w:line="3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370"/>
        <w:spacing w:after="0"/>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submitting a properly executed proxy bearing a later date; or</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appearing at the Annual Meeting and giving the Corporate Secretary notice of your intention to vote in person.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Who May Vote</w:t>
      </w:r>
    </w:p>
    <w:p>
      <w:pPr>
        <w:spacing w:after="0" w:line="189" w:lineRule="exact"/>
        <w:rPr>
          <w:sz w:val="20"/>
          <w:szCs w:val="20"/>
          <w:color w:val="auto"/>
        </w:rPr>
      </w:pPr>
    </w:p>
    <w:p>
      <w:pPr>
        <w:ind w:left="340" w:right="159"/>
        <w:spacing w:after="0" w:line="257" w:lineRule="auto"/>
        <w:rPr>
          <w:sz w:val="20"/>
          <w:szCs w:val="20"/>
          <w:color w:val="auto"/>
        </w:rPr>
      </w:pPr>
      <w:r>
        <w:rPr>
          <w:rFonts w:ascii="Arial" w:cs="Arial" w:eastAsia="Arial" w:hAnsi="Arial"/>
          <w:sz w:val="18"/>
          <w:szCs w:val="18"/>
          <w:color w:val="auto"/>
        </w:rPr>
        <w:t>You are entitled to vote at the Annual Meeting or any adjournment of the Annual Meeting if you are a holder of record of our Common Stock at the close of business on March 15, 2011. At the close of business on March 15, 2011, there were 24,864,200 shares of Common Stock issued, outstanding and able to be voted and no other class of equity securities outstanding. Each share of our Common Stock is entitled to one (1) vote at the Annual Meeting on all matters properly presented. Abstentions and broker “non-votes” will be treated as present for purposes of a quorum.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Quorum and Voting Information</w:t>
      </w:r>
    </w:p>
    <w:p>
      <w:pPr>
        <w:spacing w:after="0" w:line="189" w:lineRule="exact"/>
        <w:rPr>
          <w:sz w:val="20"/>
          <w:szCs w:val="20"/>
          <w:color w:val="auto"/>
        </w:rPr>
      </w:pPr>
    </w:p>
    <w:p>
      <w:pPr>
        <w:ind w:left="340" w:right="399"/>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130" w:lineRule="exact"/>
        <w:rPr>
          <w:sz w:val="20"/>
          <w:szCs w:val="20"/>
          <w:color w:val="auto"/>
        </w:rPr>
      </w:pPr>
    </w:p>
    <w:p>
      <w:pPr>
        <w:ind w:left="340" w:right="219"/>
        <w:spacing w:after="0" w:line="287" w:lineRule="auto"/>
        <w:rPr>
          <w:sz w:val="20"/>
          <w:szCs w:val="20"/>
          <w:color w:val="auto"/>
        </w:rPr>
      </w:pPr>
      <w:r>
        <w:rPr>
          <w:rFonts w:ascii="Arial" w:cs="Arial" w:eastAsia="Arial" w:hAnsi="Arial"/>
          <w:sz w:val="16"/>
          <w:szCs w:val="16"/>
          <w:color w:val="auto"/>
        </w:rPr>
        <w:t>Assuming a quorum, the five (5) nominees for Director will be elected as Directors of Altisource so long as the votes cast in favor of each such person exceed the votes cast to withhold authority for such person. You may vote in favor of or withhold authority to vote for one (1) or more nominees for Director. The proposal to approve the appointment of Deloitte &amp; Touche LLP (“Deloitte”), to be our independent registered certified public accounting firm for 2011, the proposal to approve the Directors’ report (“</w:t>
      </w:r>
      <w:r>
        <w:rPr>
          <w:rFonts w:ascii="Arial" w:cs="Arial" w:eastAsia="Arial" w:hAnsi="Arial"/>
          <w:sz w:val="16"/>
          <w:szCs w:val="16"/>
          <w:i w:val="1"/>
          <w:iCs w:val="1"/>
          <w:color w:val="auto"/>
        </w:rPr>
        <w:t>rapport de gestion</w:t>
      </w:r>
      <w:r>
        <w:rPr>
          <w:rFonts w:ascii="Arial" w:cs="Arial" w:eastAsia="Arial" w:hAnsi="Arial"/>
          <w:sz w:val="16"/>
          <w:szCs w:val="16"/>
          <w:color w:val="auto"/>
        </w:rPr>
        <w:t>”) on the Luxembourg statutory accounts for the year ended December 31, 2010, the proposal to approve the Luxembourg statutory accounts for the year ended December 31, 2010 and to allocate the results of the year ended December 31, 2010, the proposal to approve the discharge of each of the current and past Directors of Altisource for the performance of their mandate during the year ended December 31, 2010, the advisory vote to approve the compensation of Altisource’s named executive officers as disclosed in the Proxy Statement (Say-on-Pay), the proposal to approve the change in Directors’ compensation and any other matter properly submitted for your consideration at the Annual Meeting (other than the election of Directors), will be approved if the votes cast in favor of the action exceed the votes cast opposing the action. The advisory vote on the frequency that an advisory vote on executive compensation should be presented to the shareholders will be determined based on the frequency that receives the most votes.</w:t>
      </w:r>
    </w:p>
    <w:p>
      <w:pPr>
        <w:spacing w:after="0" w:line="142" w:lineRule="exact"/>
        <w:rPr>
          <w:sz w:val="20"/>
          <w:szCs w:val="20"/>
          <w:color w:val="auto"/>
        </w:rPr>
      </w:pPr>
    </w:p>
    <w:p>
      <w:pPr>
        <w:ind w:left="340" w:right="339"/>
        <w:spacing w:after="0" w:line="286" w:lineRule="auto"/>
        <w:rPr>
          <w:sz w:val="20"/>
          <w:szCs w:val="20"/>
          <w:color w:val="auto"/>
        </w:rPr>
      </w:pPr>
      <w:r>
        <w:rPr>
          <w:rFonts w:ascii="Arial" w:cs="Arial" w:eastAsia="Arial" w:hAnsi="Arial"/>
          <w:sz w:val="17"/>
          <w:szCs w:val="17"/>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NASDAQ Stock Market precludes brokers from giving a proxy to vote on non-routine items.</w:t>
      </w:r>
    </w:p>
    <w:p>
      <w:pPr>
        <w:spacing w:after="0" w:line="125" w:lineRule="exact"/>
        <w:rPr>
          <w:sz w:val="20"/>
          <w:szCs w:val="20"/>
          <w:color w:val="auto"/>
        </w:rPr>
      </w:pPr>
    </w:p>
    <w:p>
      <w:pPr>
        <w:ind w:left="340" w:right="799"/>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votes resulting from the Say on Pay and Frequency proposals, the final votes will not be binding on us and are advisory in nature.</w:t>
      </w:r>
    </w:p>
    <w:p>
      <w:pPr>
        <w:spacing w:after="0" w:line="130" w:lineRule="exact"/>
        <w:rPr>
          <w:sz w:val="20"/>
          <w:szCs w:val="20"/>
          <w:color w:val="auto"/>
        </w:rPr>
      </w:pPr>
    </w:p>
    <w:p>
      <w:pPr>
        <w:ind w:left="340" w:right="239"/>
        <w:spacing w:after="0" w:line="276" w:lineRule="auto"/>
        <w:rPr>
          <w:sz w:val="20"/>
          <w:szCs w:val="20"/>
          <w:color w:val="auto"/>
        </w:rPr>
      </w:pPr>
      <w:r>
        <w:rPr>
          <w:rFonts w:ascii="Arial" w:cs="Arial" w:eastAsia="Arial" w:hAnsi="Arial"/>
          <w:sz w:val="17"/>
          <w:szCs w:val="17"/>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 Please contact your bank or brokerage firm for further information.</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One)</w:t>
      </w:r>
    </w:p>
    <w:p>
      <w:pPr>
        <w:spacing w:after="0" w:line="184" w:lineRule="exact"/>
        <w:rPr>
          <w:sz w:val="20"/>
          <w:szCs w:val="20"/>
          <w:color w:val="auto"/>
        </w:rPr>
      </w:pPr>
    </w:p>
    <w:p>
      <w:pPr>
        <w:ind w:left="340" w:right="879"/>
        <w:spacing w:after="0" w:line="277" w:lineRule="auto"/>
        <w:rPr>
          <w:sz w:val="20"/>
          <w:szCs w:val="20"/>
          <w:color w:val="auto"/>
        </w:rPr>
      </w:pPr>
      <w:r>
        <w:rPr>
          <w:rFonts w:ascii="Arial" w:cs="Arial" w:eastAsia="Arial" w:hAnsi="Arial"/>
          <w:sz w:val="18"/>
          <w:szCs w:val="18"/>
          <w:color w:val="auto"/>
        </w:rPr>
        <w:t>Our Articles of Association provide that our Board of Directors shall consist of no less than three (3) and no more than seven (7) members with the exact number to be fixed by our Board of Directors.</w:t>
      </w:r>
    </w:p>
    <w:p>
      <w:pPr>
        <w:spacing w:after="0" w:line="130" w:lineRule="exact"/>
        <w:rPr>
          <w:sz w:val="20"/>
          <w:szCs w:val="20"/>
          <w:color w:val="auto"/>
        </w:rPr>
      </w:pPr>
    </w:p>
    <w:p>
      <w:pPr>
        <w:ind w:left="340" w:right="179"/>
        <w:spacing w:after="0" w:line="264" w:lineRule="auto"/>
        <w:rPr>
          <w:sz w:val="20"/>
          <w:szCs w:val="20"/>
          <w:color w:val="auto"/>
        </w:rPr>
      </w:pPr>
      <w:r>
        <w:rPr>
          <w:rFonts w:ascii="Arial" w:cs="Arial" w:eastAsia="Arial" w:hAnsi="Arial"/>
          <w:sz w:val="18"/>
          <w:szCs w:val="18"/>
          <w:color w:val="auto"/>
        </w:rPr>
        <w:t>We will propose the five (5) nominees listed below for election as Directors at the Annual Meeting. All nominees other than Mr. Linn currently serve as our Directors. There are no arrangements or understandings between any nominee and any other person for selection as a nominee.</w:t>
      </w:r>
    </w:p>
    <w:p>
      <w:pPr>
        <w:spacing w:after="0" w:line="141" w:lineRule="exact"/>
        <w:rPr>
          <w:sz w:val="20"/>
          <w:szCs w:val="20"/>
          <w:color w:val="auto"/>
        </w:rPr>
      </w:pPr>
    </w:p>
    <w:p>
      <w:pPr>
        <w:ind w:left="340" w:right="519"/>
        <w:spacing w:after="0" w:line="312" w:lineRule="auto"/>
        <w:rPr>
          <w:sz w:val="20"/>
          <w:szCs w:val="20"/>
          <w:color w:val="auto"/>
        </w:rPr>
      </w:pPr>
      <w:r>
        <w:rPr>
          <w:rFonts w:ascii="Arial" w:cs="Arial" w:eastAsia="Arial" w:hAnsi="Arial"/>
          <w:sz w:val="16"/>
          <w:szCs w:val="16"/>
          <w:color w:val="auto"/>
        </w:rPr>
        <w:t>If any nominee is unable or unwilling to stand for election at the time of the Annual Meeting,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Nominees for Director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concerning our nominees for Director:</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Nomination/</w:t>
            </w:r>
          </w:p>
        </w:tc>
      </w:tr>
      <w:tr>
        <w:trPr>
          <w:trHeight w:val="216"/>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Director</w:t>
            </w: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Executive</w:t>
            </w:r>
          </w:p>
        </w:tc>
        <w:tc>
          <w:tcPr>
            <w:tcW w:w="12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Audit</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7"/>
              </w:rPr>
              <w:t>Compensation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Governance</w:t>
            </w:r>
          </w:p>
        </w:tc>
      </w:t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5"/>
                <w:szCs w:val="15"/>
                <w:color w:val="auto"/>
              </w:rPr>
              <w:t>(1)</w:t>
            </w:r>
          </w:p>
        </w:tc>
        <w:tc>
          <w:tcPr>
            <w:tcW w:w="3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c>
          <w:tcPr>
            <w:tcW w:w="300" w:type="dxa"/>
            <w:vAlign w:val="bottom"/>
          </w:tcPr>
          <w:p>
            <w:pPr>
              <w:spacing w:after="0"/>
              <w:rPr>
                <w:sz w:val="20"/>
                <w:szCs w:val="20"/>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Committee</w:t>
            </w: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Committee</w:t>
            </w: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Committee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Committee</w:t>
            </w:r>
          </w:p>
        </w:tc>
      </w:tr>
      <w:tr>
        <w:trPr>
          <w:trHeight w:val="20"/>
        </w:trPr>
        <w:tc>
          <w:tcPr>
            <w:tcW w:w="2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William C. Erbey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2009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William B. Shepro</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360" w:type="dxa"/>
            <w:vAlign w:val="bottom"/>
            <w:gridSpan w:val="3"/>
          </w:tcPr>
          <w:p>
            <w:pPr>
              <w:ind w:left="70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X</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X</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Timo Vättö</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360" w:type="dxa"/>
            <w:vAlign w:val="bottom"/>
            <w:gridSpan w:val="3"/>
          </w:tcPr>
          <w:p>
            <w:pPr>
              <w:ind w:left="70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X</w:t>
            </w:r>
          </w:p>
        </w:tc>
        <w:tc>
          <w:tcPr>
            <w:tcW w:w="1540" w:type="dxa"/>
            <w:vAlign w:val="bottom"/>
            <w:gridSpan w:val="2"/>
          </w:tcPr>
          <w:p>
            <w:pPr>
              <w:ind w:left="98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X</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W. Michael Linn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2011</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X</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X</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As of March 15, 2011</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Committee Chairman for 2010</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Mr. Linn will serve as a Director on the Committees indicated if he is elected at the Annual Meeting.</w:t>
      </w:r>
    </w:p>
    <w:p>
      <w:pPr>
        <w:spacing w:after="0" w:line="185" w:lineRule="exact"/>
        <w:rPr>
          <w:sz w:val="20"/>
          <w:szCs w:val="20"/>
          <w:color w:val="auto"/>
        </w:rPr>
      </w:pPr>
    </w:p>
    <w:p>
      <w:pPr>
        <w:ind w:left="340" w:right="359"/>
        <w:spacing w:after="0" w:line="277" w:lineRule="auto"/>
        <w:rPr>
          <w:sz w:val="20"/>
          <w:szCs w:val="20"/>
          <w:color w:val="auto"/>
        </w:rPr>
      </w:pPr>
      <w:r>
        <w:rPr>
          <w:rFonts w:ascii="Arial" w:cs="Arial" w:eastAsia="Arial" w:hAnsi="Arial"/>
          <w:sz w:val="18"/>
          <w:szCs w:val="18"/>
          <w:color w:val="auto"/>
        </w:rPr>
        <w:t>The principal occupation for the last five (5) years and additional biographical information of each Director of Altisource is set forth below.</w:t>
      </w:r>
    </w:p>
    <w:p>
      <w:pPr>
        <w:spacing w:after="0" w:line="143" w:lineRule="exact"/>
        <w:rPr>
          <w:sz w:val="20"/>
          <w:szCs w:val="20"/>
          <w:color w:val="auto"/>
        </w:rPr>
      </w:pPr>
    </w:p>
    <w:p>
      <w:pPr>
        <w:ind w:left="340" w:right="439"/>
        <w:spacing w:after="0" w:line="277" w:lineRule="auto"/>
        <w:rPr>
          <w:sz w:val="20"/>
          <w:szCs w:val="20"/>
          <w:color w:val="auto"/>
        </w:rPr>
      </w:pPr>
      <w:r>
        <w:rPr>
          <w:rFonts w:ascii="Arial" w:cs="Arial" w:eastAsia="Arial" w:hAnsi="Arial"/>
          <w:sz w:val="18"/>
          <w:szCs w:val="18"/>
          <w:color w:val="auto"/>
        </w:rPr>
        <w:t>All our Directors bring to Altisource’s Board of Directors a wealth of executive leadership experience derived from their service as executives of large corporations.</w:t>
      </w:r>
    </w:p>
    <w:p>
      <w:pPr>
        <w:spacing w:after="0" w:line="130" w:lineRule="exact"/>
        <w:rPr>
          <w:sz w:val="20"/>
          <w:szCs w:val="20"/>
          <w:color w:val="auto"/>
        </w:rPr>
      </w:pPr>
    </w:p>
    <w:p>
      <w:pPr>
        <w:ind w:left="340" w:right="179"/>
        <w:spacing w:after="0" w:line="284" w:lineRule="auto"/>
        <w:rPr>
          <w:sz w:val="20"/>
          <w:szCs w:val="20"/>
          <w:color w:val="auto"/>
        </w:rPr>
      </w:pPr>
      <w:r>
        <w:rPr>
          <w:rFonts w:ascii="Arial" w:cs="Arial" w:eastAsia="Arial" w:hAnsi="Arial"/>
          <w:sz w:val="16"/>
          <w:szCs w:val="16"/>
          <w:b w:val="1"/>
          <w:bCs w:val="1"/>
          <w:i w:val="1"/>
          <w:iCs w:val="1"/>
          <w:color w:val="auto"/>
        </w:rPr>
        <w:t xml:space="preserve">William C. Erbey. </w:t>
      </w:r>
      <w:r>
        <w:rPr>
          <w:rFonts w:ascii="Arial" w:cs="Arial" w:eastAsia="Arial" w:hAnsi="Arial"/>
          <w:sz w:val="16"/>
          <w:szCs w:val="16"/>
          <w:color w:val="auto"/>
        </w:rPr>
        <w:t>Mr. Erbey was appointed as the Chairman of the Board of Altisource in July 2009. He has served as the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of Directors of Ocwen Financial Corporation (“Ocwen”), Altisource’s former parent company, since September 1996 and as the Chief Executive Officer of Ocwen from January 1988 to October 2010. He served as the President of Ocwen from January 1988 to May 1998. From 1983 to 1985, Mr. Erbey served as a Managing General Partner of The Oxford Financial Group, a private investment partnership that was the predecessor of Ocwen. He is also the founder and Chairman of Home Loan Servicing Solutions, Ltd., a Cayman Islands exempted company, formed in December 2010 to acquire mortgage servicing assets. From 1975 to 1983,</w:t>
      </w:r>
    </w:p>
    <w:p>
      <w:pPr>
        <w:spacing w:after="0" w:line="5" w:lineRule="exact"/>
        <w:rPr>
          <w:sz w:val="20"/>
          <w:szCs w:val="20"/>
          <w:color w:val="auto"/>
        </w:rPr>
      </w:pPr>
    </w:p>
    <w:p>
      <w:pPr>
        <w:jc w:val="both"/>
        <w:ind w:left="340" w:right="299"/>
        <w:spacing w:after="0" w:line="254" w:lineRule="auto"/>
        <w:rPr>
          <w:sz w:val="20"/>
          <w:szCs w:val="20"/>
          <w:color w:val="auto"/>
        </w:rPr>
      </w:pPr>
      <w:r>
        <w:rPr>
          <w:rFonts w:ascii="Arial" w:cs="Arial" w:eastAsia="Arial" w:hAnsi="Arial"/>
          <w:sz w:val="18"/>
          <w:szCs w:val="18"/>
          <w:color w:val="auto"/>
        </w:rPr>
        <w:t>Mr. Erbey served at General Electric Capital Corporation in various capacities, including as President and Chief Operating Officer of General Electric Mortgage Insurance Corporation, Program and General Manager of the Commercial Financial Services Department and President of Acquisition Funding Corporation. He holds a Bachelor of Arts in Economics from Allegheny College and a Masters of Business Administration from Harvard University.</w:t>
      </w:r>
    </w:p>
    <w:p>
      <w:pPr>
        <w:spacing w:after="0" w:line="200" w:lineRule="exact"/>
        <w:rPr>
          <w:sz w:val="20"/>
          <w:szCs w:val="20"/>
          <w:color w:val="auto"/>
        </w:rPr>
      </w:pP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spacing w:after="0" w:line="264" w:lineRule="auto"/>
        <w:rPr>
          <w:sz w:val="20"/>
          <w:szCs w:val="20"/>
          <w:color w:val="auto"/>
        </w:rPr>
      </w:pPr>
      <w:r>
        <w:rPr>
          <w:rFonts w:ascii="Arial" w:cs="Arial" w:eastAsia="Arial" w:hAnsi="Arial"/>
          <w:sz w:val="18"/>
          <w:szCs w:val="18"/>
          <w:color w:val="auto"/>
        </w:rPr>
        <w:t>Mr. Erbey’s extensive experience as the Chairman and Chief Executive Officer of Ocwen demonstrates his leadership capability and business acumen. His experience in the mortgage services industry brings valuable financial, operational and strategic expertise to our Board of Directors.</w:t>
      </w:r>
    </w:p>
    <w:p>
      <w:pPr>
        <w:spacing w:after="0" w:line="154" w:lineRule="exact"/>
        <w:rPr>
          <w:sz w:val="20"/>
          <w:szCs w:val="20"/>
          <w:color w:val="auto"/>
        </w:rPr>
      </w:pPr>
    </w:p>
    <w:p>
      <w:pPr>
        <w:ind w:left="340" w:right="219"/>
        <w:spacing w:after="0" w:line="293" w:lineRule="auto"/>
        <w:rPr>
          <w:sz w:val="20"/>
          <w:szCs w:val="20"/>
          <w:color w:val="auto"/>
        </w:rPr>
      </w:pPr>
      <w:r>
        <w:rPr>
          <w:rFonts w:ascii="Arial" w:cs="Arial" w:eastAsia="Arial" w:hAnsi="Arial"/>
          <w:sz w:val="16"/>
          <w:szCs w:val="16"/>
          <w:b w:val="1"/>
          <w:bCs w:val="1"/>
          <w:i w:val="1"/>
          <w:iCs w:val="1"/>
          <w:color w:val="auto"/>
        </w:rPr>
        <w:t>William B. Shepro</w:t>
      </w:r>
      <w:r>
        <w:rPr>
          <w:rFonts w:ascii="Arial" w:cs="Arial" w:eastAsia="Arial" w:hAnsi="Arial"/>
          <w:sz w:val="16"/>
          <w:szCs w:val="16"/>
          <w:color w:val="auto"/>
        </w:rPr>
        <w:t>. Mr. Shepro was appointed Chief Executive Officer and to the Board of Altisource in July, 2009. Mr. Shepro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the President and Chief Operating Officer of Ocwen Solutions at Ocwen. He previously served as President of Global Servicing Solutions, LLC, a joint venture between Ocwen and Merrill Lynch, from 2003 until 2009.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24" w:lineRule="exact"/>
        <w:rPr>
          <w:sz w:val="20"/>
          <w:szCs w:val="20"/>
          <w:color w:val="auto"/>
        </w:rPr>
      </w:pPr>
    </w:p>
    <w:p>
      <w:pPr>
        <w:ind w:left="340" w:right="219"/>
        <w:spacing w:after="0" w:line="312" w:lineRule="auto"/>
        <w:rPr>
          <w:sz w:val="20"/>
          <w:szCs w:val="20"/>
          <w:color w:val="auto"/>
        </w:rPr>
      </w:pPr>
      <w:r>
        <w:rPr>
          <w:rFonts w:ascii="Arial" w:cs="Arial" w:eastAsia="Arial" w:hAnsi="Arial"/>
          <w:sz w:val="16"/>
          <w:szCs w:val="16"/>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provides the Board of Directors with valuable strategic and operational insights.</w:t>
      </w:r>
    </w:p>
    <w:p>
      <w:pPr>
        <w:spacing w:after="0" w:line="106" w:lineRule="exact"/>
        <w:rPr>
          <w:sz w:val="20"/>
          <w:szCs w:val="20"/>
          <w:color w:val="auto"/>
        </w:rPr>
      </w:pPr>
    </w:p>
    <w:p>
      <w:pPr>
        <w:ind w:left="340" w:right="239"/>
        <w:spacing w:after="0" w:line="289"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Altisource in July, 2009. He also serves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Bank Arner SA, a provider of private banking services based in Lugano, Switzerland and on the Board of Directors of Absolute Private Equity AG, a Switzerland-based investment company. Mr. Müller-Ineichen most recently served as a Partner with KPMG Switzerland and KPMG Europe LLP where he served as lead partner on the audits of national and international Banks, Security Dealers and Fund Management Companies. Mr. Müller-Ineichen began working in the Zurich office of KPMG in June 1995 as a Senior Manager in the audit department banking and financial services and served as a Partner from January 1999 until his retirement in December 2008. Prior to KPMG, Mr. Müller-Ineichen progressed through various audit and managerial roles with Switzerland based financial institutions. Mr. Müller-Ineichen is a Swiss Certified Public Accountant. He completed a commercial and banking business apprenticeship with UBS in 1980. Mr. Müller-Ineichen holds a Business Commerce degree.</w:t>
      </w:r>
    </w:p>
    <w:p>
      <w:pPr>
        <w:spacing w:after="0" w:line="140" w:lineRule="exact"/>
        <w:rPr>
          <w:sz w:val="20"/>
          <w:szCs w:val="20"/>
          <w:color w:val="auto"/>
        </w:rPr>
      </w:pPr>
    </w:p>
    <w:p>
      <w:pPr>
        <w:ind w:left="340" w:right="219"/>
        <w:spacing w:after="0" w:line="312" w:lineRule="auto"/>
        <w:rPr>
          <w:sz w:val="20"/>
          <w:szCs w:val="20"/>
          <w:color w:val="auto"/>
        </w:rPr>
      </w:pPr>
      <w:r>
        <w:rPr>
          <w:rFonts w:ascii="Arial" w:cs="Arial" w:eastAsia="Arial" w:hAnsi="Arial"/>
          <w:sz w:val="16"/>
          <w:szCs w:val="16"/>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w:t>
      </w:r>
    </w:p>
    <w:p>
      <w:pPr>
        <w:spacing w:after="0" w:line="106" w:lineRule="exact"/>
        <w:rPr>
          <w:sz w:val="20"/>
          <w:szCs w:val="20"/>
          <w:color w:val="auto"/>
        </w:rPr>
      </w:pPr>
    </w:p>
    <w:p>
      <w:pPr>
        <w:ind w:left="340" w:right="239"/>
        <w:spacing w:after="0" w:line="271" w:lineRule="auto"/>
        <w:rPr>
          <w:sz w:val="20"/>
          <w:szCs w:val="20"/>
          <w:color w:val="auto"/>
        </w:rPr>
      </w:pPr>
      <w:r>
        <w:rPr>
          <w:rFonts w:ascii="Arial" w:cs="Arial" w:eastAsia="Arial" w:hAnsi="Arial"/>
          <w:sz w:val="17"/>
          <w:szCs w:val="17"/>
          <w:b w:val="1"/>
          <w:bCs w:val="1"/>
          <w:i w:val="1"/>
          <w:iCs w:val="1"/>
          <w:color w:val="auto"/>
        </w:rPr>
        <w:t xml:space="preserve">Timo Vättö. </w:t>
      </w:r>
      <w:r>
        <w:rPr>
          <w:rFonts w:ascii="Arial" w:cs="Arial" w:eastAsia="Arial" w:hAnsi="Arial"/>
          <w:sz w:val="17"/>
          <w:szCs w:val="17"/>
          <w:color w:val="auto"/>
        </w:rPr>
        <w:t>Mr. Vättö was appointed to the Board of Altisource in August, 2009. He is the founder and owner of Vättö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AG, a provider of independent corporate advisory services to corporations, institutional investors and private families, which was founded in November 2008. Previously, Mr. Vättö was employed by Citigroup in Switzerland and the U.S. for almost twenty years in senior client coverage and business head roles within the client franchise management and business origination functions for Corporate and Investment Banking, most recently as Head of Swiss Investment Banking. In addition from 2004 to 2009, Mr. Vättö served as a member of the Board of Directors, including as a member of the Audit Committee, of Citibank (Switzerland) AG, part of Citigroup’ s Wealth Management Business. Mr. Vättö holds a Master of Science, Economics and Business Administration from the University of Tampere (Finland).</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299"/>
        <w:spacing w:after="0" w:line="264" w:lineRule="auto"/>
        <w:rPr>
          <w:sz w:val="20"/>
          <w:szCs w:val="20"/>
          <w:color w:val="auto"/>
        </w:rPr>
      </w:pPr>
      <w:r>
        <w:rPr>
          <w:rFonts w:ascii="Arial" w:cs="Arial" w:eastAsia="Arial" w:hAnsi="Arial"/>
          <w:sz w:val="18"/>
          <w:szCs w:val="18"/>
          <w:color w:val="auto"/>
        </w:rPr>
        <w:t>Mr. Vättö’s experience with Vättö Management Services AG and Citigroup makes him financially literate as required pursuant to the NASDAQ listing standards, and his knowledge of the financial services industry provides the Board of Directors with subject matter expertise.</w:t>
      </w:r>
    </w:p>
    <w:p>
      <w:pPr>
        <w:spacing w:after="0" w:line="154" w:lineRule="exact"/>
        <w:rPr>
          <w:sz w:val="20"/>
          <w:szCs w:val="20"/>
          <w:color w:val="auto"/>
        </w:rPr>
      </w:pPr>
    </w:p>
    <w:p>
      <w:pPr>
        <w:ind w:left="340" w:right="299"/>
        <w:spacing w:after="0" w:line="270" w:lineRule="auto"/>
        <w:rPr>
          <w:sz w:val="20"/>
          <w:szCs w:val="20"/>
          <w:color w:val="auto"/>
        </w:rPr>
      </w:pPr>
      <w:r>
        <w:rPr>
          <w:rFonts w:ascii="Arial" w:cs="Arial" w:eastAsia="Arial" w:hAnsi="Arial"/>
          <w:sz w:val="17"/>
          <w:szCs w:val="17"/>
          <w:b w:val="1"/>
          <w:bCs w:val="1"/>
          <w:i w:val="1"/>
          <w:iCs w:val="1"/>
          <w:color w:val="auto"/>
        </w:rPr>
        <w:t xml:space="preserve">W. Michael Linn. </w:t>
      </w:r>
      <w:r>
        <w:rPr>
          <w:rFonts w:ascii="Arial" w:cs="Arial" w:eastAsia="Arial" w:hAnsi="Arial"/>
          <w:sz w:val="17"/>
          <w:szCs w:val="17"/>
          <w:color w:val="auto"/>
        </w:rPr>
        <w:t>Mr. Linn currently serves on the Board of Directors and as President and Chief Executive Officer of Greensleeves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where he focuses on increasing the use of alternative energy to power buildings. He also serves on the Board of Directors of National Lime &amp; Stone and is a private investor in energy related industries. Mr. Linn previously served on the Board of Directors of Ocwen Financial Corporation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CEO of Saunders, Inc., a venture backed, privately held financial services and technology solutions company. Mr. Linn graduated from Harvard College in 1970 with a Bachelor of Arts and earned a Masters of Business Administration from Harvard Business School in 1973.</w:t>
      </w:r>
    </w:p>
    <w:p>
      <w:pPr>
        <w:spacing w:after="0" w:line="141" w:lineRule="exact"/>
        <w:rPr>
          <w:sz w:val="20"/>
          <w:szCs w:val="20"/>
          <w:color w:val="auto"/>
        </w:rPr>
      </w:pPr>
    </w:p>
    <w:p>
      <w:pPr>
        <w:ind w:left="340" w:right="219"/>
        <w:spacing w:after="0" w:line="277" w:lineRule="auto"/>
        <w:rPr>
          <w:sz w:val="20"/>
          <w:szCs w:val="20"/>
          <w:color w:val="auto"/>
        </w:rPr>
      </w:pPr>
      <w:r>
        <w:rPr>
          <w:rFonts w:ascii="Arial" w:cs="Arial" w:eastAsia="Arial" w:hAnsi="Arial"/>
          <w:sz w:val="18"/>
          <w:szCs w:val="18"/>
          <w:color w:val="auto"/>
        </w:rPr>
        <w:t>Mr. Linn’s extensive experience in rolling out emerging technologies and in the development of strategic relationships brings valuable operational sales and strategic expertise to our Board of Directors.</w:t>
      </w:r>
    </w:p>
    <w:p>
      <w:pPr>
        <w:spacing w:after="0" w:line="12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Meetings of the Board of Directors</w:t>
      </w:r>
    </w:p>
    <w:p>
      <w:pPr>
        <w:spacing w:after="0" w:line="189" w:lineRule="exact"/>
        <w:rPr>
          <w:sz w:val="20"/>
          <w:szCs w:val="20"/>
          <w:color w:val="auto"/>
        </w:rPr>
      </w:pPr>
    </w:p>
    <w:p>
      <w:pPr>
        <w:ind w:left="340" w:right="219"/>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141" w:lineRule="exact"/>
        <w:rPr>
          <w:sz w:val="20"/>
          <w:szCs w:val="20"/>
          <w:color w:val="auto"/>
        </w:rPr>
      </w:pPr>
    </w:p>
    <w:p>
      <w:pPr>
        <w:ind w:left="340" w:right="199"/>
        <w:spacing w:after="0" w:line="259" w:lineRule="auto"/>
        <w:rPr>
          <w:sz w:val="20"/>
          <w:szCs w:val="20"/>
          <w:color w:val="auto"/>
        </w:rPr>
      </w:pPr>
      <w:r>
        <w:rPr>
          <w:rFonts w:ascii="Arial" w:cs="Arial" w:eastAsia="Arial" w:hAnsi="Arial"/>
          <w:sz w:val="18"/>
          <w:szCs w:val="18"/>
          <w:color w:val="auto"/>
        </w:rPr>
        <w:t>Our Board of Directors held six (6) meetings during 2010. Each incumbent Director attended at least 75% of these meetings as well as the meetings held by all Committees of our Board of Directors on which they served during the period. Although we do not have a formal policy regarding Director attendance at the Annual Meeting, our Directors are expected to attend. All of the incumbent members of our Board of Directors attended our 2010 Annual Meeting.</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Independence of Directors</w:t>
      </w:r>
    </w:p>
    <w:p>
      <w:pPr>
        <w:spacing w:after="0" w:line="189" w:lineRule="exact"/>
        <w:rPr>
          <w:sz w:val="20"/>
          <w:szCs w:val="20"/>
          <w:color w:val="auto"/>
        </w:rPr>
      </w:pPr>
    </w:p>
    <w:p>
      <w:pPr>
        <w:ind w:left="340" w:right="319"/>
        <w:spacing w:after="0" w:line="277"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the listing standards of the NASDAQ Stock Market and applicable law.</w:t>
      </w:r>
    </w:p>
    <w:p>
      <w:pPr>
        <w:spacing w:after="0" w:line="130" w:lineRule="exact"/>
        <w:rPr>
          <w:sz w:val="20"/>
          <w:szCs w:val="20"/>
          <w:color w:val="auto"/>
        </w:rPr>
      </w:pPr>
    </w:p>
    <w:p>
      <w:pPr>
        <w:ind w:left="340" w:right="219"/>
        <w:spacing w:after="0" w:line="289"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such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Stock Market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Mr. Müller-Ineichen, Mr. Vättö and Mrs. Andresen-Kienz are independent Directors and Mr. Linn will be an independent Director if he is elected.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Board Leadership Structure</w:t>
      </w:r>
    </w:p>
    <w:p>
      <w:pPr>
        <w:spacing w:after="0" w:line="189" w:lineRule="exact"/>
        <w:rPr>
          <w:sz w:val="20"/>
          <w:szCs w:val="20"/>
          <w:color w:val="auto"/>
        </w:rPr>
      </w:pPr>
    </w:p>
    <w:p>
      <w:pPr>
        <w:ind w:left="340" w:right="259"/>
        <w:spacing w:after="0" w:line="272" w:lineRule="auto"/>
        <w:rPr>
          <w:sz w:val="20"/>
          <w:szCs w:val="20"/>
          <w:color w:val="auto"/>
        </w:rPr>
      </w:pPr>
      <w:r>
        <w:rPr>
          <w:rFonts w:ascii="Arial" w:cs="Arial" w:eastAsia="Arial" w:hAnsi="Arial"/>
          <w:sz w:val="17"/>
          <w:szCs w:val="17"/>
          <w:color w:val="auto"/>
        </w:rPr>
        <w:t>Our Board of Directors has no fixed policy with respect to the separation of the offices of Chairman of the Board of Directors and Chief Executive Officer. Our Board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As our Chief Executive Officer, Mr. Shepro is responsible for our day-to-day operations and for formulating and executing our long-term strategies in collaboration with the Board. As Chairman of the Board, Mr. Erbey leads the Board and oversees Board meetings and the delivery of information necessary for the Board’s informed decision-making.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02" w:lineRule="exact"/>
        <w:rPr>
          <w:sz w:val="20"/>
          <w:szCs w:val="20"/>
          <w:color w:val="auto"/>
        </w:rPr>
      </w:pPr>
    </w:p>
    <w:p>
      <w:pPr>
        <w:ind w:left="340" w:right="1159"/>
        <w:spacing w:after="0" w:line="308" w:lineRule="auto"/>
        <w:rPr>
          <w:sz w:val="20"/>
          <w:szCs w:val="20"/>
          <w:color w:val="auto"/>
        </w:rPr>
      </w:pPr>
      <w:r>
        <w:rPr>
          <w:rFonts w:ascii="Arial" w:cs="Arial" w:eastAsia="Arial" w:hAnsi="Arial"/>
          <w:sz w:val="17"/>
          <w:szCs w:val="17"/>
          <w:color w:val="auto"/>
        </w:rPr>
        <w:t>Our Board of Directors has established an Executive Committee, an Audit Committee, a Compensation Committee and a Nomination/Governance Committee. A brief description of these Committees is provided below.</w:t>
      </w:r>
    </w:p>
    <w:p>
      <w:pPr>
        <w:spacing w:after="0" w:line="106" w:lineRule="exact"/>
        <w:rPr>
          <w:sz w:val="20"/>
          <w:szCs w:val="20"/>
          <w:color w:val="auto"/>
        </w:rPr>
      </w:pPr>
    </w:p>
    <w:p>
      <w:pPr>
        <w:ind w:left="340" w:right="179"/>
        <w:spacing w:after="0" w:line="272"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intervals between meetings of our Board of Directors. On September 22, 2009, our Board of Directors authorized the Committee to approve and/or to designate in writing certain individuals to approve ordinary course of business actions that are required to be documented by counter 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 In 2010, no transactions were approved in this manner on behalf of the Board of Directors.</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68"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public accounting firm, 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internal accounting controls and the review of the scope and results of the annual audit conducted by the independent registered certified public accounting firm. Each member of our Audit Committee, including our Director nominee, Mr. Linn, is independent as defined in regulations adopted by the Securities and Exchange Commission and the listing standards of the NASDAQ Stock Market. Our Board of Directors has determined that all members of our Audit Committee are financially literate. Furthermore, our Board of Directors has determined that Messrs. Müller-Ineichen and Vättö possess accounting or related financial management expertise within the meaning of the listing standards of the NASDAQ Stock Market and qualify as audit committee financial experts as that term is defined in Securities and Exchange Commission rules. Our Audit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This Committee met five (5) times during 2010.</w:t>
      </w:r>
    </w:p>
    <w:p>
      <w:pPr>
        <w:spacing w:after="0" w:line="161" w:lineRule="exact"/>
        <w:rPr>
          <w:sz w:val="20"/>
          <w:szCs w:val="20"/>
          <w:color w:val="auto"/>
        </w:rPr>
      </w:pPr>
    </w:p>
    <w:p>
      <w:pPr>
        <w:ind w:left="340" w:right="199"/>
        <w:spacing w:after="0" w:line="269"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of our Board of Directors oversees our compensation and employee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and practices. Our Compensation Committee also evaluates and makes recommendations to our Board of Directors for human resource and compensation matters relating to our executive officers. The Compensation Committee reviews with the Chief Executive Officer and Chief Administration Officer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shares jurisdiction with our full Board of Directors over the administration of grants under the 2009 Equity Incentive Plan. The Compensation Committee has the authority to retain independent counsel or other advisers as it deems necessary in connection with its responsibilities at our expense. The Compensation Committee may request that any of our Directors, officers or employees, or other persons attend its meetings to provide advice, counsel or pertinent information as the committee requests.</w:t>
      </w:r>
    </w:p>
    <w:p>
      <w:pPr>
        <w:spacing w:after="0" w:line="142" w:lineRule="exact"/>
        <w:rPr>
          <w:sz w:val="20"/>
          <w:szCs w:val="20"/>
          <w:color w:val="auto"/>
        </w:rPr>
      </w:pPr>
    </w:p>
    <w:p>
      <w:pPr>
        <w:ind w:left="340" w:right="179"/>
        <w:spacing w:after="0" w:line="288" w:lineRule="auto"/>
        <w:rPr>
          <w:sz w:val="20"/>
          <w:szCs w:val="20"/>
          <w:color w:val="auto"/>
        </w:rPr>
      </w:pPr>
      <w:r>
        <w:rPr>
          <w:rFonts w:ascii="Arial" w:cs="Arial" w:eastAsia="Arial" w:hAnsi="Arial"/>
          <w:sz w:val="16"/>
          <w:szCs w:val="16"/>
          <w:color w:val="auto"/>
        </w:rPr>
        <w:t>The members of the Compensation Committee for 2010 were Messrs. Müller-Ineichen and Vättö and Mrs. Andresen-Kienz. If elected, Mr. Linn will replace Mrs. Andresen-Kienz as a member of the Compensation Committee following the Annual Meeting. Each member of the Compensation Committee is independent as defined in the listing standards of the NASDAQ Stock Market.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Chairman. The Compensation Committee generally meets in executive session at each scheduled meeting.</w:t>
      </w:r>
    </w:p>
    <w:p>
      <w:pPr>
        <w:spacing w:after="0" w:line="129" w:lineRule="exact"/>
        <w:rPr>
          <w:sz w:val="20"/>
          <w:szCs w:val="20"/>
          <w:color w:val="auto"/>
        </w:rPr>
      </w:pPr>
    </w:p>
    <w:p>
      <w:pPr>
        <w:ind w:left="340" w:right="319"/>
        <w:spacing w:after="0" w:line="255"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This Committee met four (4) times in 2010. On an annual basis, the Compensation Committee evaluates its performance under its charter to ensure that it appropriately addresses the matters that are within the scope of Committee responsibility. When necessary, the Compensation Committee recommends amendments to its charter to the Board of Directors for approval. The charter was last reviewed and approved by the Compensation Committee in January 2011.</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59"/>
        <w:spacing w:after="0" w:line="254" w:lineRule="auto"/>
        <w:rPr>
          <w:sz w:val="20"/>
          <w:szCs w:val="20"/>
          <w:color w:val="auto"/>
        </w:rPr>
      </w:pPr>
      <w:r>
        <w:rPr>
          <w:rFonts w:ascii="Arial" w:cs="Arial" w:eastAsia="Arial" w:hAnsi="Arial"/>
          <w:sz w:val="18"/>
          <w:szCs w:val="18"/>
          <w:color w:val="auto"/>
        </w:rPr>
        <w:t>Certain executives are involved in the design and implementation of our executive compensation programs, including the Chief Executive Officer and Chief Administration Officer, who may be present at Compensation Committee meetings. These executives annually review the performance of each executive officer (other than the Chief Executive Officer whose performance is reviewed by the Compensation Committee with consultation of the Chairman)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61" w:lineRule="exact"/>
        <w:rPr>
          <w:sz w:val="20"/>
          <w:szCs w:val="20"/>
          <w:color w:val="auto"/>
        </w:rPr>
      </w:pPr>
    </w:p>
    <w:p>
      <w:pPr>
        <w:ind w:left="340" w:right="199"/>
        <w:spacing w:after="0" w:line="298"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member of the Compensation Committee was at any time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2010 fiscal year or at any other time an officer 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(1) or more executive officers who served as a member of our Board of Directors or our Compensation Committee during the 2010 fiscal year.</w:t>
      </w:r>
    </w:p>
    <w:p>
      <w:pPr>
        <w:spacing w:after="0" w:line="118" w:lineRule="exact"/>
        <w:rPr>
          <w:sz w:val="20"/>
          <w:szCs w:val="20"/>
          <w:color w:val="auto"/>
        </w:rPr>
      </w:pPr>
    </w:p>
    <w:p>
      <w:pPr>
        <w:ind w:left="340" w:right="239"/>
        <w:spacing w:after="0" w:line="269" w:lineRule="auto"/>
        <w:rPr>
          <w:sz w:val="20"/>
          <w:szCs w:val="20"/>
          <w:color w:val="auto"/>
        </w:rPr>
      </w:pPr>
      <w:r>
        <w:rPr>
          <w:rFonts w:ascii="Arial" w:cs="Arial" w:eastAsia="Arial" w:hAnsi="Arial"/>
          <w:sz w:val="17"/>
          <w:szCs w:val="17"/>
          <w:b w:val="1"/>
          <w:bCs w:val="1"/>
          <w:i w:val="1"/>
          <w:iCs w:val="1"/>
          <w:color w:val="auto"/>
        </w:rPr>
        <w:t xml:space="preserve">Nomination/Governance Committee. </w:t>
      </w:r>
      <w:r>
        <w:rPr>
          <w:rFonts w:ascii="Arial" w:cs="Arial" w:eastAsia="Arial" w:hAnsi="Arial"/>
          <w:sz w:val="17"/>
          <w:szCs w:val="17"/>
          <w:color w:val="auto"/>
        </w:rPr>
        <w:t>The Nomination/Governance Committee of our Board of Directors makes recommendations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our Board of Directors of 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 Other than Mr. Erbey, each member of our Nomination/Governance Committee is independent as defined in the listing standards of the NASDAQ Stock Market. The Board of Directors found that, on the basis of exceptional circumstances, Mr. Erbey’s membership on the Nomination/Governance Committee is in the best interests of Altisource and its shareholders. In making this finding of exceptional circumstances, the Board found that the size of the Board of Directors following the separation from Ocwen, as well as Mr. Erbey’s extensive management and industry domain experience necessitated his inclusion on the Nomination/Governance Committee. Our Nomination/Governance Committee operates under a written charter approved by our Board of Directors, a copy of which is available on our web 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This Committee met three (3) times in 2010.</w:t>
      </w:r>
    </w:p>
    <w:p>
      <w:pPr>
        <w:spacing w:after="0" w:line="139" w:lineRule="exact"/>
        <w:rPr>
          <w:sz w:val="20"/>
          <w:szCs w:val="20"/>
          <w:color w:val="auto"/>
        </w:rPr>
      </w:pPr>
    </w:p>
    <w:p>
      <w:pPr>
        <w:ind w:left="340" w:right="219"/>
        <w:spacing w:after="0" w:line="286" w:lineRule="auto"/>
        <w:rPr>
          <w:sz w:val="20"/>
          <w:szCs w:val="20"/>
          <w:color w:val="auto"/>
        </w:rPr>
      </w:pPr>
      <w:r>
        <w:rPr>
          <w:rFonts w:ascii="Arial" w:cs="Arial" w:eastAsia="Arial" w:hAnsi="Arial"/>
          <w:sz w:val="16"/>
          <w:szCs w:val="16"/>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listing standards of the NASDAQ Stock Market. In addition, our Nomination/Governance Committee takes into account our best interests as well as such factors as knowledge, experience, skills, expertise, diversity and the interplay of the candidate’s experience with the background of other members of our Board of Directors. 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educational, and individual backgrounds that, when combined, provide a portfolio of experience and knowledge that will serve the Company’s governance and strategic needs. The Nomination/Governance Committee reviews the skills and attributes of Directors within the context of the current make-up of the full Board of Directors periodically as the Nomination/Governance Committee deems appropriate. The Nomination/Governance Committee does not discriminate against Director candidates based on race, color, religion, sex, sexual orientation or national origin.</w:t>
      </w:r>
    </w:p>
    <w:p>
      <w:pPr>
        <w:spacing w:after="0" w:line="142" w:lineRule="exact"/>
        <w:rPr>
          <w:sz w:val="20"/>
          <w:szCs w:val="20"/>
          <w:color w:val="auto"/>
        </w:rPr>
      </w:pPr>
    </w:p>
    <w:p>
      <w:pPr>
        <w:ind w:left="340" w:right="319"/>
        <w:spacing w:after="0" w:line="259"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146" w:lineRule="exact"/>
        <w:rPr>
          <w:sz w:val="20"/>
          <w:szCs w:val="20"/>
          <w:color w:val="auto"/>
        </w:rPr>
      </w:pPr>
    </w:p>
    <w:p>
      <w:pPr>
        <w:ind w:left="340" w:right="179"/>
        <w:spacing w:after="0" w:line="264" w:lineRule="auto"/>
        <w:rPr>
          <w:sz w:val="20"/>
          <w:szCs w:val="20"/>
          <w:color w:val="auto"/>
        </w:rPr>
      </w:pPr>
      <w:r>
        <w:rPr>
          <w:rFonts w:ascii="Arial" w:cs="Arial" w:eastAsia="Arial" w:hAnsi="Arial"/>
          <w:sz w:val="18"/>
          <w:szCs w:val="18"/>
          <w:color w:val="auto"/>
        </w:rPr>
        <w:t>In evaluating the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99"/>
        <w:spacing w:after="0" w:line="255" w:lineRule="auto"/>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62"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Corporate Secretary at Altisource Portfolio Solutions S.A., 291, route d’Arlon, L-1150 Luxembourg City,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2012 Annual Meeting, we must receive your recommendations by November 1, 2011.</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Governance Guidelines</w:t>
      </w:r>
    </w:p>
    <w:p>
      <w:pPr>
        <w:spacing w:after="0" w:line="189" w:lineRule="exact"/>
        <w:rPr>
          <w:sz w:val="20"/>
          <w:szCs w:val="20"/>
          <w:color w:val="auto"/>
        </w:rPr>
      </w:pPr>
    </w:p>
    <w:p>
      <w:pPr>
        <w:ind w:left="340" w:right="359"/>
        <w:spacing w:after="0" w:line="257"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61" w:lineRule="exact"/>
        <w:rPr>
          <w:sz w:val="20"/>
          <w:szCs w:val="20"/>
          <w:color w:val="auto"/>
        </w:rPr>
      </w:pPr>
    </w:p>
    <w:p>
      <w:pPr>
        <w:ind w:left="340" w:right="659"/>
        <w:spacing w:after="0" w:line="279" w:lineRule="auto"/>
        <w:rPr>
          <w:sz w:val="20"/>
          <w:szCs w:val="20"/>
          <w:color w:val="auto"/>
        </w:rPr>
      </w:pPr>
      <w:r>
        <w:rPr>
          <w:rFonts w:ascii="Arial" w:cs="Arial" w:eastAsia="Arial" w:hAnsi="Arial"/>
          <w:sz w:val="17"/>
          <w:szCs w:val="17"/>
          <w:color w:val="auto"/>
        </w:rPr>
        <w:t xml:space="preserve">Our Nomination/Governance Committee reviews our Corporate Governance Guidelines at least once a year and, if necessary, recommends changes to our Board of Directors. Our Corporate Governance Guidelines are available on our web 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are available to any shareholder who requests them by writing to our Corporate Secretary at Altisource Portfolio Solutions S.A., 291, route d’Arlon, L-1150 Luxembourg City, Grand Duchy of Luxembourg.</w:t>
      </w:r>
    </w:p>
    <w:p>
      <w:pPr>
        <w:spacing w:after="0" w:line="127" w:lineRule="exact"/>
        <w:rPr>
          <w:sz w:val="20"/>
          <w:szCs w:val="20"/>
          <w:color w:val="auto"/>
        </w:rPr>
      </w:pPr>
    </w:p>
    <w:p>
      <w:pPr>
        <w:ind w:left="340" w:right="2539"/>
        <w:spacing w:after="0" w:line="461" w:lineRule="auto"/>
        <w:rPr>
          <w:sz w:val="20"/>
          <w:szCs w:val="20"/>
          <w:color w:val="auto"/>
        </w:rPr>
      </w:pPr>
      <w:r>
        <w:rPr>
          <w:rFonts w:ascii="Arial" w:cs="Arial" w:eastAsia="Arial" w:hAnsi="Arial"/>
          <w:sz w:val="18"/>
          <w:szCs w:val="18"/>
          <w:b w:val="1"/>
          <w:bCs w:val="1"/>
          <w:color w:val="auto"/>
        </w:rPr>
        <w:t xml:space="preserve">Executive Sessions of Non-Management Directors </w:t>
      </w:r>
      <w:r>
        <w:rPr>
          <w:rFonts w:ascii="Arial" w:cs="Arial" w:eastAsia="Arial" w:hAnsi="Arial"/>
          <w:sz w:val="18"/>
          <w:szCs w:val="18"/>
          <w:color w:val="auto"/>
        </w:rPr>
        <w:t>Non-management Directors met in executive session without management five (5) times during 2010.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Communications with Directors</w:t>
      </w:r>
    </w:p>
    <w:p>
      <w:pPr>
        <w:spacing w:after="0" w:line="189" w:lineRule="exact"/>
        <w:rPr>
          <w:sz w:val="20"/>
          <w:szCs w:val="20"/>
          <w:color w:val="auto"/>
        </w:rPr>
      </w:pPr>
    </w:p>
    <w:p>
      <w:pPr>
        <w:ind w:left="340" w:right="279"/>
        <w:spacing w:after="0" w:line="259" w:lineRule="auto"/>
        <w:rPr>
          <w:sz w:val="20"/>
          <w:szCs w:val="20"/>
          <w:color w:val="auto"/>
        </w:rPr>
      </w:pPr>
      <w:r>
        <w:rPr>
          <w:rFonts w:ascii="Arial" w:cs="Arial" w:eastAsia="Arial" w:hAnsi="Arial"/>
          <w:sz w:val="18"/>
          <w:szCs w:val="18"/>
          <w:color w:val="auto"/>
        </w:rPr>
        <w:t>If you desire to contact our Board of Directors or any individual Director regarding Altisource, you may do so by mail addressed to our Corporate Secretary at Altisource Portfolio Solutions S.A., 291, route d’Arlon, L-1150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Ethics</w:t>
      </w:r>
    </w:p>
    <w:p>
      <w:pPr>
        <w:spacing w:after="0" w:line="202" w:lineRule="exact"/>
        <w:rPr>
          <w:sz w:val="20"/>
          <w:szCs w:val="20"/>
          <w:color w:val="auto"/>
        </w:rPr>
      </w:pPr>
    </w:p>
    <w:p>
      <w:pPr>
        <w:ind w:left="340" w:right="199"/>
        <w:spacing w:after="0" w:line="270"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NASDAQ Stock Market rules. Any waivers from the Code of Business Conduct and Ethics for Directors or executive officers must be approved by our Board of Directors or a Board committee and must be promptly disclosed to you. We have also adopted a Code of Ethics for Senior Financial Officers that applies to our Chief Executive Officer and our Chief Financial Officer. The Code of Business Conduct and Ethics and the Code of Ethics for Senior Financial Officers are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are available to any shareholder who requests a copy by writing to our Corporate Secretary at 291, route d’Arlon, L-1150 Luxembourg City, Grand Duchy of Luxembourg. Any amendments to the Code of Business Conduct and Ethics or the Code of Ethics for Senior Financial Officers, as well as any waivers that are required to be disclosed under the rules of the Securities and Exchange Commission or the NASDAQ Stock Market, will be posted on our website.</w:t>
      </w:r>
    </w:p>
    <w:p>
      <w:pPr>
        <w:spacing w:after="0" w:line="200" w:lineRule="exact"/>
        <w:rPr>
          <w:sz w:val="20"/>
          <w:szCs w:val="20"/>
          <w:color w:val="auto"/>
        </w:rPr>
      </w:pPr>
    </w:p>
    <w:p>
      <w:pPr>
        <w:spacing w:after="0" w:line="33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02" w:lineRule="exact"/>
        <w:rPr>
          <w:sz w:val="20"/>
          <w:szCs w:val="20"/>
          <w:color w:val="auto"/>
        </w:rPr>
      </w:pPr>
    </w:p>
    <w:p>
      <w:pPr>
        <w:ind w:left="340" w:right="219"/>
        <w:spacing w:after="0" w:line="287" w:lineRule="auto"/>
        <w:rPr>
          <w:sz w:val="20"/>
          <w:szCs w:val="20"/>
          <w:color w:val="auto"/>
        </w:rPr>
      </w:pPr>
      <w:r>
        <w:rPr>
          <w:rFonts w:ascii="Arial" w:cs="Arial" w:eastAsia="Arial" w:hAnsi="Arial"/>
          <w:sz w:val="16"/>
          <w:szCs w:val="16"/>
          <w:color w:val="auto"/>
        </w:rPr>
        <w:t>The entire Board of Directors and each of its committees are involved in overseeing risk associated with Altisource. The Board of Directors and the Audit Committee monitor Altisource’s credit risk, liquidity risk, regulatory risk, operational risk and enterprise risk by regular reviews with management and internal and external auditors. In its periodic meetings with the internal auditors, the Audit Committee discusses the scope and plan for the internal audit and includes management in its review of accounting and financial controls, assessment of business risks and legal and ethical compliance programs. 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The Board of Directors and the Nomination/Governance Committee monitor Altisource’s governance and succession risk by regular review with management. The Board of Directors and the Compensation Committee monitor Altisource’s compensation policies and related risks by regular reviews with management. The Board’s role in risk oversight is consistent with the Company’s leadership structure, with the Chief Executive Officer and other members of senior management having responsibility for assessing and managing the Company’s risk exposure, and the Chairman, the Board and its Committees providing oversight in connection with these efforts.</w:t>
      </w:r>
    </w:p>
    <w:p>
      <w:pPr>
        <w:spacing w:after="0" w:line="12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BOARD OF DIRECTORS COMPENSATION</w:t>
      </w:r>
    </w:p>
    <w:p>
      <w:pPr>
        <w:spacing w:after="0" w:line="189" w:lineRule="exact"/>
        <w:rPr>
          <w:sz w:val="20"/>
          <w:szCs w:val="20"/>
          <w:color w:val="auto"/>
        </w:rPr>
      </w:pPr>
    </w:p>
    <w:p>
      <w:pPr>
        <w:jc w:val="both"/>
        <w:ind w:left="340" w:right="479"/>
        <w:spacing w:after="0" w:line="264" w:lineRule="auto"/>
        <w:rPr>
          <w:sz w:val="20"/>
          <w:szCs w:val="20"/>
          <w:color w:val="auto"/>
        </w:rPr>
      </w:pPr>
      <w:r>
        <w:rPr>
          <w:rFonts w:ascii="Arial" w:cs="Arial" w:eastAsia="Arial" w:hAnsi="Arial"/>
          <w:sz w:val="18"/>
          <w:szCs w:val="18"/>
          <w:color w:val="auto"/>
        </w:rPr>
        <w:t>The following table discloses compensation received by each non-management member of our Board of Directors who served as a Director during fiscal year 2010. Our management Directors do not receive an annual retainer or any other compensation for their service on the Board of Directors.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Fees Earned</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680" w:type="dxa"/>
            <w:vAlign w:val="bottom"/>
            <w:gridSpan w:val="4"/>
          </w:tcPr>
          <w:p>
            <w:pPr>
              <w:ind w:left="260"/>
              <w:spacing w:after="0"/>
              <w:rPr>
                <w:sz w:val="20"/>
                <w:szCs w:val="20"/>
                <w:color w:val="auto"/>
              </w:rPr>
            </w:pPr>
            <w:r>
              <w:rPr>
                <w:rFonts w:ascii="Arial" w:cs="Arial" w:eastAsia="Arial" w:hAnsi="Arial"/>
                <w:sz w:val="18"/>
                <w:szCs w:val="18"/>
                <w:b w:val="1"/>
                <w:bCs w:val="1"/>
                <w:color w:val="auto"/>
              </w:rPr>
              <w:t>Or Paid in Cash</w:t>
            </w:r>
          </w:p>
        </w:tc>
        <w:tc>
          <w:tcPr>
            <w:tcW w:w="1760" w:type="dxa"/>
            <w:vAlign w:val="bottom"/>
            <w:gridSpan w:val="4"/>
          </w:tcPr>
          <w:p>
            <w:pPr>
              <w:ind w:left="180"/>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15"/>
                <w:szCs w:val="15"/>
                <w:color w:val="auto"/>
              </w:rPr>
              <w:t>(1)</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8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0"/>
        </w:trPr>
        <w:tc>
          <w:tcPr>
            <w:tcW w:w="3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49,875</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94,875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Timo Vättö</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46,083</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91,083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Robert L. DeNormandie</w:t>
            </w:r>
            <w:r>
              <w:rPr>
                <w:rFonts w:ascii="Arial" w:cs="Arial" w:eastAsia="Arial" w:hAnsi="Arial"/>
                <w:sz w:val="15"/>
                <w:szCs w:val="15"/>
                <w:color w:val="auto"/>
              </w:rPr>
              <w:t>(2)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18,333</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William C. Erbey</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95,000</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Silke Andresen-Kienz</w:t>
            </w:r>
            <w:r>
              <w:rPr>
                <w:rFonts w:ascii="Arial" w:cs="Arial" w:eastAsia="Arial" w:hAnsi="Arial"/>
                <w:sz w:val="15"/>
                <w:szCs w:val="15"/>
                <w:color w:val="auto"/>
              </w:rPr>
              <w:t>(3)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bl>
    <w:p>
      <w:pPr>
        <w:spacing w:after="0" w:line="107" w:lineRule="exact"/>
        <w:rPr>
          <w:sz w:val="20"/>
          <w:szCs w:val="20"/>
          <w:color w:val="auto"/>
        </w:rPr>
      </w:pPr>
    </w:p>
    <w:p>
      <w:pPr>
        <w:ind w:left="720" w:hanging="388"/>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Aggregate fair value as of the grant date in accordance with ASC 718.</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Mr. DeNormandie did not seek re-election to the Board of Directors in May, 2010.</w:t>
      </w:r>
    </w:p>
    <w:p>
      <w:pPr>
        <w:spacing w:after="0" w:line="76" w:lineRule="exact"/>
        <w:rPr>
          <w:rFonts w:ascii="Arial" w:cs="Arial" w:eastAsia="Arial" w:hAnsi="Arial"/>
          <w:sz w:val="15"/>
          <w:szCs w:val="15"/>
          <w:color w:val="auto"/>
        </w:rPr>
      </w:pPr>
    </w:p>
    <w:p>
      <w:pPr>
        <w:ind w:left="720" w:right="239" w:hanging="388"/>
        <w:spacing w:after="0" w:line="277" w:lineRule="auto"/>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Mrs. Andresen-Kienz was elected to the Board of Directors in May, 2010, but has announced that she will not seek re-election at the 2011 Annual Meeting.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provide the following cash compensation to our non-management Directors in quarterly installments:</w:t>
      </w:r>
    </w:p>
    <w:p>
      <w:pPr>
        <w:spacing w:after="0" w:line="185" w:lineRule="exact"/>
        <w:rPr>
          <w:sz w:val="20"/>
          <w:szCs w:val="20"/>
          <w:color w:val="auto"/>
        </w:rPr>
      </w:pPr>
    </w:p>
    <w:p>
      <w:pPr>
        <w:ind w:left="1080" w:hanging="370"/>
        <w:spacing w:after="0"/>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 annual retainer of $40,000;</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 additional $50,000 to the Chairman of the Board;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 additional $12,500 to the Audit Committee chairperson;</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 additional $5,000 to all committee chairpersons (other than the Audit Committee chairperson) and</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 additional $5,000 to all Audit Committee members.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Compensation Issues</w:t>
      </w:r>
    </w:p>
    <w:p>
      <w:pPr>
        <w:spacing w:after="0" w:line="202" w:lineRule="exact"/>
        <w:rPr>
          <w:sz w:val="20"/>
          <w:szCs w:val="20"/>
          <w:color w:val="auto"/>
        </w:rPr>
      </w:pPr>
    </w:p>
    <w:p>
      <w:pPr>
        <w:ind w:left="340" w:right="239"/>
        <w:spacing w:after="0" w:line="302" w:lineRule="auto"/>
        <w:rPr>
          <w:sz w:val="20"/>
          <w:szCs w:val="20"/>
          <w:color w:val="auto"/>
        </w:rPr>
      </w:pPr>
      <w:r>
        <w:rPr>
          <w:rFonts w:ascii="Arial" w:cs="Arial" w:eastAsia="Arial" w:hAnsi="Arial"/>
          <w:sz w:val="16"/>
          <w:szCs w:val="16"/>
          <w:color w:val="auto"/>
        </w:rPr>
        <w:t>Any Director compensation may be prorated for a Director serving less than a full one-year term as in the case of a Director joining the Board of Directors after an annual meeting of shareholders. Directors are reimbursed for reasonable travel and other expenses incurred in connection with attending meetings of the Board of Directors and its committees. Under Luxembourg law and our Articles of Association, Directors’ compensation is subject to review and adjustment by the shareholders from time to time.</w:t>
      </w:r>
    </w:p>
    <w:p>
      <w:pPr>
        <w:spacing w:after="0" w:line="114" w:lineRule="exact"/>
        <w:rPr>
          <w:sz w:val="20"/>
          <w:szCs w:val="20"/>
          <w:color w:val="auto"/>
        </w:rPr>
      </w:pPr>
    </w:p>
    <w:p>
      <w:pPr>
        <w:ind w:left="340" w:right="199"/>
        <w:spacing w:after="0" w:line="255" w:lineRule="auto"/>
        <w:rPr>
          <w:sz w:val="20"/>
          <w:szCs w:val="20"/>
          <w:color w:val="auto"/>
        </w:rPr>
      </w:pPr>
      <w:r>
        <w:rPr>
          <w:rFonts w:ascii="Arial" w:cs="Arial" w:eastAsia="Arial" w:hAnsi="Arial"/>
          <w:sz w:val="18"/>
          <w:szCs w:val="18"/>
          <w:color w:val="auto"/>
        </w:rPr>
        <w:t>As part of Director compensation, non-management Directors receive shares of Common Stock of Altisource with a fair market value of $45,000. “Fair Market Value” is defined as the average of the high and low prices of the Common Stock as reported on the NASDAQ Stock Exchange on the award date. Equity compensation is paid for the prior year of service after the annual organizational meeting of the Board of Directors which immediately follows the Annual Meeting of Shareholders. Shares will be awarded if the Director attends an aggregate of at least 75% of all meetings of the Board of Directors and committees thereof of which the Director is a member during the award period.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for Change in Compensation</w:t>
      </w:r>
    </w:p>
    <w:p>
      <w:pPr>
        <w:spacing w:after="0" w:line="202" w:lineRule="exact"/>
        <w:rPr>
          <w:sz w:val="20"/>
          <w:szCs w:val="20"/>
          <w:color w:val="auto"/>
        </w:rPr>
      </w:pPr>
    </w:p>
    <w:p>
      <w:pPr>
        <w:jc w:val="both"/>
        <w:ind w:left="340" w:right="739"/>
        <w:spacing w:after="0" w:line="264" w:lineRule="auto"/>
        <w:rPr>
          <w:sz w:val="20"/>
          <w:szCs w:val="20"/>
          <w:color w:val="auto"/>
        </w:rPr>
      </w:pPr>
      <w:r>
        <w:rPr>
          <w:rFonts w:ascii="Arial" w:cs="Arial" w:eastAsia="Arial" w:hAnsi="Arial"/>
          <w:sz w:val="18"/>
          <w:szCs w:val="18"/>
          <w:color w:val="auto"/>
        </w:rPr>
        <w:t>In 2010, the Company engaged Exequity LLP (“Exequity”) to assist in analyzing the competitiveness of its pay levels for non-management Directors and in identifying peer group companies. Please see “Compensation Discussion and Analysis” for more information on the use of Exequity and our peer groups.</w:t>
      </w:r>
    </w:p>
    <w:p>
      <w:pPr>
        <w:spacing w:after="0" w:line="141" w:lineRule="exact"/>
        <w:rPr>
          <w:sz w:val="20"/>
          <w:szCs w:val="20"/>
          <w:color w:val="auto"/>
        </w:rPr>
      </w:pPr>
    </w:p>
    <w:p>
      <w:pPr>
        <w:ind w:left="340" w:right="179"/>
        <w:spacing w:after="0" w:line="290" w:lineRule="auto"/>
        <w:rPr>
          <w:sz w:val="20"/>
          <w:szCs w:val="20"/>
          <w:color w:val="auto"/>
        </w:rPr>
      </w:pPr>
      <w:r>
        <w:rPr>
          <w:rFonts w:ascii="Arial" w:cs="Arial" w:eastAsia="Arial" w:hAnsi="Arial"/>
          <w:sz w:val="16"/>
          <w:szCs w:val="16"/>
          <w:color w:val="auto"/>
        </w:rPr>
        <w:t>Based on a review of data provided by Exequity, the Compensation Committee concluded that the compensation of our Directors is below the median compensation of non-management Directors of our peer group companies by approximately $12,000. The Compensation Committee believes it is important to attract and retain the best possible candidates to serve on our Board of Directors. Therefore, we are including a proposal to our Annual General Meeting that Directors’ compensation be increased by $9,000 in the annual cash retainer paid to our non-management Directors. In addition, we are also proposing to award a one-time grant of 500 shares of Common Stock to each new non-management Director on the date of his or her initial election to the Board of Directors by our shareholders. These shares would vest 25% a year on each anniversary of the grant date. Lastly, we are proposing that all non-management Directors that are elected at the 2011 Annual General Meeting be provided this one-time grant.</w:t>
      </w:r>
    </w:p>
    <w:p>
      <w:pPr>
        <w:spacing w:after="0" w:line="12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02" w:lineRule="exact"/>
        <w:rPr>
          <w:sz w:val="20"/>
          <w:szCs w:val="20"/>
          <w:color w:val="auto"/>
        </w:rPr>
      </w:pPr>
    </w:p>
    <w:p>
      <w:pPr>
        <w:ind w:left="340" w:right="199"/>
        <w:spacing w:after="0" w:line="276"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our executive officer. None of our Directors and/or executive officers are related to any other Directors and/or executive officer of Altisource or any of its subsidiaries by blood, marriage or adoption.</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5"/>
                <w:szCs w:val="15"/>
                <w:color w:val="auto"/>
              </w:rPr>
              <w:t>(1)</w:t>
            </w:r>
          </w:p>
        </w:tc>
        <w:tc>
          <w:tcPr>
            <w:tcW w:w="50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480" w:type="dxa"/>
            <w:vAlign w:val="bottom"/>
          </w:tcPr>
          <w:p>
            <w:pPr>
              <w:spacing w:after="0"/>
              <w:rPr>
                <w:sz w:val="20"/>
                <w:szCs w:val="20"/>
                <w:color w:val="auto"/>
              </w:rPr>
            </w:pPr>
          </w:p>
        </w:tc>
        <w:tc>
          <w:tcPr>
            <w:tcW w:w="608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Robert D. Stiles</w:t>
            </w:r>
          </w:p>
        </w:tc>
        <w:tc>
          <w:tcPr>
            <w:tcW w:w="8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38</w:t>
            </w:r>
          </w:p>
        </w:tc>
        <w:tc>
          <w:tcPr>
            <w:tcW w:w="4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Kevin J. Wilcox</w:t>
            </w:r>
          </w:p>
        </w:tc>
        <w:tc>
          <w:tcPr>
            <w:tcW w:w="8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47</w:t>
            </w:r>
          </w:p>
        </w:tc>
        <w:tc>
          <w:tcPr>
            <w:tcW w:w="4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Chief Administration Officer and General Counsel</w:t>
            </w:r>
          </w:p>
        </w:tc>
      </w:tr>
    </w:tbl>
    <w:p>
      <w:pPr>
        <w:spacing w:after="0" w:line="93"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All information set forth herein is as of March 15, 2011.</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spacing w:after="0" w:line="277"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that is not a Director is set forth below.</w:t>
      </w:r>
    </w:p>
    <w:p>
      <w:pPr>
        <w:spacing w:after="0" w:line="143" w:lineRule="exact"/>
        <w:rPr>
          <w:sz w:val="20"/>
          <w:szCs w:val="20"/>
          <w:color w:val="auto"/>
        </w:rPr>
      </w:pPr>
    </w:p>
    <w:p>
      <w:pPr>
        <w:ind w:left="340" w:right="299"/>
        <w:spacing w:after="0" w:line="288" w:lineRule="auto"/>
        <w:rPr>
          <w:sz w:val="20"/>
          <w:szCs w:val="20"/>
          <w:color w:val="auto"/>
        </w:rPr>
      </w:pPr>
      <w:r>
        <w:rPr>
          <w:rFonts w:ascii="Arial" w:cs="Arial" w:eastAsia="Arial" w:hAnsi="Arial"/>
          <w:sz w:val="16"/>
          <w:szCs w:val="16"/>
          <w:b w:val="1"/>
          <w:bCs w:val="1"/>
          <w:i w:val="1"/>
          <w:iCs w:val="1"/>
          <w:color w:val="auto"/>
        </w:rPr>
        <w:t xml:space="preserve">Robert D. Stiles. </w:t>
      </w:r>
      <w:r>
        <w:rPr>
          <w:rFonts w:ascii="Arial" w:cs="Arial" w:eastAsia="Arial" w:hAnsi="Arial"/>
          <w:sz w:val="16"/>
          <w:szCs w:val="16"/>
          <w:color w:val="auto"/>
        </w:rPr>
        <w:t>Mr. Stiles serves as Chief Financial Officer of Altisource. Before joining Altisource in August of 2009,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of Ocwen Solutions since March 2009. Prior to joining Ocwen, Mr. Stiles served as Director, Controller for Centerline Capital Group since October 2007, as Vice President and Assistant Controller for Viacom Inc. from April 2006 to</w:t>
      </w:r>
    </w:p>
    <w:p>
      <w:pPr>
        <w:ind w:left="340" w:right="199"/>
        <w:spacing w:after="0" w:line="254" w:lineRule="auto"/>
        <w:rPr>
          <w:sz w:val="20"/>
          <w:szCs w:val="20"/>
          <w:color w:val="auto"/>
        </w:rPr>
      </w:pPr>
      <w:r>
        <w:rPr>
          <w:rFonts w:ascii="Arial" w:cs="Arial" w:eastAsia="Arial" w:hAnsi="Arial"/>
          <w:sz w:val="18"/>
          <w:szCs w:val="18"/>
          <w:color w:val="auto"/>
        </w:rPr>
        <w:t>May 2007 and in various positions within Time Warner Inc.’s financial reporting and tax policy groups from August 2002 to April 2006. Mr. Stiles began his career with KPMG LLP and is a Certified Public Accountant (Virginia). He holds a Bachelor of Business Administration in Accounting with a concentration in Information Systems from James Madison University and a Masters of Business Administration from Columbia University.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Kevin J. Wilcox</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Wilcox serves as Chief Administration Officer and General Counsel of Altisource. Before joining Altisource in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August of 2009, he served as Executive Vice President, Chief Administration Officer and Corporate Secretary for Ocwen since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May 2008. Mr. Wilcox previously served as the Senior Vice President of Human Resources and Corporate Services. He joined Ocwen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1998 as Senior Manager, Litigation in the Law Department where he was responsible for the management and resolution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corporate litigation. He holds a Bachelor of Science in Business Administration from the University of Florida and a Juris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Doctorate from the Florida State University College of Law.</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AND RELATED SHAREHOLDER MATTERS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as of the record date by:</w:t>
      </w:r>
    </w:p>
    <w:p>
      <w:pPr>
        <w:spacing w:after="0" w:line="208" w:lineRule="exact"/>
        <w:rPr>
          <w:sz w:val="20"/>
          <w:szCs w:val="20"/>
          <w:color w:val="auto"/>
        </w:rPr>
      </w:pPr>
    </w:p>
    <w:p>
      <w:pPr>
        <w:ind w:left="1080" w:hanging="370"/>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each Director and named executive officer of Altisource;</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all Directors and named executive officers of Altisource as a group; and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all persons known by Altisource to own beneficially 5% or more of the outstanding Common Stock.</w:t>
      </w:r>
    </w:p>
    <w:p>
      <w:pPr>
        <w:spacing w:after="0" w:line="185" w:lineRule="exact"/>
        <w:rPr>
          <w:sz w:val="20"/>
          <w:szCs w:val="20"/>
          <w:color w:val="auto"/>
        </w:rPr>
      </w:pPr>
    </w:p>
    <w:p>
      <w:pPr>
        <w:ind w:left="340" w:right="239"/>
        <w:spacing w:after="0" w:line="264"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Unless otherwise indicated, the address of all persons below is: 291, Route d’Arlon, L-1150 Luxembourg City, Grand Duchy of Luxembourg.</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80" w:type="dxa"/>
            <w:vAlign w:val="bottom"/>
          </w:tcPr>
          <w:p>
            <w:pPr>
              <w:ind w:left="2960"/>
              <w:spacing w:after="0"/>
              <w:rPr>
                <w:sz w:val="20"/>
                <w:szCs w:val="20"/>
                <w:color w:val="auto"/>
              </w:rPr>
            </w:pPr>
            <w:r>
              <w:rPr>
                <w:rFonts w:ascii="Arial" w:cs="Arial" w:eastAsia="Arial" w:hAnsi="Arial"/>
                <w:sz w:val="18"/>
                <w:szCs w:val="18"/>
                <w:b w:val="1"/>
                <w:bCs w:val="1"/>
                <w:color w:val="auto"/>
                <w:w w:val="95"/>
              </w:rPr>
              <w:t>Shares Beneficially Owned as of March 1, 2011</w:t>
            </w:r>
            <w:r>
              <w:rPr>
                <w:rFonts w:ascii="Arial" w:cs="Arial" w:eastAsia="Arial" w:hAnsi="Arial"/>
                <w:sz w:val="15"/>
                <w:szCs w:val="15"/>
                <w:color w:val="auto"/>
                <w:w w:val="95"/>
              </w:rPr>
              <w:t>(1)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280" w:type="dxa"/>
            <w:vAlign w:val="bottom"/>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24"/>
                <w:szCs w:val="2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Leon G. Cooperman</w:t>
            </w:r>
            <w:r>
              <w:rPr>
                <w:rFonts w:ascii="Arial" w:cs="Arial" w:eastAsia="Arial" w:hAnsi="Arial"/>
                <w:sz w:val="15"/>
                <w:szCs w:val="15"/>
                <w:color w:val="auto"/>
              </w:rPr>
              <w:t>(2)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1,957,700</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r>
      <w:tr>
        <w:trPr>
          <w:trHeight w:val="432"/>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80" w:type="dxa"/>
            <w:vAlign w:val="bottom"/>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24"/>
                <w:szCs w:val="2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William C. Erbey</w:t>
            </w:r>
            <w:r>
              <w:rPr>
                <w:rFonts w:ascii="Arial" w:cs="Arial" w:eastAsia="Arial" w:hAnsi="Arial"/>
                <w:sz w:val="15"/>
                <w:szCs w:val="15"/>
                <w:color w:val="auto"/>
              </w:rPr>
              <w:t>(3)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6,449,448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William B. Shepro</w:t>
            </w:r>
            <w:r>
              <w:rPr>
                <w:rFonts w:ascii="Arial" w:cs="Arial" w:eastAsia="Arial" w:hAnsi="Arial"/>
                <w:sz w:val="15"/>
                <w:szCs w:val="15"/>
                <w:color w:val="auto"/>
              </w:rPr>
              <w:t>(4)</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222,353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4,839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Timo Vättö</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3,839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Silke Andresen-Kienz</w:t>
            </w:r>
            <w:r>
              <w:rPr>
                <w:rFonts w:ascii="Arial" w:cs="Arial" w:eastAsia="Arial" w:hAnsi="Arial"/>
                <w:sz w:val="15"/>
                <w:szCs w:val="15"/>
                <w:color w:val="auto"/>
              </w:rPr>
              <w:t>(5)</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 Michael Linn</w:t>
            </w:r>
            <w:r>
              <w:rPr>
                <w:rFonts w:ascii="Arial" w:cs="Arial" w:eastAsia="Arial" w:hAnsi="Arial"/>
                <w:sz w:val="15"/>
                <w:szCs w:val="15"/>
                <w:color w:val="auto"/>
              </w:rPr>
              <w:t>(6)</w:t>
            </w: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15"/>
                <w:szCs w:val="15"/>
                <w:color w:val="auto"/>
              </w:rPr>
              <w:t>(7)</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9,167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Kevin J. Wilcox</w:t>
            </w:r>
            <w:r>
              <w:rPr>
                <w:rFonts w:ascii="Arial" w:cs="Arial" w:eastAsia="Arial" w:hAnsi="Arial"/>
                <w:sz w:val="15"/>
                <w:szCs w:val="15"/>
                <w:color w:val="auto"/>
              </w:rPr>
              <w:t>(8)</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136,882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Named Executive Officers as a Group (7 persons)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6,826,528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26.04%</w:t>
            </w:r>
          </w:p>
        </w:tc>
      </w:tr>
    </w:tbl>
    <w:p>
      <w:pPr>
        <w:spacing w:after="0" w:line="107"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720" w:right="399" w:hanging="388"/>
        <w:spacing w:after="0" w:line="302" w:lineRule="auto"/>
        <w:tabs>
          <w:tab w:leader="none" w:pos="720" w:val="left"/>
        </w:tabs>
        <w:numPr>
          <w:ilvl w:val="0"/>
          <w:numId w:val="16"/>
        </w:numPr>
        <w:rPr>
          <w:rFonts w:ascii="Arial" w:cs="Arial" w:eastAsia="Arial" w:hAnsi="Arial"/>
          <w:sz w:val="14"/>
          <w:szCs w:val="14"/>
          <w:color w:val="auto"/>
        </w:rPr>
      </w:pPr>
      <w:r>
        <w:rPr>
          <w:rFonts w:ascii="Arial" w:cs="Arial" w:eastAsia="Arial" w:hAnsi="Arial"/>
          <w:sz w:val="16"/>
          <w:szCs w:val="16"/>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or Directors.</w:t>
      </w:r>
    </w:p>
    <w:p>
      <w:pPr>
        <w:spacing w:after="0" w:line="5" w:lineRule="exact"/>
        <w:rPr>
          <w:rFonts w:ascii="Arial" w:cs="Arial" w:eastAsia="Arial" w:hAnsi="Arial"/>
          <w:sz w:val="14"/>
          <w:szCs w:val="14"/>
          <w:color w:val="auto"/>
        </w:rPr>
      </w:pPr>
    </w:p>
    <w:p>
      <w:pPr>
        <w:jc w:val="both"/>
        <w:ind w:left="720" w:right="359" w:hanging="388"/>
        <w:spacing w:after="0" w:line="311" w:lineRule="auto"/>
        <w:tabs>
          <w:tab w:leader="none" w:pos="720" w:val="left"/>
        </w:tabs>
        <w:numPr>
          <w:ilvl w:val="0"/>
          <w:numId w:val="16"/>
        </w:numPr>
        <w:rPr>
          <w:rFonts w:ascii="Arial" w:cs="Arial" w:eastAsia="Arial" w:hAnsi="Arial"/>
          <w:sz w:val="14"/>
          <w:szCs w:val="14"/>
          <w:color w:val="auto"/>
        </w:rPr>
      </w:pPr>
      <w:r>
        <w:rPr>
          <w:rFonts w:ascii="Arial" w:cs="Arial" w:eastAsia="Arial" w:hAnsi="Arial"/>
          <w:sz w:val="16"/>
          <w:szCs w:val="16"/>
          <w:color w:val="auto"/>
        </w:rPr>
        <w:t>Based on information contained in a Schedule 13G/A filed with the Securities and Exchange Commission on February 4, 2011 by Leon G. Cooperman. Includes 1,014,200 shares as to which sole voting power is claimed and 1,014,200 shares as to which sole dispositive power is claimed. Mr. Cooperman’s address is 2700 North Military Trail, Suite 230, Boca Raton FL 33431.</w:t>
      </w:r>
    </w:p>
    <w:p>
      <w:pPr>
        <w:ind w:left="720" w:right="259" w:hanging="388"/>
        <w:spacing w:after="0" w:line="297" w:lineRule="auto"/>
        <w:tabs>
          <w:tab w:leader="none" w:pos="720" w:val="left"/>
        </w:tabs>
        <w:numPr>
          <w:ilvl w:val="0"/>
          <w:numId w:val="16"/>
        </w:numPr>
        <w:rPr>
          <w:rFonts w:ascii="Arial" w:cs="Arial" w:eastAsia="Arial" w:hAnsi="Arial"/>
          <w:sz w:val="14"/>
          <w:szCs w:val="14"/>
          <w:color w:val="auto"/>
        </w:rPr>
      </w:pPr>
      <w:r>
        <w:rPr>
          <w:rFonts w:ascii="Arial" w:cs="Arial" w:eastAsia="Arial" w:hAnsi="Arial"/>
          <w:sz w:val="16"/>
          <w:szCs w:val="16"/>
          <w:color w:val="auto"/>
        </w:rPr>
        <w:t>Includes 4,110,396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and to 13,862 shares held jointly. Also includes 1,803,234 shares held by Erbey Holding Corporation, a corporation wholly-owned by William C. Erbey and includes options to acquire 520,117 shares which are exercisable on or within 60 days after March 1, 2011.</w:t>
      </w: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720" w:right="239" w:hanging="388"/>
        <w:spacing w:after="0" w:line="264" w:lineRule="auto"/>
        <w:tabs>
          <w:tab w:leader="none" w:pos="7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Includes options to acquire 197,490 shares which are exercisable on or within 60 days after March 1, 2011. Includes 24,871 shares held by the William B. Shepro Revocable Trust. Mr. and Mrs. William B. Shepro share voting and dispositive power with respect to these shares.</w:t>
      </w:r>
    </w:p>
    <w:p>
      <w:pPr>
        <w:spacing w:after="0" w:line="32" w:lineRule="exact"/>
        <w:rPr>
          <w:rFonts w:ascii="Arial" w:cs="Arial" w:eastAsia="Arial" w:hAnsi="Arial"/>
          <w:sz w:val="15"/>
          <w:szCs w:val="15"/>
          <w:color w:val="auto"/>
        </w:rPr>
      </w:pPr>
    </w:p>
    <w:p>
      <w:pPr>
        <w:ind w:left="720" w:hanging="388"/>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Mrs. Andresen-Kienz currently serves as a Director but is not seeking reelection to the Board of Directors.</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Mr. Linn does not currently serve as a Director but has been nominated for election to the Board of Directors.</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Includes options to acquire 9,167 shares which are exercisable on or within 60 days after March 1, 2011.</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Includes options to acquire 136,150 shares which are exercisable on or within 60 days after March 1, 2011.</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left="340" w:right="259"/>
        <w:spacing w:after="0" w:line="286" w:lineRule="auto"/>
        <w:rPr>
          <w:sz w:val="20"/>
          <w:szCs w:val="20"/>
          <w:color w:val="auto"/>
        </w:rPr>
      </w:pPr>
      <w:r>
        <w:rPr>
          <w:rFonts w:ascii="Arial" w:cs="Arial" w:eastAsia="Arial" w:hAnsi="Arial"/>
          <w:sz w:val="17"/>
          <w:szCs w:val="17"/>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 to</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Weighted average</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 issued upon exercise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exercise price of</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future issuance under</w:t>
            </w:r>
          </w:p>
        </w:tc>
      </w:t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outstanding options,</w:t>
            </w:r>
          </w:p>
        </w:tc>
        <w:tc>
          <w:tcPr>
            <w:tcW w:w="1960" w:type="dxa"/>
            <w:vAlign w:val="bottom"/>
            <w:gridSpan w:val="4"/>
          </w:tcPr>
          <w:p>
            <w:pPr>
              <w:ind w:left="140"/>
              <w:spacing w:after="0"/>
              <w:rPr>
                <w:sz w:val="20"/>
                <w:szCs w:val="20"/>
                <w:color w:val="auto"/>
              </w:rPr>
            </w:pPr>
            <w:r>
              <w:rPr>
                <w:rFonts w:ascii="Arial" w:cs="Arial" w:eastAsia="Arial" w:hAnsi="Arial"/>
                <w:sz w:val="18"/>
                <w:szCs w:val="18"/>
                <w:b w:val="1"/>
                <w:bCs w:val="1"/>
                <w:color w:val="auto"/>
              </w:rPr>
              <w:t>outstanding options,</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equity compensation</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80" w:type="dxa"/>
            <w:vAlign w:val="bottom"/>
          </w:tcPr>
          <w:p>
            <w:pPr>
              <w:spacing w:after="0"/>
              <w:rPr>
                <w:sz w:val="20"/>
                <w:szCs w:val="20"/>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warrants and rights</w:t>
            </w:r>
          </w:p>
        </w:tc>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warrants and rights</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plans</w:t>
            </w:r>
          </w:p>
        </w:tc>
      </w:tr>
      <w:tr>
        <w:trPr>
          <w:trHeight w:val="195"/>
        </w:trPr>
        <w:tc>
          <w:tcPr>
            <w:tcW w:w="3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Equity compensation plans approved by security</w:t>
            </w:r>
          </w:p>
        </w:tc>
        <w:tc>
          <w:tcPr>
            <w:tcW w:w="180" w:type="dxa"/>
            <w:vAlign w:val="bottom"/>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3,451,613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2,711,399</w:t>
            </w: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w w:val="90"/>
              </w:rPr>
              <w:t>Equity compensation plans not approved by security</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holders</w:t>
            </w:r>
          </w:p>
        </w:tc>
        <w:tc>
          <w:tcPr>
            <w:tcW w:w="18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3,451,613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2,711,399</w:t>
            </w: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ind w:left="340" w:right="179"/>
        <w:spacing w:after="0" w:line="293" w:lineRule="auto"/>
        <w:rPr>
          <w:sz w:val="20"/>
          <w:szCs w:val="20"/>
          <w:color w:val="auto"/>
        </w:rPr>
      </w:pPr>
      <w:r>
        <w:rPr>
          <w:rFonts w:ascii="Arial" w:cs="Arial" w:eastAsia="Arial" w:hAnsi="Arial"/>
          <w:sz w:val="16"/>
          <w:szCs w:val="16"/>
          <w:color w:val="auto"/>
        </w:rPr>
        <w:t>Based upon the Company’s review of Section 16(a) reports, the Company believes that all Section 16(a) filing requirements applicable to such reporting persons were complied with, except that the following Section 16 reports were filed late primarily as a result of an administrative oversight following the Company’s separation from Ocwen: William C. Erbey filed one late report, an amendment, which covered fourteen transactions; William B. Shepro filed two late reports, including one amendment, which covered fourteen transactions; Kevin J. Wilcox filed two late reports, including one amendment, which covered fourteen transactions; and Robert D. Stiles filed one late report covering three transactions. Silke Andresen-Kienz filed one late report to report her status as an insider.</w:t>
      </w:r>
    </w:p>
    <w:p>
      <w:pPr>
        <w:spacing w:after="0" w:line="200" w:lineRule="exact"/>
        <w:rPr>
          <w:sz w:val="20"/>
          <w:szCs w:val="20"/>
          <w:color w:val="auto"/>
        </w:rPr>
      </w:pPr>
    </w:p>
    <w:p>
      <w:pPr>
        <w:spacing w:after="0" w:line="31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189" w:lineRule="exact"/>
        <w:rPr>
          <w:sz w:val="20"/>
          <w:szCs w:val="20"/>
          <w:color w:val="auto"/>
        </w:rPr>
      </w:pPr>
    </w:p>
    <w:p>
      <w:pPr>
        <w:ind w:left="340" w:right="199"/>
        <w:spacing w:after="0" w:line="271" w:lineRule="auto"/>
        <w:rPr>
          <w:sz w:val="20"/>
          <w:szCs w:val="20"/>
          <w:color w:val="auto"/>
        </w:rPr>
      </w:pPr>
      <w:r>
        <w:rPr>
          <w:rFonts w:ascii="Arial" w:cs="Arial" w:eastAsia="Arial" w:hAnsi="Arial"/>
          <w:sz w:val="17"/>
          <w:szCs w:val="17"/>
          <w:color w:val="auto"/>
        </w:rPr>
        <w:t>We believe an effective executive compensation program aligns executives’ interests with shareholders by rewarding performance that achieves or exceeds specific financial targets and strategic goals designed to improve shareholder value. We seek to promote individual service longevity and to provide our executives with long-term incentive opportunities that promote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198" w:lineRule="exact"/>
        <w:rPr>
          <w:sz w:val="20"/>
          <w:szCs w:val="20"/>
          <w:color w:val="auto"/>
        </w:rPr>
      </w:pPr>
    </w:p>
    <w:p>
      <w:pPr>
        <w:ind w:left="1080" w:right="579" w:hanging="370"/>
        <w:spacing w:after="0" w:line="277" w:lineRule="auto"/>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compensation programs for our Chief Executive Officer, Chief Financial Officer and Chief Administration Officer and General Counsel;</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overall objectives of our compensation program and what it is designed to reward;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each element of compensation that we provide; and</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reasons for the compensation decisions we have made regarding these individuals.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2010 are: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spacing w:after="0"/>
              <w:rPr>
                <w:sz w:val="20"/>
                <w:szCs w:val="20"/>
                <w:color w:val="auto"/>
              </w:rPr>
            </w:pPr>
          </w:p>
        </w:tc>
        <w:tc>
          <w:tcPr>
            <w:tcW w:w="6700" w:type="dxa"/>
            <w:vAlign w:val="bottom"/>
            <w:tcBorders>
              <w:bottom w:val="single" w:sz="8" w:color="auto"/>
            </w:tcBorders>
          </w:tcPr>
          <w:p>
            <w:pPr>
              <w:ind w:left="304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48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Robert D. Stiles</w:t>
            </w:r>
          </w:p>
        </w:tc>
        <w:tc>
          <w:tcPr>
            <w:tcW w:w="4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48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Chief Administration Officer and General Counsel</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02" w:lineRule="exact"/>
        <w:rPr>
          <w:sz w:val="20"/>
          <w:szCs w:val="20"/>
          <w:color w:val="auto"/>
        </w:rPr>
      </w:pPr>
    </w:p>
    <w:p>
      <w:pPr>
        <w:ind w:left="340" w:right="219"/>
        <w:spacing w:after="0" w:line="272" w:lineRule="auto"/>
        <w:rPr>
          <w:sz w:val="20"/>
          <w:szCs w:val="20"/>
          <w:color w:val="auto"/>
        </w:rPr>
      </w:pPr>
      <w:r>
        <w:rPr>
          <w:rFonts w:ascii="Arial" w:cs="Arial" w:eastAsia="Arial" w:hAnsi="Arial"/>
          <w:sz w:val="17"/>
          <w:szCs w:val="17"/>
          <w:color w:val="auto"/>
        </w:rPr>
        <w:t>Certain executives are involved in the design and implementation of our executive compensation programs including the Chief Executive Officer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Role of Compensation Consultant</w:t>
      </w:r>
    </w:p>
    <w:p>
      <w:pPr>
        <w:spacing w:after="0" w:line="189" w:lineRule="exact"/>
        <w:rPr>
          <w:sz w:val="20"/>
          <w:szCs w:val="20"/>
          <w:color w:val="auto"/>
        </w:rPr>
      </w:pPr>
    </w:p>
    <w:p>
      <w:pPr>
        <w:ind w:left="340" w:right="459"/>
        <w:spacing w:after="0" w:line="259" w:lineRule="auto"/>
        <w:rPr>
          <w:sz w:val="20"/>
          <w:szCs w:val="20"/>
          <w:color w:val="auto"/>
        </w:rPr>
      </w:pPr>
      <w:r>
        <w:rPr>
          <w:rFonts w:ascii="Arial" w:cs="Arial" w:eastAsia="Arial" w:hAnsi="Arial"/>
          <w:sz w:val="18"/>
          <w:szCs w:val="18"/>
          <w:color w:val="auto"/>
        </w:rPr>
        <w:t>To further the objectives of our compensation program, in December 2010, our Compensation Committee, pursuant to its authority under its Committee Charter, retained an independent compensation consultant, Exequity, to provide advice on executive compensation matters and to assist the Committee and management in their review of the compensation for our named executive officers, other key executives and our Board of Directors.</w:t>
      </w:r>
    </w:p>
    <w:p>
      <w:pPr>
        <w:spacing w:after="0" w:line="160" w:lineRule="exact"/>
        <w:rPr>
          <w:sz w:val="20"/>
          <w:szCs w:val="20"/>
          <w:color w:val="auto"/>
        </w:rPr>
      </w:pPr>
    </w:p>
    <w:p>
      <w:pPr>
        <w:ind w:left="340" w:right="559"/>
        <w:spacing w:after="0" w:line="259" w:lineRule="auto"/>
        <w:rPr>
          <w:sz w:val="20"/>
          <w:szCs w:val="20"/>
          <w:color w:val="auto"/>
        </w:rPr>
      </w:pPr>
      <w:r>
        <w:rPr>
          <w:rFonts w:ascii="Arial" w:cs="Arial" w:eastAsia="Arial" w:hAnsi="Arial"/>
          <w:sz w:val="18"/>
          <w:szCs w:val="18"/>
          <w:color w:val="auto"/>
        </w:rPr>
        <w:t>Our continuing engagement with Exequity will be project-based and in response to the needs of our Compensation Committee. Pursuant to the terms of our engagement with Exequity, Exequity will report directly to the Compensation Committee, receive compensation only for compensation advisory services provided to the Compensation Committee and will have no other business relationship with the Company.</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19"/>
        <w:spacing w:after="0" w:line="276" w:lineRule="auto"/>
        <w:rPr>
          <w:sz w:val="20"/>
          <w:szCs w:val="20"/>
          <w:color w:val="auto"/>
        </w:rPr>
      </w:pPr>
      <w:r>
        <w:rPr>
          <w:rFonts w:ascii="Arial" w:cs="Arial" w:eastAsia="Arial" w:hAnsi="Arial"/>
          <w:sz w:val="17"/>
          <w:szCs w:val="17"/>
          <w:color w:val="auto"/>
        </w:rPr>
        <w:t>As part of its analysis, Exequity provided research and presented information to the Committee related to compensation trends and “best practices” in executive and director compensation among peer group companies in a similar line of business and of similar size to Altisource. Executive compensation data and other resources provided by Exequity set the foundation for the Committee’s review and analysis of Executive and Director Compensation levels. Please see “Setting Compensation Levels” for information on the peer group companies the Compensation Committee used in its analysis.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Employment Agreements</w:t>
      </w:r>
    </w:p>
    <w:p>
      <w:pPr>
        <w:spacing w:after="0" w:line="189" w:lineRule="exact"/>
        <w:rPr>
          <w:sz w:val="20"/>
          <w:szCs w:val="20"/>
          <w:color w:val="auto"/>
        </w:rPr>
      </w:pPr>
    </w:p>
    <w:p>
      <w:pPr>
        <w:ind w:left="340" w:right="179"/>
        <w:spacing w:after="0" w:line="291" w:lineRule="auto"/>
        <w:rPr>
          <w:sz w:val="20"/>
          <w:szCs w:val="20"/>
          <w:color w:val="auto"/>
        </w:rPr>
      </w:pPr>
      <w:r>
        <w:rPr>
          <w:rFonts w:ascii="Arial" w:cs="Arial" w:eastAsia="Arial" w:hAnsi="Arial"/>
          <w:sz w:val="16"/>
          <w:szCs w:val="16"/>
          <w:color w:val="auto"/>
        </w:rPr>
        <w:t>As required by Luxembourg law, Altisource has entered into employment agreements with William B. Shepro, our Chief Executive Officer, Robert D. Stiles, our Chief Financial Officer and Kevin J. Wilcox, our Chief Administration Officer and General Counsel. The employment terms continue indefinitely until the executive’s separation. The contracts provide for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employment with the Company including, without limitation, reimbursement of relocation expenses and the provision of certain allowances as described in the Executive Compensation section below.</w:t>
      </w:r>
    </w:p>
    <w:p>
      <w:pPr>
        <w:spacing w:after="0" w:line="127" w:lineRule="exact"/>
        <w:rPr>
          <w:sz w:val="20"/>
          <w:szCs w:val="20"/>
          <w:color w:val="auto"/>
        </w:rPr>
      </w:pPr>
    </w:p>
    <w:p>
      <w:pPr>
        <w:ind w:left="340" w:right="179"/>
        <w:spacing w:after="0" w:line="293" w:lineRule="auto"/>
        <w:rPr>
          <w:sz w:val="20"/>
          <w:szCs w:val="20"/>
          <w:color w:val="auto"/>
        </w:rPr>
      </w:pPr>
      <w:r>
        <w:rPr>
          <w:rFonts w:ascii="Arial" w:cs="Arial" w:eastAsia="Arial" w:hAnsi="Arial"/>
          <w:sz w:val="16"/>
          <w:szCs w:val="16"/>
          <w:color w:val="auto"/>
        </w:rPr>
        <w:t>In order to terminate the contract, each party must provide notice in accordance with the time periods set forth in article L.124-1 of the Luxembourg Labour Code. In the event of the executive’s termination by the Company for “cause” (as such term is defined in the employment agreement), no notice is required. In addition, in the event that the executive’s employment is terminated by the Company without “cause” (as such term is defined in the employment agreement) or the executive resigns for “good reason” (as such term is defined in the employment agreement), the executive will receive severance benefits. Furthermore, the executive may be entitled to receive redundancy payments in accordance with article L.124-7 of the Luxembourg Labour Code upon certain terminations.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contracts also provide for a covenant to maintain our confidential information and to enter into an intellectual property agreement.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executive is bound by a non-solicitation covenant for a period of one (1) year following the termination of the contract.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agreements are governed in accordance with the laws of the Grand Duchy of Luxembourg.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Elements of Compensation</w:t>
      </w:r>
    </w:p>
    <w:p>
      <w:pPr>
        <w:spacing w:after="0" w:line="189" w:lineRule="exact"/>
        <w:rPr>
          <w:sz w:val="20"/>
          <w:szCs w:val="20"/>
          <w:color w:val="auto"/>
        </w:rPr>
      </w:pPr>
    </w:p>
    <w:p>
      <w:pPr>
        <w:ind w:left="340" w:right="439"/>
        <w:spacing w:after="0" w:line="257" w:lineRule="auto"/>
        <w:rPr>
          <w:sz w:val="20"/>
          <w:szCs w:val="20"/>
          <w:color w:val="auto"/>
        </w:rPr>
      </w:pPr>
      <w:r>
        <w:rPr>
          <w:rFonts w:ascii="Arial" w:cs="Arial" w:eastAsia="Arial" w:hAnsi="Arial"/>
          <w:sz w:val="18"/>
          <w:szCs w:val="18"/>
          <w:color w:val="auto"/>
        </w:rPr>
        <w:t>The current compensation package for our executive officers consists of base salary and annual incentive compensation. This compensation structure was developed in order to provide each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61" w:lineRule="exact"/>
        <w:rPr>
          <w:sz w:val="20"/>
          <w:szCs w:val="20"/>
          <w:color w:val="auto"/>
        </w:rPr>
      </w:pPr>
    </w:p>
    <w:p>
      <w:pPr>
        <w:ind w:left="340" w:right="279"/>
        <w:spacing w:after="0" w:line="290"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salaries for our executive officers are established based on individual qualifications and job responsibilities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taking into account compensation levels at similarly situated companies for similar positions. 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and Chief Administration Officer.</w:t>
      </w:r>
    </w:p>
    <w:p>
      <w:pPr>
        <w:spacing w:after="0" w:line="126" w:lineRule="exact"/>
        <w:rPr>
          <w:sz w:val="20"/>
          <w:szCs w:val="20"/>
          <w:color w:val="auto"/>
        </w:rPr>
      </w:pPr>
    </w:p>
    <w:p>
      <w:pPr>
        <w:ind w:left="340" w:right="579"/>
        <w:spacing w:after="0" w:line="312" w:lineRule="auto"/>
        <w:rPr>
          <w:sz w:val="20"/>
          <w:szCs w:val="20"/>
          <w:color w:val="auto"/>
        </w:rPr>
      </w:pPr>
      <w:r>
        <w:rPr>
          <w:rFonts w:ascii="Arial" w:cs="Arial" w:eastAsia="Arial" w:hAnsi="Arial"/>
          <w:sz w:val="16"/>
          <w:szCs w:val="16"/>
          <w:b w:val="1"/>
          <w:bCs w:val="1"/>
          <w:i w:val="1"/>
          <w:iCs w:val="1"/>
          <w:color w:val="auto"/>
        </w:rPr>
        <w:t>Annual Incentive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Altisource’s annual incentive plan, a participant can earn cash, restricted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 awards as determined by the Compensation Committee. The plan provides the Compensation Committee and our management with the authority to establish incentive award guidelines which are further discussed below.</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spacing w:after="0" w:line="255" w:lineRule="auto"/>
        <w:rPr>
          <w:sz w:val="20"/>
          <w:szCs w:val="20"/>
          <w:color w:val="auto"/>
        </w:rPr>
      </w:pPr>
      <w:r>
        <w:rPr>
          <w:rFonts w:ascii="Arial" w:cs="Arial" w:eastAsia="Arial" w:hAnsi="Arial"/>
          <w:sz w:val="18"/>
          <w:szCs w:val="18"/>
          <w:color w:val="auto"/>
        </w:rPr>
        <w:t>Each executive officer has a targeted annual cash incentive award that is expressed as a percentage of annual cash total target compensation for each executive officer. In 2010, 40-60% of total annual cash target compensation was payable only upon achievement of certain minimum Company and individual performance levels. The appropriate targeted percentage is determined and varies based upon the nature and scope of each executive officer’s responsibilities. The table below reflects the percentage of each executive officer’s target total annual cash compensation that was allocated to each of base salary and incentive compensation in 2010 and each executive officer’s actual total annual cash compensation that was allocated to each of base salary and incentive compensation in 2010:</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Incentive</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Incentive</w:t>
            </w:r>
          </w:p>
        </w:tc>
      </w:tr>
      <w:tr>
        <w:trPr>
          <w:trHeight w:val="216"/>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Base Salary % of</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Compensation % of</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Base Salary % of</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Compensation % of</w:t>
            </w:r>
          </w:p>
        </w:tc>
      </w:tr>
      <w:tr>
        <w:trPr>
          <w:trHeight w:val="216"/>
        </w:trPr>
        <w:tc>
          <w:tcPr>
            <w:tcW w:w="220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Target Total Annual</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Target Total Annual</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Actual Total Annual</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Actual Total Annual</w:t>
            </w:r>
          </w:p>
        </w:tc>
      </w:tr>
      <w:tr>
        <w:trPr>
          <w:trHeight w:val="216"/>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Cash Compensation</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Cash Compensation</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Cash Compensation</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Cash Compensation</w:t>
            </w:r>
          </w:p>
        </w:tc>
      </w:tr>
      <w:tr>
        <w:trPr>
          <w:trHeight w:val="234"/>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2010</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2010</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2010</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2010</w:t>
            </w:r>
          </w:p>
        </w:tc>
        <w:tc>
          <w:tcPr>
            <w:tcW w:w="160" w:type="dxa"/>
            <w:vAlign w:val="bottom"/>
          </w:tcPr>
          <w:p>
            <w:pPr>
              <w:spacing w:after="0"/>
              <w:rPr>
                <w:sz w:val="20"/>
                <w:szCs w:val="20"/>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2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Robert D. Stiles</w:t>
            </w:r>
          </w:p>
        </w:tc>
        <w:tc>
          <w:tcPr>
            <w:tcW w:w="2040" w:type="dxa"/>
            <w:vAlign w:val="bottom"/>
            <w:gridSpan w:val="3"/>
          </w:tcPr>
          <w:p>
            <w:pPr>
              <w:jc w:val="right"/>
              <w:ind w:right="160"/>
              <w:spacing w:after="0"/>
              <w:rPr>
                <w:sz w:val="20"/>
                <w:szCs w:val="20"/>
                <w:color w:val="auto"/>
              </w:rPr>
            </w:pPr>
            <w:r>
              <w:rPr>
                <w:rFonts w:ascii="Arial" w:cs="Arial" w:eastAsia="Arial" w:hAnsi="Arial"/>
                <w:sz w:val="18"/>
                <w:szCs w:val="18"/>
                <w:color w:val="auto"/>
              </w:rPr>
              <w:t>60%</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2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bl>
    <w:p>
      <w:pPr>
        <w:spacing w:after="0" w:line="175" w:lineRule="exact"/>
        <w:rPr>
          <w:sz w:val="20"/>
          <w:szCs w:val="20"/>
          <w:color w:val="auto"/>
        </w:rPr>
      </w:pPr>
    </w:p>
    <w:p>
      <w:pPr>
        <w:ind w:left="340" w:right="339"/>
        <w:spacing w:after="0" w:line="270" w:lineRule="auto"/>
        <w:rPr>
          <w:sz w:val="20"/>
          <w:szCs w:val="20"/>
          <w:color w:val="auto"/>
        </w:rPr>
      </w:pPr>
      <w:r>
        <w:rPr>
          <w:rFonts w:ascii="Arial" w:cs="Arial" w:eastAsia="Arial" w:hAnsi="Arial"/>
          <w:sz w:val="17"/>
          <w:szCs w:val="17"/>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2010, our corporate scorecard was approved by our Board of Directors at our meeting on January 26, 2010.</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scorecard for 2010 and corresponding achievement levels are detailed below:</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2010 Corporate Scorecard Elements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Achievement Levels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02"/>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Element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Level Achieved</w:t>
            </w:r>
          </w:p>
        </w:tc>
      </w:tr>
      <w:tr>
        <w:trPr>
          <w:trHeight w:val="389"/>
        </w:trPr>
        <w:tc>
          <w:tcPr>
            <w:tcW w:w="1880" w:type="dxa"/>
            <w:vAlign w:val="bottom"/>
            <w:gridSpan w:val="2"/>
          </w:tcPr>
          <w:p>
            <w:pPr>
              <w:spacing w:after="0"/>
              <w:rPr>
                <w:sz w:val="20"/>
                <w:szCs w:val="20"/>
                <w:color w:val="auto"/>
              </w:rPr>
            </w:pPr>
            <w:r>
              <w:rPr>
                <w:rFonts w:ascii="Arial" w:cs="Arial" w:eastAsia="Arial" w:hAnsi="Arial"/>
                <w:sz w:val="16"/>
                <w:szCs w:val="16"/>
                <w:color w:val="auto"/>
              </w:rPr>
              <w:t>Achieve Revenue</w:t>
            </w:r>
          </w:p>
        </w:tc>
        <w:tc>
          <w:tcPr>
            <w:tcW w:w="1820" w:type="dxa"/>
            <w:vAlign w:val="bottom"/>
          </w:tcPr>
          <w:p>
            <w:pPr>
              <w:jc w:val="center"/>
              <w:spacing w:after="0"/>
              <w:rPr>
                <w:sz w:val="20"/>
                <w:szCs w:val="20"/>
                <w:color w:val="auto"/>
              </w:rPr>
            </w:pPr>
            <w:r>
              <w:rPr>
                <w:rFonts w:ascii="Arial" w:cs="Arial" w:eastAsia="Arial" w:hAnsi="Arial"/>
                <w:sz w:val="16"/>
                <w:szCs w:val="16"/>
                <w:color w:val="auto"/>
                <w:w w:val="95"/>
              </w:rPr>
              <w:t>$244.8 million</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7"/>
              </w:rPr>
              <w:t>$272.0 million</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7"/>
              </w:rPr>
              <w:t>$299.2 million</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$301.4 million</w:t>
            </w: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Target</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880" w:type="dxa"/>
            <w:vAlign w:val="bottom"/>
            <w:gridSpan w:val="2"/>
          </w:tcPr>
          <w:p>
            <w:pPr>
              <w:spacing w:after="0"/>
              <w:rPr>
                <w:sz w:val="20"/>
                <w:szCs w:val="20"/>
                <w:color w:val="auto"/>
              </w:rPr>
            </w:pPr>
            <w:r>
              <w:rPr>
                <w:rFonts w:ascii="Arial" w:cs="Arial" w:eastAsia="Arial" w:hAnsi="Arial"/>
                <w:sz w:val="16"/>
                <w:szCs w:val="16"/>
                <w:color w:val="auto"/>
              </w:rPr>
              <w:t>Achieve EPS Target</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$1.53 Diluted EPS</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$1.70 diluted EPS</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$1.87 Diluted EPS</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$1.88 Diluted EPS</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Optimize Legal</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Executive Committee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Executive Committee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Executive Committee</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Executive Committee</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Structure</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discretion of average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discretion of average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 of material</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determined material</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achieved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achieved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achieved by</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improvement</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December 31,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achieved by June</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30, 2010</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Successfully complete the</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80%</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Achieve 90% weighted</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Achieve 100%</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Achieved weighted average</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Company’s key strategic</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weighted average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6"/>
              </w:rPr>
              <w:t>average score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weighted average</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score of 101.6%</w:t>
            </w: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initiatives</w:t>
            </w:r>
          </w:p>
        </w:tc>
        <w:tc>
          <w:tcPr>
            <w:tcW w:w="1820" w:type="dxa"/>
            <w:vAlign w:val="bottom"/>
          </w:tcPr>
          <w:p>
            <w:pPr>
              <w:jc w:val="center"/>
              <w:spacing w:after="0"/>
              <w:rPr>
                <w:sz w:val="20"/>
                <w:szCs w:val="20"/>
                <w:color w:val="auto"/>
              </w:rPr>
            </w:pPr>
            <w:r>
              <w:rPr>
                <w:rFonts w:ascii="Arial" w:cs="Arial" w:eastAsia="Arial" w:hAnsi="Arial"/>
                <w:sz w:val="16"/>
                <w:szCs w:val="16"/>
                <w:color w:val="auto"/>
                <w:w w:val="86"/>
              </w:rPr>
              <w:t>score</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6"/>
              </w:rPr>
              <w:t>score</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Strategic Initiatives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Achievement Levels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02"/>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Element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Level Achieved</w:t>
            </w:r>
          </w:p>
        </w:tc>
      </w:tr>
      <w:tr>
        <w:trPr>
          <w:trHeight w:val="389"/>
        </w:trPr>
        <w:tc>
          <w:tcPr>
            <w:tcW w:w="1880" w:type="dxa"/>
            <w:vAlign w:val="bottom"/>
            <w:gridSpan w:val="2"/>
          </w:tcPr>
          <w:p>
            <w:pPr>
              <w:spacing w:after="0"/>
              <w:rPr>
                <w:sz w:val="20"/>
                <w:szCs w:val="20"/>
                <w:color w:val="auto"/>
              </w:rPr>
            </w:pPr>
            <w:r>
              <w:rPr>
                <w:rFonts w:ascii="Arial" w:cs="Arial" w:eastAsia="Arial" w:hAnsi="Arial"/>
                <w:sz w:val="16"/>
                <w:szCs w:val="16"/>
                <w:color w:val="auto"/>
              </w:rPr>
              <w:t>Existing Customer</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Achieve planned</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Achieve planned</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Achieve planned</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Achieved planned</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Penetration</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penetration level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penetration level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penetration level by</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penetration level by</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June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May 31,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5"/>
              </w:rPr>
              <w:t>April 30,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April 30, 2010</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New Customer</w:t>
            </w: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Achieve $19.5 million in</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Achieve $21.7 million in</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Achieve $23.9 million in</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Achieved $20.6 million in</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Penetration</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revenue from new third-</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revenue from new third-</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revenue from new third-</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revenue from new third-</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party clients</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party clients</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party clients</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party clients</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Invest in new</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Two plans approved (at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Two plans approved (at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Two plans approved (at</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Two plans approved by</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 Offerings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CEO discretion). One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CEO discretion). One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CEO discretion). One by</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March 31, 2010; One</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March 31, 2010 with</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March 31. 2010 with</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March 31, 2010 with</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additional plan approved by</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completion at target level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completion at target level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completion at target level</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June 30, 2010</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and second plan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and second plan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and second plan by</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October 31, 2010 with</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August 31, 2010 with</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June 30, 2010 with</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completion at target level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completion at target level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completion at target level</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18% performance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24% performance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30% performance</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0% performance</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services at lowest</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improvement in call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improvement in call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improvement in call</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improvement in call</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operating costs —</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center functions</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center functions</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center functions</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center functions</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Productivity</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Improvement</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Six Sigma process</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Six Sigma process</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Six Sigma process</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Six Sigma process</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services at lowest</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plan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plan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plan</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improvement plan approved</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operating costs — Six</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approved by April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approved by March 31,</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approved by February 28,</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by February 28, 2010 and</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Sigma Project</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and average quality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2010 and average quality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2010 and high quality</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Executive Committee has</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implementation —</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implementation —</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implementation —</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determined the</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Executive Committee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Executive Committee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Executive Committee</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implementation to be of</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high quality</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10% Reduction of</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25% Reduction of</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50% Reduction of</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54% Reduction of</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services at lowest</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production issues when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production issues when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production issues when</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production issues</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operating costs —</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comparing second half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comparing second half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comparing second half</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comparing second half</w:t>
            </w: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Technology Services</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2010 to first half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2010 to first half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2010 to first half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2010 to first half 2010</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 at</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Service Level</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Service Level</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Service Level</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Achieved Service Level</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lowest operating costs —</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Agreement Performance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Agreement Performance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Agreement Performance</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Agreement Performance</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Mortgage Services</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Parameters &gt;= 85.0% and &lt;</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Parameters &gt;= 90.0% and</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Parameters &gt;= 95.0%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Parameter of 85.2%</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89.9%</w:t>
            </w:r>
          </w:p>
        </w:tc>
        <w:tc>
          <w:tcPr>
            <w:tcW w:w="2000" w:type="dxa"/>
            <w:vAlign w:val="bottom"/>
            <w:gridSpan w:val="2"/>
          </w:tcPr>
          <w:p>
            <w:pPr>
              <w:jc w:val="center"/>
              <w:ind w:left="99"/>
              <w:spacing w:after="0"/>
              <w:rPr>
                <w:sz w:val="20"/>
                <w:szCs w:val="20"/>
                <w:color w:val="auto"/>
              </w:rPr>
            </w:pPr>
            <w:r>
              <w:rPr>
                <w:rFonts w:ascii="Arial" w:cs="Arial" w:eastAsia="Arial" w:hAnsi="Arial"/>
                <w:sz w:val="16"/>
                <w:szCs w:val="16"/>
                <w:color w:val="auto"/>
                <w:w w:val="91"/>
              </w:rPr>
              <w:t>&lt;94.9%</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5 of 5 client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5 of 5 client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5"/>
              </w:rPr>
              <w:t>Achieve all client</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Not achieved</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services at lowest</w:t>
            </w: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scorecards at threshold or</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scorecards at target or</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scorecards at target and 3</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operating costs —</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above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above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of 5 client scorecards at</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Financial Services</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outstanding (must include</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largest client)</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Achievement Levels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Element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Level Achieved</w:t>
            </w:r>
          </w:p>
        </w:tc>
        <w:tc>
          <w:tcPr>
            <w:tcW w:w="0" w:type="dxa"/>
            <w:vAlign w:val="bottom"/>
          </w:tcPr>
          <w:p>
            <w:pPr>
              <w:spacing w:after="0"/>
              <w:rPr>
                <w:sz w:val="1"/>
                <w:szCs w:val="1"/>
                <w:color w:val="auto"/>
              </w:rPr>
            </w:pPr>
          </w:p>
        </w:tc>
      </w:tr>
      <w:tr>
        <w:trPr>
          <w:trHeight w:val="389"/>
        </w:trPr>
        <w:tc>
          <w:tcPr>
            <w:tcW w:w="1880" w:type="dxa"/>
            <w:vAlign w:val="bottom"/>
            <w:gridSpan w:val="2"/>
          </w:tcPr>
          <w:p>
            <w:pPr>
              <w:spacing w:after="0"/>
              <w:rPr>
                <w:sz w:val="20"/>
                <w:szCs w:val="20"/>
                <w:color w:val="auto"/>
              </w:rPr>
            </w:pPr>
            <w:r>
              <w:rPr>
                <w:rFonts w:ascii="Arial" w:cs="Arial" w:eastAsia="Arial" w:hAnsi="Arial"/>
                <w:sz w:val="16"/>
                <w:szCs w:val="16"/>
                <w:color w:val="auto"/>
              </w:rPr>
              <w:t>Standardize BPM</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Deliver the Roadmap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Deliver the Roadmap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Deliver the Roadmap by</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Delivered Roadmap on</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Platform and deliver in</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August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August 10,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July 15,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July 10, 2010</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accordance with plan</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milestones</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Business Strategy</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Achieved weighted average</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Planning</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score on project plan of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score on project plan of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score on project plan of</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score of .85</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..70 to .849.</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..85 to 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greater than 1.00</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Business Strategy</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Level of achievement of</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Level of achievement of</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Level of achievement of</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CEO has determined the</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Planning</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project plan to</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project plan to</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project plan to</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level of achievement to be</w:t>
            </w: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commercialize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commercialize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commercialize</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REALServicing</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at the</w:t>
            </w: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REALServicing</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at the</w:t>
            </w: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REALServicing</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at the</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 of the CEO</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 of the CEO</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 of the CEO</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880" w:type="dxa"/>
            <w:vAlign w:val="bottom"/>
            <w:gridSpan w:val="2"/>
          </w:tcPr>
          <w:p>
            <w:pPr>
              <w:spacing w:after="0"/>
              <w:rPr>
                <w:sz w:val="20"/>
                <w:szCs w:val="20"/>
                <w:color w:val="auto"/>
              </w:rPr>
            </w:pPr>
            <w:r>
              <w:rPr>
                <w:rFonts w:ascii="Arial" w:cs="Arial" w:eastAsia="Arial" w:hAnsi="Arial"/>
                <w:sz w:val="16"/>
                <w:szCs w:val="16"/>
                <w:color w:val="auto"/>
              </w:rPr>
              <w:t>New Customer</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REALTrans</w:t>
            </w:r>
            <w:r>
              <w:rPr>
                <w:rFonts w:ascii="Arial" w:cs="Arial" w:eastAsia="Arial" w:hAnsi="Arial"/>
                <w:sz w:val="27"/>
                <w:szCs w:val="27"/>
                <w:color w:val="auto"/>
                <w:w w:val="91"/>
                <w:vertAlign w:val="superscript"/>
              </w:rPr>
              <w:t>®</w:t>
            </w:r>
            <w:r>
              <w:rPr>
                <w:rFonts w:ascii="Arial" w:cs="Arial" w:eastAsia="Arial" w:hAnsi="Arial"/>
                <w:sz w:val="16"/>
                <w:szCs w:val="16"/>
                <w:color w:val="auto"/>
                <w:w w:val="91"/>
              </w:rPr>
              <w: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REALTrans</w:t>
            </w:r>
            <w:r>
              <w:rPr>
                <w:rFonts w:ascii="Arial" w:cs="Arial" w:eastAsia="Arial" w:hAnsi="Arial"/>
                <w:sz w:val="27"/>
                <w:szCs w:val="27"/>
                <w:color w:val="auto"/>
                <w:w w:val="91"/>
                <w:vertAlign w:val="superscript"/>
              </w:rPr>
              <w:t>®</w:t>
            </w:r>
            <w:r>
              <w:rPr>
                <w:rFonts w:ascii="Arial" w:cs="Arial" w:eastAsia="Arial" w:hAnsi="Arial"/>
                <w:sz w:val="16"/>
                <w:szCs w:val="16"/>
                <w:color w:val="auto"/>
                <w:w w:val="91"/>
              </w:rPr>
              <w: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REALTrans</w:t>
            </w:r>
            <w:r>
              <w:rPr>
                <w:rFonts w:ascii="Arial" w:cs="Arial" w:eastAsia="Arial" w:hAnsi="Arial"/>
                <w:sz w:val="27"/>
                <w:szCs w:val="27"/>
                <w:color w:val="auto"/>
                <w:w w:val="91"/>
                <w:vertAlign w:val="superscript"/>
              </w:rPr>
              <w:t>®</w:t>
            </w:r>
            <w:r>
              <w:rPr>
                <w:rFonts w:ascii="Arial" w:cs="Arial" w:eastAsia="Arial" w:hAnsi="Arial"/>
                <w:sz w:val="16"/>
                <w:szCs w:val="16"/>
                <w:color w:val="auto"/>
                <w:w w:val="91"/>
              </w:rPr>
              <w:t>,</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REALTrans</w:t>
            </w:r>
            <w:r>
              <w:rPr>
                <w:rFonts w:ascii="Arial" w:cs="Arial" w:eastAsia="Arial" w:hAnsi="Arial"/>
                <w:sz w:val="27"/>
                <w:szCs w:val="27"/>
                <w:color w:val="auto"/>
                <w:w w:val="91"/>
                <w:vertAlign w:val="superscript"/>
              </w:rPr>
              <w:t>®</w:t>
            </w: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Penetration</w:t>
            </w:r>
          </w:p>
        </w:tc>
        <w:tc>
          <w:tcPr>
            <w:tcW w:w="1820" w:type="dxa"/>
            <w:vAlign w:val="bottom"/>
          </w:tcPr>
          <w:p>
            <w:pPr>
              <w:jc w:val="center"/>
              <w:spacing w:after="0" w:line="202" w:lineRule="exact"/>
              <w:rPr>
                <w:sz w:val="20"/>
                <w:szCs w:val="20"/>
                <w:color w:val="auto"/>
              </w:rPr>
            </w:pPr>
            <w:r>
              <w:rPr>
                <w:rFonts w:ascii="Arial" w:cs="Arial" w:eastAsia="Arial" w:hAnsi="Arial"/>
                <w:sz w:val="14"/>
                <w:szCs w:val="14"/>
                <w:color w:val="auto"/>
              </w:rPr>
              <w:t>REALRemit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w:t>
            </w:r>
          </w:p>
        </w:tc>
        <w:tc>
          <w:tcPr>
            <w:tcW w:w="18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4"/>
                <w:szCs w:val="14"/>
                <w:color w:val="auto"/>
              </w:rPr>
              <w:t>REALRemit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w:t>
            </w:r>
          </w:p>
        </w:tc>
        <w:tc>
          <w:tcPr>
            <w:tcW w:w="18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4"/>
                <w:szCs w:val="14"/>
                <w:color w:val="auto"/>
              </w:rPr>
              <w:t>REALRemit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w:t>
            </w:r>
          </w:p>
        </w:tc>
        <w:tc>
          <w:tcPr>
            <w:tcW w:w="18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Arial" w:cs="Arial" w:eastAsia="Arial" w:hAnsi="Arial"/>
                <w:sz w:val="14"/>
                <w:szCs w:val="14"/>
                <w:color w:val="auto"/>
              </w:rPr>
              <w:t>REALRemit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LENDERS ONE</w:t>
            </w:r>
            <w:r>
              <w:rPr>
                <w:rFonts w:ascii="Arial" w:cs="Arial" w:eastAsia="Arial" w:hAnsi="Arial"/>
                <w:sz w:val="23"/>
                <w:szCs w:val="23"/>
                <w:color w:val="auto"/>
                <w:vertAlign w:val="superscript"/>
              </w:rPr>
              <w:t>®</w:t>
            </w: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LENDERS ONE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Portal</w:t>
            </w: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LENDERS ONE</w:t>
            </w:r>
            <w:r>
              <w:rPr>
                <w:rFonts w:ascii="Arial" w:cs="Arial" w:eastAsia="Arial" w:hAnsi="Arial"/>
                <w:sz w:val="23"/>
                <w:szCs w:val="23"/>
                <w:color w:val="auto"/>
                <w:vertAlign w:val="superscript"/>
              </w:rPr>
              <w:t>®</w:t>
            </w:r>
          </w:p>
        </w:tc>
        <w:tc>
          <w:tcPr>
            <w:tcW w:w="180" w:type="dxa"/>
            <w:vAlign w:val="bottom"/>
          </w:tcPr>
          <w:p>
            <w:pPr>
              <w:spacing w:after="0"/>
              <w:rPr>
                <w:sz w:val="17"/>
                <w:szCs w:val="17"/>
                <w:color w:val="auto"/>
              </w:rPr>
            </w:pPr>
          </w:p>
        </w:tc>
        <w:tc>
          <w:tcPr>
            <w:tcW w:w="1840" w:type="dxa"/>
            <w:vAlign w:val="bottom"/>
          </w:tcPr>
          <w:p>
            <w:pPr>
              <w:jc w:val="center"/>
              <w:spacing w:after="0" w:line="205" w:lineRule="exact"/>
              <w:rPr>
                <w:sz w:val="20"/>
                <w:szCs w:val="20"/>
                <w:color w:val="auto"/>
              </w:rPr>
            </w:pPr>
            <w:r>
              <w:rPr>
                <w:rFonts w:ascii="Arial" w:cs="Arial" w:eastAsia="Arial" w:hAnsi="Arial"/>
                <w:sz w:val="14"/>
                <w:szCs w:val="14"/>
                <w:color w:val="auto"/>
              </w:rPr>
              <w:t>LENDERS ONE</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Integrated Portal delivered</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delivered to UAT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Integrated Portal delivered</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Integrated Portal was</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to UAT by December 31,</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December 15,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to UAT by November 30,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4"/>
              </w:rPr>
              <w:t>delivered to UAT in</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2010</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November 2010</w:t>
            </w:r>
          </w:p>
        </w:tc>
        <w:tc>
          <w:tcPr>
            <w:tcW w:w="0" w:type="dxa"/>
            <w:vAlign w:val="bottom"/>
          </w:tcPr>
          <w:p>
            <w:pPr>
              <w:spacing w:after="0"/>
              <w:rPr>
                <w:sz w:val="1"/>
                <w:szCs w:val="1"/>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Process Optimization</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Achieved weighted average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score on Consumer</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score on Consumer</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score on Consumer</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score of 1.05 —</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Analytics projects of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Analytics projects of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Analytics projects of</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..70 to .849.</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..85 to 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greater than 1.00</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Develop and Implement</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1 of 3</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2 of 3</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3 of 3</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4"/>
              </w:rPr>
              <w:t>Achieved 3 of 3</w:t>
            </w:r>
          </w:p>
        </w:tc>
        <w:tc>
          <w:tcPr>
            <w:tcW w:w="0" w:type="dxa"/>
            <w:vAlign w:val="bottom"/>
          </w:tcPr>
          <w:p>
            <w:pPr>
              <w:spacing w:after="0"/>
              <w:rPr>
                <w:sz w:val="1"/>
                <w:szCs w:val="1"/>
                <w:color w:val="auto"/>
              </w:rPr>
            </w:pP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Agile Transition Plan</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1"/>
              </w:rPr>
              <w:t>Complete Part 1 by</w:t>
            </w:r>
          </w:p>
        </w:tc>
        <w:tc>
          <w:tcPr>
            <w:tcW w:w="180" w:type="dxa"/>
            <w:vAlign w:val="bottom"/>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1"/>
              </w:rPr>
              <w:t>Complete Part 1 by</w:t>
            </w:r>
          </w:p>
        </w:tc>
        <w:tc>
          <w:tcPr>
            <w:tcW w:w="180" w:type="dxa"/>
            <w:vAlign w:val="bottom"/>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1"/>
              </w:rPr>
              <w:t>Complete Part 1 by</w:t>
            </w:r>
          </w:p>
        </w:tc>
        <w:tc>
          <w:tcPr>
            <w:tcW w:w="18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1"/>
              </w:rPr>
              <w:t>Completed Part 1 on</w:t>
            </w: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September 21, 2010</w:t>
            </w:r>
          </w:p>
        </w:tc>
        <w:tc>
          <w:tcPr>
            <w:tcW w:w="0" w:type="dxa"/>
            <w:vAlign w:val="bottom"/>
          </w:tcPr>
          <w:p>
            <w:pPr>
              <w:spacing w:after="0"/>
              <w:rPr>
                <w:sz w:val="1"/>
                <w:szCs w:val="1"/>
                <w:color w:val="auto"/>
              </w:rPr>
            </w:pPr>
          </w:p>
        </w:tc>
      </w:tr>
      <w:tr>
        <w:trPr>
          <w:trHeight w:val="401"/>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2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2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2 by</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Completed Part 2 on</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October 31,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October 31,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October 31,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October 22, 2010</w:t>
            </w:r>
          </w:p>
        </w:tc>
        <w:tc>
          <w:tcPr>
            <w:tcW w:w="0" w:type="dxa"/>
            <w:vAlign w:val="bottom"/>
          </w:tcPr>
          <w:p>
            <w:pPr>
              <w:spacing w:after="0"/>
              <w:rPr>
                <w:sz w:val="1"/>
                <w:szCs w:val="1"/>
                <w:color w:val="auto"/>
              </w:rPr>
            </w:pPr>
          </w:p>
        </w:tc>
      </w:tr>
      <w:tr>
        <w:trPr>
          <w:trHeight w:val="401"/>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3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3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3 by</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Completed Part 3 on</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November 15,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November 15,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November 15,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October 29, 2010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40" w:right="219"/>
        <w:spacing w:after="0" w:line="276" w:lineRule="auto"/>
        <w:rPr>
          <w:sz w:val="20"/>
          <w:szCs w:val="20"/>
          <w:color w:val="auto"/>
        </w:rPr>
      </w:pPr>
      <w:r>
        <w:rPr>
          <w:rFonts w:ascii="Arial" w:cs="Arial" w:eastAsia="Arial" w:hAnsi="Arial"/>
          <w:sz w:val="17"/>
          <w:szCs w:val="17"/>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 scorecard of which 20% or more is weighted on Corporate Financial Objectives (80%), and (ii) a performance appraisal (20%).</w:t>
      </w:r>
    </w:p>
    <w:p>
      <w:pPr>
        <w:spacing w:after="0" w:line="132" w:lineRule="exact"/>
        <w:rPr>
          <w:sz w:val="20"/>
          <w:szCs w:val="20"/>
          <w:color w:val="auto"/>
        </w:rPr>
      </w:pPr>
    </w:p>
    <w:p>
      <w:pPr>
        <w:ind w:left="340" w:right="179"/>
        <w:spacing w:after="0" w:line="271" w:lineRule="auto"/>
        <w:rPr>
          <w:sz w:val="20"/>
          <w:szCs w:val="20"/>
          <w:color w:val="auto"/>
        </w:rPr>
      </w:pPr>
      <w:r>
        <w:rPr>
          <w:rFonts w:ascii="Arial" w:cs="Arial" w:eastAsia="Arial" w:hAnsi="Arial"/>
          <w:sz w:val="17"/>
          <w:szCs w:val="17"/>
          <w:color w:val="auto"/>
        </w:rPr>
        <w:t>The components in each scorecard are weighted individually based on relevance to the ultimate financial performance of the Company and achievement of our corporate strategic initiatives.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99"/>
        <w:spacing w:after="0" w:line="272" w:lineRule="auto"/>
        <w:rPr>
          <w:sz w:val="20"/>
          <w:szCs w:val="20"/>
          <w:color w:val="auto"/>
        </w:rPr>
      </w:pPr>
      <w:r>
        <w:rPr>
          <w:rFonts w:ascii="Arial" w:cs="Arial" w:eastAsia="Arial" w:hAnsi="Arial"/>
          <w:sz w:val="17"/>
          <w:szCs w:val="17"/>
          <w:color w:val="auto"/>
        </w:rPr>
        <w:t>The goals and initiatives are further cascaded down through the organization to all of our incentive-eligible employees in their personal scorecards which are tied to performance against goals that are directly linked to Company profitability and strategy. The scorecards are communicated to all incentive-eligible employees by the Human Resource Department or the employee’s immediate supervisor and are available to employees in our performance management tracking system. Performance against such scorecards is reviewed with senior management on a quarterly basis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51" w:lineRule="exact"/>
        <w:rPr>
          <w:sz w:val="20"/>
          <w:szCs w:val="20"/>
          <w:color w:val="auto"/>
        </w:rPr>
      </w:pPr>
    </w:p>
    <w:p>
      <w:pPr>
        <w:ind w:left="340" w:right="439"/>
        <w:spacing w:after="0" w:line="277" w:lineRule="auto"/>
        <w:rPr>
          <w:sz w:val="20"/>
          <w:szCs w:val="20"/>
          <w:color w:val="auto"/>
        </w:rPr>
      </w:pPr>
      <w:r>
        <w:rPr>
          <w:rFonts w:ascii="Arial" w:cs="Arial" w:eastAsia="Arial" w:hAnsi="Arial"/>
          <w:sz w:val="18"/>
          <w:szCs w:val="18"/>
          <w:color w:val="auto"/>
        </w:rPr>
        <w:t>The 2010 personal scorecards for our Chief Executive Officer and other named executive officers and their corresponding levels of achievement are as follows:</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2010 Scorecard Elements</w:t>
            </w:r>
          </w:p>
        </w:tc>
        <w:tc>
          <w:tcPr>
            <w:tcW w:w="2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Achievement Levels</w:t>
            </w: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Level Achieved</w:t>
            </w: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Threshold</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Target</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2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William B. Shepro</w:t>
            </w:r>
          </w:p>
        </w:tc>
        <w:tc>
          <w:tcPr>
            <w:tcW w:w="7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Achieve EPS Target</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$1.53 Diluted EPS</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$1.70 diluted EPS</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$1.87 Diluted EPS</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$1.88 Diluted EPS</w:t>
            </w:r>
          </w:p>
        </w:tc>
        <w:tc>
          <w:tcPr>
            <w:tcW w:w="0" w:type="dxa"/>
            <w:vAlign w:val="bottom"/>
          </w:tcPr>
          <w:p>
            <w:pPr>
              <w:spacing w:after="0"/>
              <w:rPr>
                <w:sz w:val="1"/>
                <w:szCs w:val="1"/>
                <w:color w:val="auto"/>
              </w:rPr>
            </w:pPr>
          </w:p>
        </w:tc>
      </w:tr>
      <w:tr>
        <w:trPr>
          <w:trHeight w:val="278"/>
        </w:trPr>
        <w:tc>
          <w:tcPr>
            <w:tcW w:w="1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20%</w:t>
            </w: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Achieve Revenue Target of</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$244.8 million</w:t>
            </w:r>
          </w:p>
        </w:tc>
        <w:tc>
          <w:tcPr>
            <w:tcW w:w="2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7"/>
              </w:rPr>
              <w:t>$272.0 million</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$299.2 million</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$301.4 million</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$272.0 million (35% increase</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over prior year)</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34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w w:val="92"/>
              </w:rPr>
              <w:t>30%</w:t>
            </w:r>
          </w:p>
        </w:tc>
        <w:tc>
          <w:tcPr>
            <w:tcW w:w="260" w:type="dxa"/>
            <w:vAlign w:val="bottom"/>
          </w:tcPr>
          <w:p>
            <w:pPr>
              <w:spacing w:after="0"/>
              <w:rPr>
                <w:sz w:val="11"/>
                <w:szCs w:val="11"/>
                <w:color w:val="auto"/>
              </w:rPr>
            </w:pPr>
          </w:p>
        </w:tc>
        <w:tc>
          <w:tcPr>
            <w:tcW w:w="1900" w:type="dxa"/>
            <w:vAlign w:val="bottom"/>
          </w:tcPr>
          <w:p>
            <w:pPr>
              <w:jc w:val="center"/>
              <w:spacing w:after="0" w:line="130" w:lineRule="exact"/>
              <w:rPr>
                <w:sz w:val="20"/>
                <w:szCs w:val="20"/>
                <w:color w:val="auto"/>
              </w:rPr>
            </w:pPr>
            <w:r>
              <w:rPr>
                <w:rFonts w:ascii="Arial" w:cs="Arial" w:eastAsia="Arial" w:hAnsi="Arial"/>
                <w:sz w:val="14"/>
                <w:szCs w:val="14"/>
                <w:color w:val="auto"/>
                <w:w w:val="92"/>
              </w:rPr>
              <w:t>Successfully complete the key</w:t>
            </w:r>
          </w:p>
        </w:tc>
        <w:tc>
          <w:tcPr>
            <w:tcW w:w="260" w:type="dxa"/>
            <w:vAlign w:val="bottom"/>
          </w:tcPr>
          <w:p>
            <w:pPr>
              <w:spacing w:after="0"/>
              <w:rPr>
                <w:sz w:val="11"/>
                <w:szCs w:val="11"/>
                <w:color w:val="auto"/>
              </w:rPr>
            </w:pP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4"/>
              </w:rPr>
              <w:t>80% of weighted</w:t>
            </w:r>
          </w:p>
        </w:tc>
        <w:tc>
          <w:tcPr>
            <w:tcW w:w="260" w:type="dxa"/>
            <w:vAlign w:val="bottom"/>
          </w:tcPr>
          <w:p>
            <w:pPr>
              <w:spacing w:after="0"/>
              <w:rPr>
                <w:sz w:val="11"/>
                <w:szCs w:val="11"/>
                <w:color w:val="auto"/>
              </w:rPr>
            </w:pPr>
          </w:p>
        </w:tc>
        <w:tc>
          <w:tcPr>
            <w:tcW w:w="142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6"/>
              </w:rPr>
              <w:t>90% of weighted</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3"/>
              </w:rPr>
              <w:t>100% of weighted</w:t>
            </w:r>
          </w:p>
        </w:tc>
        <w:tc>
          <w:tcPr>
            <w:tcW w:w="26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5"/>
              </w:rPr>
              <w:t>Achieved 101.6%</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strategic initiatives</w:t>
            </w: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weighted average</w:t>
            </w: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score</w:t>
            </w:r>
          </w:p>
        </w:tc>
        <w:tc>
          <w:tcPr>
            <w:tcW w:w="0" w:type="dxa"/>
            <w:vAlign w:val="bottom"/>
          </w:tcPr>
          <w:p>
            <w:pPr>
              <w:spacing w:after="0"/>
              <w:rPr>
                <w:sz w:val="1"/>
                <w:szCs w:val="1"/>
                <w:color w:val="auto"/>
              </w:rPr>
            </w:pPr>
          </w:p>
        </w:tc>
      </w:tr>
      <w:tr>
        <w:trPr>
          <w:trHeight w:val="278"/>
        </w:trPr>
        <w:tc>
          <w:tcPr>
            <w:tcW w:w="1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25%</w:t>
            </w: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Optimize legal structure</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Executive</w:t>
            </w:r>
          </w:p>
        </w:tc>
        <w:tc>
          <w:tcPr>
            <w:tcW w:w="2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2"/>
              </w:rPr>
              <w:t>Executive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Executive</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Completed in</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Committee</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Committee</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Committee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June 2010 at</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Discretion of</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7"/>
              </w:rPr>
              <w:t>Discretion of</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Discretion of</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material</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improvement</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improvement</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improvement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achieved by year-</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achieved by</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achieved by</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end</w:t>
            </w:r>
          </w:p>
        </w:tc>
        <w:tc>
          <w:tcPr>
            <w:tcW w:w="2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0"/>
              </w:rPr>
              <w:t>September 30</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September 30</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2"/>
              </w:rPr>
              <w:t>25%</w:t>
            </w: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20"/>
                <w:szCs w:val="20"/>
                <w:color w:val="auto"/>
              </w:rPr>
            </w:pPr>
            <w:r>
              <w:rPr>
                <w:rFonts w:ascii="Arial" w:cs="Arial" w:eastAsia="Arial" w:hAnsi="Arial"/>
                <w:sz w:val="14"/>
                <w:szCs w:val="14"/>
                <w:color w:val="auto"/>
              </w:rPr>
              <w:t>Robert D. Stiles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1"/>
              </w:rPr>
              <w:t>Achieve EPS Target</w:t>
            </w:r>
          </w:p>
        </w:tc>
        <w:tc>
          <w:tcPr>
            <w:tcW w:w="2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$1.53 Diluted EPS</w:t>
            </w:r>
          </w:p>
        </w:tc>
        <w:tc>
          <w:tcPr>
            <w:tcW w:w="2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$1.70 diluted EPS</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$1.87 Diluted EPS</w:t>
            </w: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$1.88 Diluted EPS</w:t>
            </w: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3"/>
              </w:rPr>
              <w:t>Achieve Revenue Target of</w:t>
            </w:r>
          </w:p>
        </w:tc>
        <w:tc>
          <w:tcPr>
            <w:tcW w:w="2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7"/>
              </w:rPr>
              <w:t>$244.8 million</w:t>
            </w:r>
          </w:p>
        </w:tc>
        <w:tc>
          <w:tcPr>
            <w:tcW w:w="2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$272.0 million</w:t>
            </w:r>
          </w:p>
        </w:tc>
        <w:tc>
          <w:tcPr>
            <w:tcW w:w="1160" w:type="dxa"/>
            <w:vAlign w:val="bottom"/>
          </w:tcPr>
          <w:p>
            <w:pPr>
              <w:jc w:val="center"/>
              <w:spacing w:after="0"/>
              <w:rPr>
                <w:sz w:val="20"/>
                <w:szCs w:val="20"/>
                <w:color w:val="auto"/>
              </w:rPr>
            </w:pPr>
            <w:r>
              <w:rPr>
                <w:rFonts w:ascii="Arial" w:cs="Arial" w:eastAsia="Arial" w:hAnsi="Arial"/>
                <w:sz w:val="14"/>
                <w:szCs w:val="14"/>
                <w:color w:val="auto"/>
                <w:w w:val="97"/>
              </w:rPr>
              <w:t>$299.2 million</w:t>
            </w:r>
          </w:p>
        </w:tc>
        <w:tc>
          <w:tcPr>
            <w:tcW w:w="2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$301.4 million</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4"/>
              </w:rPr>
              <w:t>$272.0 million (35% increase</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4"/>
              </w:rPr>
              <w:t>over prior year)</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2"/>
              </w:rPr>
              <w:t>Successfully complete the key</w:t>
            </w:r>
          </w:p>
        </w:tc>
        <w:tc>
          <w:tcPr>
            <w:tcW w:w="26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90% of weighted</w:t>
            </w:r>
          </w:p>
        </w:tc>
        <w:tc>
          <w:tcPr>
            <w:tcW w:w="260" w:type="dxa"/>
            <w:vAlign w:val="bottom"/>
          </w:tcPr>
          <w:p>
            <w:pPr>
              <w:spacing w:after="0"/>
              <w:rPr>
                <w:sz w:val="22"/>
                <w:szCs w:val="2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100% of weighted</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110% of weighted</w:t>
            </w:r>
          </w:p>
        </w:tc>
        <w:tc>
          <w:tcPr>
            <w:tcW w:w="2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Achieved 101.6%</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strategic initiatives</w:t>
            </w: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weighted average</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score</w:t>
            </w: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3"/>
              </w:rPr>
              <w:t>Optimize legal structure</w:t>
            </w:r>
          </w:p>
        </w:tc>
        <w:tc>
          <w:tcPr>
            <w:tcW w:w="26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Executive</w:t>
            </w:r>
          </w:p>
        </w:tc>
        <w:tc>
          <w:tcPr>
            <w:tcW w:w="260" w:type="dxa"/>
            <w:vAlign w:val="bottom"/>
          </w:tcPr>
          <w:p>
            <w:pPr>
              <w:spacing w:after="0"/>
              <w:rPr>
                <w:sz w:val="22"/>
                <w:szCs w:val="2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Executive</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Executive</w:t>
            </w:r>
          </w:p>
        </w:tc>
        <w:tc>
          <w:tcPr>
            <w:tcW w:w="2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Completed in June</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Committee</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Committee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Committee</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2010 at</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7"/>
              </w:rPr>
              <w:t>Discretion of</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Discretion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7"/>
              </w:rPr>
              <w:t>Discretion of</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6"/>
              </w:rPr>
              <w:t>material</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3"/>
              </w:rPr>
              <w:t>improvement</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improvement</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3"/>
              </w:rPr>
              <w:t>improvement</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2"/>
              </w:rPr>
              <w:t>achieved by year-</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achieved by</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0"/>
              </w:rPr>
              <w:t>achieved by</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5"/>
              </w:rPr>
              <w:t>end</w:t>
            </w:r>
          </w:p>
        </w:tc>
        <w:tc>
          <w:tcPr>
            <w:tcW w:w="2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September 30</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September 30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-2839085</wp:posOffset>
            </wp:positionV>
            <wp:extent cx="5137150" cy="1226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37150" cy="12261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2010 Scorecard Elements</w:t>
            </w: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Achievement Levels</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Level Achieved</w:t>
            </w: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Threshold</w:t>
            </w:r>
          </w:p>
        </w:tc>
        <w:tc>
          <w:tcPr>
            <w:tcW w:w="10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Target</w:t>
            </w:r>
          </w:p>
        </w:tc>
        <w:tc>
          <w:tcPr>
            <w:tcW w:w="10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1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Kevin J. Wilcox</w:t>
            </w:r>
          </w:p>
        </w:tc>
        <w:tc>
          <w:tcPr>
            <w:tcW w:w="7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Achieve EPS Target</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$1.53 Diluted EPS</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$1.70 diluted EPS</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$1.87 Diluted EPS</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$1.88 Diluted EPS</w:t>
            </w:r>
          </w:p>
        </w:tc>
        <w:tc>
          <w:tcPr>
            <w:tcW w:w="0" w:type="dxa"/>
            <w:vAlign w:val="bottom"/>
          </w:tcPr>
          <w:p>
            <w:pPr>
              <w:spacing w:after="0"/>
              <w:rPr>
                <w:sz w:val="1"/>
                <w:szCs w:val="1"/>
                <w:color w:val="auto"/>
              </w:rPr>
            </w:pPr>
          </w:p>
        </w:tc>
      </w:tr>
      <w:tr>
        <w:trPr>
          <w:trHeight w:val="278"/>
        </w:trPr>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2"/>
              </w:rPr>
              <w:t>20%</w:t>
            </w:r>
          </w:p>
        </w:tc>
        <w:tc>
          <w:tcPr>
            <w:tcW w:w="10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Achieve Revenue Target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$244.8 million</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$272.0 million</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$299.2 million</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$301.4 million</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of $272.0 million (35%</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increase over prior year)</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12"/>
                <w:szCs w:val="12"/>
                <w:color w:val="auto"/>
              </w:rPr>
            </w:pPr>
          </w:p>
        </w:tc>
        <w:tc>
          <w:tcPr>
            <w:tcW w:w="3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280" w:type="dxa"/>
            <w:vAlign w:val="bottom"/>
            <w:gridSpan w:val="2"/>
          </w:tcPr>
          <w:p>
            <w:pPr>
              <w:jc w:val="right"/>
              <w:spacing w:after="0" w:line="130" w:lineRule="exact"/>
              <w:rPr>
                <w:sz w:val="20"/>
                <w:szCs w:val="20"/>
                <w:color w:val="auto"/>
              </w:rPr>
            </w:pPr>
            <w:r>
              <w:rPr>
                <w:rFonts w:ascii="Arial" w:cs="Arial" w:eastAsia="Arial" w:hAnsi="Arial"/>
                <w:sz w:val="14"/>
                <w:szCs w:val="14"/>
                <w:color w:val="auto"/>
                <w:w w:val="92"/>
              </w:rPr>
              <w:t>30%</w:t>
            </w: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Successfully complete the</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4"/>
              </w:rPr>
              <w:t>90% of weighted</w:t>
            </w:r>
          </w:p>
        </w:tc>
        <w:tc>
          <w:tcPr>
            <w:tcW w:w="100" w:type="dxa"/>
            <w:vAlign w:val="bottom"/>
          </w:tcPr>
          <w:p>
            <w:pPr>
              <w:spacing w:after="0"/>
              <w:rPr>
                <w:sz w:val="11"/>
                <w:szCs w:val="11"/>
                <w:color w:val="auto"/>
              </w:rPr>
            </w:pPr>
          </w:p>
        </w:tc>
        <w:tc>
          <w:tcPr>
            <w:tcW w:w="1440" w:type="dxa"/>
            <w:vAlign w:val="bottom"/>
          </w:tcPr>
          <w:p>
            <w:pPr>
              <w:jc w:val="center"/>
              <w:spacing w:after="0" w:line="130" w:lineRule="exact"/>
              <w:rPr>
                <w:sz w:val="20"/>
                <w:szCs w:val="20"/>
                <w:color w:val="auto"/>
              </w:rPr>
            </w:pPr>
            <w:r>
              <w:rPr>
                <w:rFonts w:ascii="Arial" w:cs="Arial" w:eastAsia="Arial" w:hAnsi="Arial"/>
                <w:sz w:val="14"/>
                <w:szCs w:val="14"/>
                <w:color w:val="auto"/>
                <w:w w:val="93"/>
              </w:rPr>
              <w:t>100% of weighted</w:t>
            </w:r>
          </w:p>
        </w:tc>
        <w:tc>
          <w:tcPr>
            <w:tcW w:w="100" w:type="dxa"/>
            <w:vAlign w:val="bottom"/>
          </w:tcPr>
          <w:p>
            <w:pPr>
              <w:spacing w:after="0"/>
              <w:rPr>
                <w:sz w:val="11"/>
                <w:szCs w:val="11"/>
                <w:color w:val="auto"/>
              </w:rPr>
            </w:pP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5"/>
              </w:rPr>
              <w:t>110% of weighted</w:t>
            </w:r>
          </w:p>
        </w:tc>
        <w:tc>
          <w:tcPr>
            <w:tcW w:w="100" w:type="dxa"/>
            <w:vAlign w:val="bottom"/>
          </w:tcPr>
          <w:p>
            <w:pPr>
              <w:spacing w:after="0"/>
              <w:rPr>
                <w:sz w:val="11"/>
                <w:szCs w:val="11"/>
                <w:color w:val="auto"/>
              </w:rPr>
            </w:pP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3"/>
              </w:rPr>
              <w:t>Achieved 101.6%</w:t>
            </w: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key strategic initiatives</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average</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6"/>
              </w:rPr>
              <w:t>average</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average</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weighted average score</w:t>
            </w:r>
          </w:p>
        </w:tc>
        <w:tc>
          <w:tcPr>
            <w:tcW w:w="0" w:type="dxa"/>
            <w:vAlign w:val="bottom"/>
          </w:tcPr>
          <w:p>
            <w:pPr>
              <w:spacing w:after="0"/>
              <w:rPr>
                <w:sz w:val="1"/>
                <w:szCs w:val="1"/>
                <w:color w:val="auto"/>
              </w:rPr>
            </w:pPr>
          </w:p>
        </w:tc>
      </w:tr>
      <w:tr>
        <w:trPr>
          <w:trHeight w:val="278"/>
        </w:trPr>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w w:val="92"/>
              </w:rPr>
              <w:t>25%</w:t>
            </w:r>
          </w:p>
        </w:tc>
        <w:tc>
          <w:tcPr>
            <w:tcW w:w="10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Optimize legal structure</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Executive Committee</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Executive Committee</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Executive Committee</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Completed in June 2010</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Discretion of average</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Discretion of average</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Discretion of material</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at Outstanding</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improvement achieved</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improvement achieved</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improvement achieved</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by year-end</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by September 30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by September 30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-753745</wp:posOffset>
            </wp:positionV>
            <wp:extent cx="5162550" cy="754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2550" cy="754380"/>
                    </a:xfrm>
                    <a:prstGeom prst="rect">
                      <a:avLst/>
                    </a:prstGeom>
                    <a:noFill/>
                  </pic:spPr>
                </pic:pic>
              </a:graphicData>
            </a:graphic>
          </wp:anchor>
        </w:drawing>
      </w:r>
    </w:p>
    <w:p>
      <w:pPr>
        <w:spacing w:after="0" w:line="155" w:lineRule="exact"/>
        <w:rPr>
          <w:sz w:val="20"/>
          <w:szCs w:val="20"/>
          <w:color w:val="auto"/>
        </w:rPr>
      </w:pPr>
    </w:p>
    <w:p>
      <w:pPr>
        <w:ind w:left="340" w:right="199"/>
        <w:spacing w:after="0" w:line="255" w:lineRule="auto"/>
        <w:rPr>
          <w:sz w:val="20"/>
          <w:szCs w:val="20"/>
          <w:color w:val="auto"/>
        </w:rPr>
      </w:pPr>
      <w:r>
        <w:rPr>
          <w:rFonts w:ascii="Arial" w:cs="Arial" w:eastAsia="Arial" w:hAnsi="Arial"/>
          <w:sz w:val="18"/>
          <w:szCs w:val="18"/>
          <w:color w:val="auto"/>
        </w:rPr>
        <w:t>Executives have 20% of their incentive compensation determined by their performance appraisal for the service year. Each of our executive officers performs a self-assessment as to his performance against his goals for the applicable year. Our Chief Executive Officer utilizes these assessments, as well as his own observations to prepare a written performance appraisal for each of the other executive officers. These performance appraisals rate performance on objective criteria related to two key factors: (i) the executive’s ability to improve and develop their organization throughout the year, and (ii) the executive’s strategic contributions to the direction of the Company.</w:t>
      </w:r>
    </w:p>
    <w:p>
      <w:pPr>
        <w:spacing w:after="0" w:line="153" w:lineRule="exact"/>
        <w:rPr>
          <w:sz w:val="20"/>
          <w:szCs w:val="20"/>
          <w:color w:val="auto"/>
        </w:rPr>
      </w:pPr>
    </w:p>
    <w:p>
      <w:pPr>
        <w:ind w:left="340" w:right="499"/>
        <w:spacing w:after="0" w:line="312" w:lineRule="auto"/>
        <w:rPr>
          <w:sz w:val="20"/>
          <w:szCs w:val="20"/>
          <w:color w:val="auto"/>
        </w:rPr>
      </w:pPr>
      <w:r>
        <w:rPr>
          <w:rFonts w:ascii="Arial" w:cs="Arial" w:eastAsia="Arial" w:hAnsi="Arial"/>
          <w:sz w:val="16"/>
          <w:szCs w:val="16"/>
          <w:color w:val="auto"/>
        </w:rPr>
        <w:t>The Chief Executive Officer’s scorecard performance and personal performance appraisal are determined by the Compensation Committee in consultation with the Chairman taking into consideration whether the Company’s performance as a whole compared with the Chief Executive Officer’s incentive presents a fair representation of the Chief Executive Officer’s performance.</w:t>
      </w:r>
    </w:p>
    <w:p>
      <w:pPr>
        <w:spacing w:after="0" w:line="106" w:lineRule="exact"/>
        <w:rPr>
          <w:sz w:val="20"/>
          <w:szCs w:val="20"/>
          <w:color w:val="auto"/>
        </w:rPr>
      </w:pPr>
    </w:p>
    <w:p>
      <w:pPr>
        <w:ind w:left="340" w:right="179"/>
        <w:spacing w:after="0" w:line="293" w:lineRule="auto"/>
        <w:rPr>
          <w:sz w:val="20"/>
          <w:szCs w:val="20"/>
          <w:color w:val="auto"/>
        </w:rPr>
      </w:pPr>
      <w:r>
        <w:rPr>
          <w:rFonts w:ascii="Arial" w:cs="Arial" w:eastAsia="Arial" w:hAnsi="Arial"/>
          <w:sz w:val="16"/>
          <w:szCs w:val="16"/>
          <w:color w:val="auto"/>
        </w:rPr>
        <w:t>For our executives, other than the Chief Executive Officer, the Chief Executive Officer, in conjunction with the Chief Administration Officer, presents the personal scorecard performance and the performance appraisal scores to the Compensation Committee and makes recommendations as to the incentive compensation for each executive officer.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2010, incentive compensation was awarded accordingly.</w:t>
      </w:r>
    </w:p>
    <w:p>
      <w:pPr>
        <w:spacing w:after="0" w:line="138" w:lineRule="exact"/>
        <w:rPr>
          <w:sz w:val="20"/>
          <w:szCs w:val="20"/>
          <w:color w:val="auto"/>
        </w:rPr>
      </w:pPr>
    </w:p>
    <w:p>
      <w:pPr>
        <w:ind w:left="340" w:right="459"/>
        <w:spacing w:after="0" w:line="264" w:lineRule="auto"/>
        <w:rPr>
          <w:sz w:val="20"/>
          <w:szCs w:val="20"/>
          <w:color w:val="auto"/>
        </w:rPr>
      </w:pPr>
      <w:r>
        <w:rPr>
          <w:rFonts w:ascii="Arial" w:cs="Arial" w:eastAsia="Arial" w:hAnsi="Arial"/>
          <w:sz w:val="18"/>
          <w:szCs w:val="18"/>
          <w:color w:val="auto"/>
        </w:rPr>
        <w:t>Generally, at the first Board of Directors meeting of the fiscal year, the Compensation Committee approves the corporate scorecard and annual incentive components for the Chief Executive Officer and other executives for the upcoming year. Key performance indicators for the Company for 2011 have been developed.</w:t>
      </w:r>
    </w:p>
    <w:p>
      <w:pPr>
        <w:spacing w:after="0" w:line="141" w:lineRule="exact"/>
        <w:rPr>
          <w:sz w:val="20"/>
          <w:szCs w:val="20"/>
          <w:color w:val="auto"/>
        </w:rPr>
      </w:pPr>
    </w:p>
    <w:p>
      <w:pPr>
        <w:ind w:left="340" w:right="179"/>
        <w:spacing w:after="0" w:line="312" w:lineRule="auto"/>
        <w:rPr>
          <w:sz w:val="20"/>
          <w:szCs w:val="20"/>
          <w:color w:val="auto"/>
        </w:rPr>
      </w:pPr>
      <w:r>
        <w:rPr>
          <w:rFonts w:ascii="Arial" w:cs="Arial" w:eastAsia="Arial" w:hAnsi="Arial"/>
          <w:sz w:val="16"/>
          <w:szCs w:val="16"/>
          <w:color w:val="auto"/>
        </w:rPr>
        <w:t>The corporate scorecard for 2011 includes achieving an overall revenue target, achieving business segment specific revenue and pre-tax income targets and increasing earnings per share. In addition, the corporate scorecard provides for successful completion of strategic initiatives established to enhance long-term corporate and shareholder value. The 2011 corporate strategic initiatives relate to:</w:t>
      </w:r>
    </w:p>
    <w:p>
      <w:pPr>
        <w:spacing w:after="0" w:line="106" w:lineRule="exact"/>
        <w:rPr>
          <w:sz w:val="20"/>
          <w:szCs w:val="20"/>
          <w:color w:val="auto"/>
        </w:rPr>
      </w:pPr>
    </w:p>
    <w:p>
      <w:pPr>
        <w:ind w:left="1080" w:hanging="370"/>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Improving operational effectiveness and efficiency;</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Expanding the Company’s service offerings;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Balancing the Company’s service offerings; and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Organizational development.</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Setting Compensation Levels</w:t>
      </w:r>
    </w:p>
    <w:p>
      <w:pPr>
        <w:spacing w:after="0" w:line="189" w:lineRule="exact"/>
        <w:rPr>
          <w:sz w:val="20"/>
          <w:szCs w:val="20"/>
          <w:color w:val="auto"/>
        </w:rPr>
      </w:pPr>
    </w:p>
    <w:p>
      <w:pPr>
        <w:ind w:left="340" w:right="219"/>
        <w:spacing w:after="0" w:line="279" w:lineRule="auto"/>
        <w:rPr>
          <w:sz w:val="20"/>
          <w:szCs w:val="20"/>
          <w:color w:val="auto"/>
        </w:rPr>
      </w:pPr>
      <w:r>
        <w:rPr>
          <w:rFonts w:ascii="Arial" w:cs="Arial" w:eastAsia="Arial" w:hAnsi="Arial"/>
          <w:sz w:val="17"/>
          <w:szCs w:val="17"/>
          <w:color w:val="auto"/>
        </w:rPr>
        <w:t>From time to time, the Company conducts benchmarking on Chief Executive Officer and other executive officer compensation among peer companies of comparable size, industry, location and similar attributes that may compete with Altisource for qualified management talent. In 2010, our Compensation Committee retained an independent compensation consultant, Exequity, to assist the Compensation Committee in reviewing the compensation levels for our Executive officers and Directors.</w:t>
      </w:r>
    </w:p>
    <w:p>
      <w:pPr>
        <w:spacing w:after="0" w:line="131" w:lineRule="exact"/>
        <w:rPr>
          <w:sz w:val="20"/>
          <w:szCs w:val="20"/>
          <w:color w:val="auto"/>
        </w:rPr>
      </w:pPr>
    </w:p>
    <w:p>
      <w:pPr>
        <w:ind w:left="340" w:right="279"/>
        <w:spacing w:after="0" w:line="277" w:lineRule="auto"/>
        <w:rPr>
          <w:sz w:val="20"/>
          <w:szCs w:val="20"/>
          <w:color w:val="auto"/>
        </w:rPr>
      </w:pPr>
      <w:r>
        <w:rPr>
          <w:rFonts w:ascii="Arial" w:cs="Arial" w:eastAsia="Arial" w:hAnsi="Arial"/>
          <w:sz w:val="18"/>
          <w:szCs w:val="18"/>
          <w:color w:val="auto"/>
        </w:rPr>
        <w:t>Exequity conducted an analysis of our executive and director compensation levels compared to pay levels among our peer companies to help identify the competitive positioning of our pay practices.</w:t>
      </w:r>
    </w:p>
    <w:p>
      <w:pPr>
        <w:spacing w:after="0" w:line="143" w:lineRule="exact"/>
        <w:rPr>
          <w:sz w:val="20"/>
          <w:szCs w:val="20"/>
          <w:color w:val="auto"/>
        </w:rPr>
      </w:pPr>
    </w:p>
    <w:p>
      <w:pPr>
        <w:ind w:left="340" w:right="819"/>
        <w:spacing w:after="0" w:line="277" w:lineRule="auto"/>
        <w:rPr>
          <w:sz w:val="20"/>
          <w:szCs w:val="20"/>
          <w:color w:val="auto"/>
        </w:rPr>
      </w:pPr>
      <w:r>
        <w:rPr>
          <w:rFonts w:ascii="Arial" w:cs="Arial" w:eastAsia="Arial" w:hAnsi="Arial"/>
          <w:sz w:val="18"/>
          <w:szCs w:val="18"/>
          <w:color w:val="auto"/>
        </w:rPr>
        <w:t>In order to provide a robust array of pay benchmarking data, Exequity reviewed executive pay among two independent sets of companies:</w:t>
      </w:r>
    </w:p>
    <w:p>
      <w:pPr>
        <w:spacing w:after="0" w:line="130" w:lineRule="exact"/>
        <w:rPr>
          <w:sz w:val="20"/>
          <w:szCs w:val="20"/>
          <w:color w:val="auto"/>
        </w:rPr>
      </w:pPr>
    </w:p>
    <w:p>
      <w:pPr>
        <w:ind w:left="1080" w:right="319" w:hanging="370"/>
        <w:spacing w:after="0" w:line="255" w:lineRule="auto"/>
        <w:tabs>
          <w:tab w:leader="none" w:pos="10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primary peer group of 14 similarly-sized (revenues ranging from $95MM — $1.7B) companies with similar operational dynamics as Altisource from the Mortgage Services, Business Process Outsourcing (BPO) and Application Software / Software Systems sectors. This peer group consists of the following companies: Bottomline Technologies Inc., Cass Information Systems, EXLService Holdings, Inc., Fleetcor Technologies Inc., Genpact Ltd., Hackett Group Inc., iGate, Online Resources Corp., Prommis Solutions Holding Corp. Stewart Information Services, TNS Inc., Virtusa Corp., WNS (Holdings) Ltd. and Wright Express Corp.</w:t>
      </w:r>
    </w:p>
    <w:p>
      <w:pPr>
        <w:spacing w:after="0" w:line="152" w:lineRule="exact"/>
        <w:rPr>
          <w:rFonts w:ascii="Arial" w:cs="Arial" w:eastAsia="Arial" w:hAnsi="Arial"/>
          <w:sz w:val="18"/>
          <w:szCs w:val="18"/>
          <w:b w:val="1"/>
          <w:bCs w:val="1"/>
          <w:color w:val="auto"/>
        </w:rPr>
      </w:pPr>
    </w:p>
    <w:p>
      <w:pPr>
        <w:ind w:left="1080" w:right="579" w:hanging="370"/>
        <w:spacing w:after="0" w:line="302" w:lineRule="auto"/>
        <w:tabs>
          <w:tab w:leader="none" w:pos="108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A secondary peer group of 8 companies that have a more direct operational match to Altisource, but which includes companies larger than Altisource (revenues ranging between $1.1B—$5.8B). The peer group consists of the following companies: Equifax Inc., Fidelity National Financial, Fidelity National Information Services, First American Financial Corporation, Fiserv Inc., Genpact Ltd., Lender Processing Services and Stewart Information Services.</w:t>
      </w:r>
    </w:p>
    <w:p>
      <w:pPr>
        <w:spacing w:after="0" w:line="127" w:lineRule="exact"/>
        <w:rPr>
          <w:sz w:val="20"/>
          <w:szCs w:val="20"/>
          <w:color w:val="auto"/>
        </w:rPr>
      </w:pPr>
    </w:p>
    <w:p>
      <w:pPr>
        <w:ind w:left="340" w:right="519"/>
        <w:spacing w:after="0" w:line="277" w:lineRule="auto"/>
        <w:rPr>
          <w:sz w:val="20"/>
          <w:szCs w:val="20"/>
          <w:color w:val="auto"/>
        </w:rPr>
      </w:pPr>
      <w:r>
        <w:rPr>
          <w:rFonts w:ascii="Arial" w:cs="Arial" w:eastAsia="Arial" w:hAnsi="Arial"/>
          <w:sz w:val="18"/>
          <w:szCs w:val="18"/>
          <w:color w:val="auto"/>
        </w:rPr>
        <w:t>All information was obtained from publicly available proxy disclosures. The information gathered from these companies included base salary, cash incentive compensation and long-term equity incentive compensation.</w:t>
      </w:r>
    </w:p>
    <w:p>
      <w:pPr>
        <w:spacing w:after="0" w:line="130" w:lineRule="exact"/>
        <w:rPr>
          <w:sz w:val="20"/>
          <w:szCs w:val="20"/>
          <w:color w:val="auto"/>
        </w:rPr>
      </w:pPr>
    </w:p>
    <w:p>
      <w:pPr>
        <w:ind w:left="340" w:right="439"/>
        <w:spacing w:after="0" w:line="264" w:lineRule="auto"/>
        <w:rPr>
          <w:sz w:val="20"/>
          <w:szCs w:val="20"/>
          <w:color w:val="auto"/>
        </w:rPr>
      </w:pPr>
      <w:r>
        <w:rPr>
          <w:rFonts w:ascii="Arial" w:cs="Arial" w:eastAsia="Arial" w:hAnsi="Arial"/>
          <w:sz w:val="18"/>
          <w:szCs w:val="18"/>
          <w:color w:val="auto"/>
        </w:rPr>
        <w:t>The Compensation Committee believes this methodology of peer group benchmarking provides a fair representation of the competitive arena for executive talent and is an effective approach to setting compensation levels to ensure that the Company’s pay practices allow it to attract and retain executive employees of the highest quality.</w:t>
      </w:r>
    </w:p>
    <w:p>
      <w:pPr>
        <w:spacing w:after="0" w:line="141" w:lineRule="exact"/>
        <w:rPr>
          <w:sz w:val="20"/>
          <w:szCs w:val="20"/>
          <w:color w:val="auto"/>
        </w:rPr>
      </w:pPr>
    </w:p>
    <w:p>
      <w:pPr>
        <w:ind w:left="340" w:right="299"/>
        <w:spacing w:after="0" w:line="276" w:lineRule="auto"/>
        <w:rPr>
          <w:sz w:val="20"/>
          <w:szCs w:val="20"/>
          <w:color w:val="auto"/>
        </w:rPr>
      </w:pPr>
      <w:r>
        <w:rPr>
          <w:rFonts w:ascii="Arial" w:cs="Arial" w:eastAsia="Arial" w:hAnsi="Arial"/>
          <w:sz w:val="17"/>
          <w:szCs w:val="17"/>
          <w:color w:val="auto"/>
        </w:rPr>
        <w:t>Based on the benchmarking, performance, retention and other relevant considerations, the Compensation Committee reviews recommendations and determines appropriate base salary and annual incentive compensation targets for the Chief Executive Officer and other executive officers. The Compensation Committee generally makes its determinations during the second quarter of the year; however, they may make adjustments at other times as appropriate. No changes were recommended to the Company’s Executive compensation pay practices by the independent compensation consultant.</w:t>
      </w:r>
    </w:p>
    <w:p>
      <w:pPr>
        <w:spacing w:after="0" w:line="146" w:lineRule="exact"/>
        <w:rPr>
          <w:sz w:val="20"/>
          <w:szCs w:val="20"/>
          <w:color w:val="auto"/>
        </w:rPr>
      </w:pPr>
    </w:p>
    <w:p>
      <w:pPr>
        <w:ind w:left="340" w:right="359"/>
        <w:spacing w:after="0" w:line="277" w:lineRule="auto"/>
        <w:rPr>
          <w:sz w:val="20"/>
          <w:szCs w:val="20"/>
          <w:color w:val="auto"/>
        </w:rPr>
      </w:pPr>
      <w:r>
        <w:rPr>
          <w:rFonts w:ascii="Arial" w:cs="Arial" w:eastAsia="Arial" w:hAnsi="Arial"/>
          <w:sz w:val="18"/>
          <w:szCs w:val="18"/>
          <w:color w:val="auto"/>
        </w:rPr>
        <w:t>Please see “Role of Compensation Consultant” for further information regarding our use of an independent compensation consultant based on its analysis of the peer companies.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Incentive Plan</w:t>
      </w:r>
    </w:p>
    <w:p>
      <w:pPr>
        <w:spacing w:after="0" w:line="189" w:lineRule="exact"/>
        <w:rPr>
          <w:sz w:val="20"/>
          <w:szCs w:val="20"/>
          <w:color w:val="auto"/>
        </w:rPr>
      </w:pPr>
    </w:p>
    <w:p>
      <w:pPr>
        <w:ind w:left="340" w:right="259"/>
        <w:spacing w:after="0" w:line="255" w:lineRule="auto"/>
        <w:rPr>
          <w:sz w:val="20"/>
          <w:szCs w:val="20"/>
          <w:color w:val="auto"/>
        </w:rPr>
      </w:pPr>
      <w:r>
        <w:rPr>
          <w:rFonts w:ascii="Arial" w:cs="Arial" w:eastAsia="Arial" w:hAnsi="Arial"/>
          <w:sz w:val="18"/>
          <w:szCs w:val="18"/>
          <w:color w:val="auto"/>
        </w:rPr>
        <w:t>The Compensation Committee, in cooperation with senior management, implemented the 2009 Equity Incentive Plan.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grant of restricted stock, options, stock appreciation rights, stock purchase rights or other equity-based awards to our employees. Options granted under the plan may be either “incentive stock options” as defined in Section 422 of the Code, or nonqualified stock options, as determined by the Compensation Committee.</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69" w:lineRule="auto"/>
        <w:rPr>
          <w:sz w:val="20"/>
          <w:szCs w:val="20"/>
          <w:color w:val="auto"/>
        </w:rPr>
      </w:pPr>
      <w:r>
        <w:rPr>
          <w:rFonts w:ascii="Arial" w:cs="Arial" w:eastAsia="Arial" w:hAnsi="Arial"/>
          <w:sz w:val="17"/>
          <w:szCs w:val="17"/>
          <w:color w:val="auto"/>
        </w:rPr>
        <w:t xml:space="preserve">In January 2010, we granted option awards to fifteen (15) key employees who we identified as employees that can have a meaningful impact on the rapid and profitable growth of Altisource. The grants ranged from 10,000 options to 80,000 options for a total grant of 407,500 options. As part of these awards, Robert D. Stiles was granted 46,667 options. These options have an exercise price of $22.01, the stock price at close on the grant date. Twenty-five percent of the options vest over time in equal installments over four years and seventy-five percent of the options will vest based on applicable Company performance. If at any time the shareholders have achieved a 20% annualized rate of return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two times their investment (as measured by a hypothetical investment at the strike price on the grant date), two-thirds of the performance options will vest. If at any time the investors have achieved a 25% annualized rate of return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three times their investment (as measured by a hypothetical investment at the strike price on the grant date), 100% of the Performance Grant will vest. At the time the performance hurdles are achieved the options will vest over three years (25% immediately and 25% on each anniversary date of the performance hurdle being met). If the employee voluntarily resigns or is terminated, the employee loses the right to any unvested awards.</w:t>
      </w:r>
    </w:p>
    <w:p>
      <w:pPr>
        <w:spacing w:after="0" w:line="156" w:lineRule="exact"/>
        <w:rPr>
          <w:sz w:val="20"/>
          <w:szCs w:val="20"/>
          <w:color w:val="auto"/>
        </w:rPr>
      </w:pPr>
    </w:p>
    <w:p>
      <w:pPr>
        <w:jc w:val="both"/>
        <w:ind w:left="340" w:right="379"/>
        <w:spacing w:after="0" w:line="264" w:lineRule="auto"/>
        <w:rPr>
          <w:sz w:val="20"/>
          <w:szCs w:val="20"/>
          <w:color w:val="auto"/>
        </w:rPr>
      </w:pPr>
      <w:r>
        <w:rPr>
          <w:rFonts w:ascii="Arial" w:cs="Arial" w:eastAsia="Arial" w:hAnsi="Arial"/>
          <w:sz w:val="18"/>
          <w:szCs w:val="18"/>
          <w:color w:val="auto"/>
        </w:rPr>
        <w:t>The grant of options to this broader set of employees allowed us to incent the long term success of the Company by creating further alignment to an increase in shareholder value. Additionally, the long term vesting of the options provides a significant retention tool for these key employees.</w:t>
      </w:r>
    </w:p>
    <w:p>
      <w:pPr>
        <w:spacing w:after="0" w:line="141" w:lineRule="exact"/>
        <w:rPr>
          <w:sz w:val="20"/>
          <w:szCs w:val="20"/>
          <w:color w:val="auto"/>
        </w:rPr>
      </w:pPr>
    </w:p>
    <w:p>
      <w:pPr>
        <w:ind w:left="340" w:right="179"/>
        <w:spacing w:after="0" w:line="276" w:lineRule="auto"/>
        <w:rPr>
          <w:sz w:val="20"/>
          <w:szCs w:val="20"/>
          <w:color w:val="auto"/>
        </w:rPr>
      </w:pPr>
      <w:r>
        <w:rPr>
          <w:rFonts w:ascii="Arial" w:cs="Arial" w:eastAsia="Arial" w:hAnsi="Arial"/>
          <w:sz w:val="17"/>
          <w:szCs w:val="17"/>
          <w:color w:val="auto"/>
        </w:rPr>
        <w:t>In May 2010, we awarded 480,000 primarily performance-based options to our named executive officers, consisting of an award of 240,000 options to William B Shepro, 120,000 options to Robert D. Stiles and 120,000 options to Kevin J. Wilcox. These options have an exercise price of $24.85. The performance based vesting terms of these options require exceptional returns for the shareholders before vesting would begin for the executives. We determined that these equity amounts would bring management in-line with amounts which we believe to be comparable to the management teams of publicly traded competitors.</w:t>
      </w:r>
    </w:p>
    <w:p>
      <w:pPr>
        <w:spacing w:after="0" w:line="132" w:lineRule="exact"/>
        <w:rPr>
          <w:sz w:val="20"/>
          <w:szCs w:val="20"/>
          <w:color w:val="auto"/>
        </w:rPr>
      </w:pPr>
    </w:p>
    <w:p>
      <w:pPr>
        <w:ind w:left="340" w:right="339"/>
        <w:spacing w:after="0" w:line="257" w:lineRule="auto"/>
        <w:rPr>
          <w:sz w:val="20"/>
          <w:szCs w:val="20"/>
          <w:color w:val="auto"/>
        </w:rPr>
      </w:pPr>
      <w:r>
        <w:rPr>
          <w:rFonts w:ascii="Arial" w:cs="Arial" w:eastAsia="Arial" w:hAnsi="Arial"/>
          <w:sz w:val="18"/>
          <w:szCs w:val="18"/>
          <w:color w:val="auto"/>
        </w:rPr>
        <w:t>Because of the long-term equity incentive opportunity now available to our named executive officers, we do not intend to grant such awards on an annual basis. With seventy-five percent of the awards tied to performance and requiring a doubling or tripling of the stock price to vest, these options incent Management to make extraordinary contributions to the long-term success of the Company. Additionally, as noted above, the long-term vesting of the options provides a significant retention tool for our named executive officers.</w:t>
      </w:r>
    </w:p>
    <w:p>
      <w:pPr>
        <w:spacing w:after="0" w:line="161" w:lineRule="exact"/>
        <w:rPr>
          <w:sz w:val="20"/>
          <w:szCs w:val="20"/>
          <w:color w:val="auto"/>
        </w:rPr>
      </w:pPr>
    </w:p>
    <w:p>
      <w:pPr>
        <w:ind w:left="340" w:right="179"/>
        <w:spacing w:after="0" w:line="259" w:lineRule="auto"/>
        <w:rPr>
          <w:sz w:val="20"/>
          <w:szCs w:val="20"/>
          <w:color w:val="auto"/>
        </w:rPr>
      </w:pPr>
      <w:r>
        <w:rPr>
          <w:rFonts w:ascii="Arial" w:cs="Arial" w:eastAsia="Arial" w:hAnsi="Arial"/>
          <w:sz w:val="18"/>
          <w:szCs w:val="18"/>
          <w:color w:val="auto"/>
        </w:rPr>
        <w:t>Each award granted under the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grant.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Ownership Policies</w:t>
      </w:r>
    </w:p>
    <w:p>
      <w:pPr>
        <w:spacing w:after="0" w:line="189" w:lineRule="exact"/>
        <w:rPr>
          <w:sz w:val="20"/>
          <w:szCs w:val="20"/>
          <w:color w:val="auto"/>
        </w:rPr>
      </w:pPr>
    </w:p>
    <w:p>
      <w:pPr>
        <w:ind w:left="340" w:right="359"/>
        <w:spacing w:after="0" w:line="257"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retain and to align their interests with the interests of our shareholders. The Compensation Committee believes that the Company’s various equity incentive plans are adequate to achieve this philosophy. We also maintain a management directive detailing our trading window period policy for Directors, executive officers and other employees and our insider trading policy.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Compensation</w:t>
      </w:r>
    </w:p>
    <w:p>
      <w:pPr>
        <w:spacing w:after="0" w:line="189"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02" w:lineRule="exact"/>
        <w:rPr>
          <w:sz w:val="20"/>
          <w:szCs w:val="20"/>
          <w:color w:val="auto"/>
        </w:rPr>
      </w:pPr>
    </w:p>
    <w:p>
      <w:pPr>
        <w:ind w:left="340" w:right="199"/>
        <w:spacing w:after="0" w:line="259" w:lineRule="auto"/>
        <w:rPr>
          <w:sz w:val="20"/>
          <w:szCs w:val="20"/>
          <w:color w:val="auto"/>
        </w:rPr>
      </w:pPr>
      <w:r>
        <w:rPr>
          <w:rFonts w:ascii="Arial" w:cs="Arial" w:eastAsia="Arial" w:hAnsi="Arial"/>
          <w:sz w:val="18"/>
          <w:szCs w:val="18"/>
          <w:color w:val="auto"/>
        </w:rPr>
        <w:t>Below is a description of the amounts payable to each named executive officer assuming the executive’s employment had terminated under various scenarios, or a change of control had occurred, on December 31, 2010 (the last business day of fiscal year 2010). Due to the number of factors that affect the nature and amount of any benefits under the various scenarios, actual amounts paid or distributed may be different.</w:t>
      </w:r>
    </w:p>
    <w:p>
      <w:pPr>
        <w:spacing w:after="0" w:line="146" w:lineRule="exact"/>
        <w:rPr>
          <w:sz w:val="20"/>
          <w:szCs w:val="20"/>
          <w:color w:val="auto"/>
        </w:rPr>
      </w:pPr>
    </w:p>
    <w:p>
      <w:pPr>
        <w:ind w:left="340" w:right="199"/>
        <w:spacing w:after="0" w:line="290" w:lineRule="auto"/>
        <w:rPr>
          <w:sz w:val="20"/>
          <w:szCs w:val="20"/>
          <w:color w:val="auto"/>
        </w:rPr>
      </w:pPr>
      <w:r>
        <w:rPr>
          <w:rFonts w:ascii="Arial" w:cs="Arial" w:eastAsia="Arial" w:hAnsi="Arial"/>
          <w:sz w:val="16"/>
          <w:szCs w:val="16"/>
          <w:color w:val="auto"/>
        </w:rPr>
        <w:t>As noted above, our Chief Executive Officer, Chief Financial Officer and Chief Administration Officer and General Counsel have entered into employment agreements with the Company. Under these agreements, if employment is terminated by the executive’s retirement or disability, as defined therein, the Company will pay all standard relocation costs to relocate the officer to the United States. If the Company terminates the officer other than for “cause”, or the officer terminates for “good reason”, as defined therein, the Company is obligated to make a cash payment of one year’s salary plus one year’s target incentive compensation. In these instances, the Company will also pay all standard relocation costs to relocate the named executive officer to the United States. If the named executive officer is terminated by the Company for “cause”, the Company may terminate without notice and with no liability to make any further payment to the executive, other than amounts accrued and unpaid at the date of termination.</w:t>
      </w:r>
    </w:p>
    <w:p>
      <w:pPr>
        <w:spacing w:after="0" w:line="126" w:lineRule="exact"/>
        <w:rPr>
          <w:sz w:val="20"/>
          <w:szCs w:val="20"/>
          <w:color w:val="auto"/>
        </w:rPr>
      </w:pPr>
    </w:p>
    <w:p>
      <w:pPr>
        <w:ind w:left="340" w:right="179"/>
        <w:spacing w:after="0" w:line="270" w:lineRule="auto"/>
        <w:rPr>
          <w:sz w:val="20"/>
          <w:szCs w:val="20"/>
          <w:color w:val="auto"/>
        </w:rPr>
      </w:pPr>
      <w:r>
        <w:rPr>
          <w:rFonts w:ascii="Arial" w:cs="Arial" w:eastAsia="Arial" w:hAnsi="Arial"/>
          <w:sz w:val="17"/>
          <w:szCs w:val="17"/>
          <w:color w:val="auto"/>
        </w:rPr>
        <w:t>All named executive officers have options under the 2009 Equity Incentive Plan. As described in the Equity Incentive Plan section above, a portion of the options vest over time in equal installments (the “Time-Based Options”), and the remaining options will vest based on applicable Company performance (the “Performance-Based Options”). Unless an executive officer has been terminated for cause, the executive officer would be entitled to retain any vested portion of prior equity awards granted through the 2009 Equity Incentive Plan. Generally, for termination not due to death, disability or retirement, the executive officer has six (6) months within which to exercise stock options pursuant to our stock option agreements. Any portion of an equity award not vested will be forfeited in either circumstance unless alternate arrangements are made in the discretion of the Compensation Committee. Furthermore, pursuant to each stock option agreement granting an equity award, upon termination of an executive for cause, all outstanding stock options granted pursuant to such stock option agreement are forfeited.</w:t>
      </w:r>
    </w:p>
    <w:p>
      <w:pPr>
        <w:spacing w:after="0" w:line="155" w:lineRule="exact"/>
        <w:rPr>
          <w:sz w:val="20"/>
          <w:szCs w:val="20"/>
          <w:color w:val="auto"/>
        </w:rPr>
      </w:pPr>
    </w:p>
    <w:p>
      <w:pPr>
        <w:ind w:left="340" w:right="179"/>
        <w:spacing w:after="0" w:line="257" w:lineRule="auto"/>
        <w:rPr>
          <w:sz w:val="20"/>
          <w:szCs w:val="20"/>
          <w:color w:val="auto"/>
        </w:rPr>
      </w:pPr>
      <w:r>
        <w:rPr>
          <w:rFonts w:ascii="Arial" w:cs="Arial" w:eastAsia="Arial" w:hAnsi="Arial"/>
          <w:sz w:val="18"/>
          <w:szCs w:val="18"/>
          <w:color w:val="auto"/>
        </w:rPr>
        <w:t>Certain of the stock option agreements provide for accelerated vesting as set forth below. Upon a named executive officer’s retirement, disability, death, termination by the Company without “cause” or termination by the named executive officer for “good reason,” as defined in the applicable stock option agreement, all Time-Based Options will immediately vest. Additionally, pursuant to these certain agreements, if there is a “change of control event,” as defined in the applicable stock option agreement, all options, including Time-Based Options and Performance-Based Options, will vest.</w:t>
      </w:r>
    </w:p>
    <w:p>
      <w:pPr>
        <w:spacing w:after="0" w:line="148" w:lineRule="exact"/>
        <w:rPr>
          <w:sz w:val="20"/>
          <w:szCs w:val="20"/>
          <w:color w:val="auto"/>
        </w:rPr>
      </w:pPr>
    </w:p>
    <w:p>
      <w:pPr>
        <w:jc w:val="both"/>
        <w:ind w:left="340" w:right="339"/>
        <w:spacing w:after="0" w:line="264" w:lineRule="auto"/>
        <w:rPr>
          <w:sz w:val="20"/>
          <w:szCs w:val="20"/>
          <w:color w:val="auto"/>
        </w:rPr>
      </w:pPr>
      <w:r>
        <w:rPr>
          <w:rFonts w:ascii="Arial" w:cs="Arial" w:eastAsia="Arial" w:hAnsi="Arial"/>
          <w:sz w:val="18"/>
          <w:szCs w:val="18"/>
          <w:color w:val="auto"/>
        </w:rPr>
        <w:t>Upon his retirement, disability, death, termination by the Company without “cause” or termination by Mr. Shepro for “good reason,” Mr. Shepro would receive $890,393 from the accelerated vesting of options. Upon a “change in control,” Mr. Shepro would receive $3,196,158 from the accelerated vesting of options.</w:t>
      </w:r>
    </w:p>
    <w:p>
      <w:pPr>
        <w:spacing w:after="0" w:line="141" w:lineRule="exact"/>
        <w:rPr>
          <w:sz w:val="20"/>
          <w:szCs w:val="20"/>
          <w:color w:val="auto"/>
        </w:rPr>
      </w:pPr>
    </w:p>
    <w:p>
      <w:pPr>
        <w:ind w:left="340" w:right="439"/>
        <w:spacing w:after="0" w:line="264" w:lineRule="auto"/>
        <w:rPr>
          <w:sz w:val="20"/>
          <w:szCs w:val="20"/>
          <w:color w:val="auto"/>
        </w:rPr>
      </w:pPr>
      <w:r>
        <w:rPr>
          <w:rFonts w:ascii="Arial" w:cs="Arial" w:eastAsia="Arial" w:hAnsi="Arial"/>
          <w:sz w:val="18"/>
          <w:szCs w:val="18"/>
          <w:color w:val="auto"/>
        </w:rPr>
        <w:t>Upon his retirement, disability, death, termination by the Company without “cause” or termination by Mr. Stiles for “good reason,” Mr. Stiles would receive $284,969 from the accelerated vesting of options. Upon a “change in control,” Mr. Stiles would receive $394,328 from the accelerated vesting of options.</w:t>
      </w:r>
    </w:p>
    <w:p>
      <w:pPr>
        <w:spacing w:after="0" w:line="154" w:lineRule="exact"/>
        <w:rPr>
          <w:sz w:val="20"/>
          <w:szCs w:val="20"/>
          <w:color w:val="auto"/>
        </w:rPr>
      </w:pPr>
    </w:p>
    <w:p>
      <w:pPr>
        <w:jc w:val="both"/>
        <w:ind w:left="340" w:right="319"/>
        <w:spacing w:after="0" w:line="264" w:lineRule="auto"/>
        <w:rPr>
          <w:sz w:val="20"/>
          <w:szCs w:val="20"/>
          <w:color w:val="auto"/>
        </w:rPr>
      </w:pPr>
      <w:r>
        <w:rPr>
          <w:rFonts w:ascii="Arial" w:cs="Arial" w:eastAsia="Arial" w:hAnsi="Arial"/>
          <w:sz w:val="18"/>
          <w:szCs w:val="18"/>
          <w:color w:val="auto"/>
        </w:rPr>
        <w:t>Upon his retirement, disability, death, termination by the Company without “cause” or termination by Mr. Wilcox for “good reason,” Mr. Wilcox would receive $610,886 from the accelerated vesting of options. Upon a “change in control,” Mr. Wilcox would receive $2,343,698 from the accelerated vesting of options.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Considerations</w:t>
      </w:r>
    </w:p>
    <w:p>
      <w:pPr>
        <w:spacing w:after="0" w:line="189" w:lineRule="exact"/>
        <w:rPr>
          <w:sz w:val="20"/>
          <w:szCs w:val="20"/>
          <w:color w:val="auto"/>
        </w:rPr>
      </w:pPr>
    </w:p>
    <w:p>
      <w:pPr>
        <w:ind w:left="340" w:right="159"/>
        <w:spacing w:after="0" w:line="279" w:lineRule="auto"/>
        <w:rPr>
          <w:sz w:val="20"/>
          <w:szCs w:val="20"/>
          <w:color w:val="auto"/>
        </w:rPr>
      </w:pPr>
      <w:r>
        <w:rPr>
          <w:rFonts w:ascii="Arial" w:cs="Arial" w:eastAsia="Arial" w:hAnsi="Arial"/>
          <w:sz w:val="17"/>
          <w:szCs w:val="17"/>
          <w:color w:val="auto"/>
        </w:rPr>
        <w:t>The timing of compensation decisions is driven by a variety of tax considerations. Under Section 162(m) of the Internal Revenue Code of 1986, as amended (the “Code”), the tax deduction by corporate taxpayers is limited with respect to the compensation of certain executive officers up to $1,000,000 per covered executive unless such compensation is based upon the attainment of performance objectives meeting certain regulatory criteria or is otherwise excluded from the limitation.</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440"/>
        <w:spacing w:after="0" w:line="257" w:lineRule="auto"/>
        <w:rPr>
          <w:sz w:val="20"/>
          <w:szCs w:val="20"/>
          <w:color w:val="auto"/>
        </w:rPr>
      </w:pPr>
      <w:r>
        <w:rPr>
          <w:rFonts w:ascii="Arial" w:cs="Arial" w:eastAsia="Arial" w:hAnsi="Arial"/>
          <w:sz w:val="18"/>
          <w:szCs w:val="18"/>
          <w:color w:val="auto"/>
        </w:rPr>
        <w:t>In order to satisfy the deductibility requirements under Section 162(m) of the Code, performance objectives must be established in the first 90 days of the performance period. For annual incentive awards, this means performance objectives must be established no later than the end of March. In addition, in order to avoid being considered deferred compensation under Section 409A of the Code and to be deductible for the prior tax year, our annual incentive awards with respect to the prior year must be paid out by March 15 for employees of the Company who are U.S. taxpayers.</w:t>
      </w:r>
    </w:p>
    <w:p>
      <w:pPr>
        <w:spacing w:after="0" w:line="15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EXECUTIVE COMPENSATION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ind w:left="340" w:right="1920"/>
        <w:spacing w:after="0" w:line="277" w:lineRule="auto"/>
        <w:rPr>
          <w:sz w:val="20"/>
          <w:szCs w:val="20"/>
          <w:color w:val="auto"/>
        </w:rPr>
      </w:pPr>
      <w:r>
        <w:rPr>
          <w:rFonts w:ascii="Arial" w:cs="Arial" w:eastAsia="Arial" w:hAnsi="Arial"/>
          <w:sz w:val="18"/>
          <w:szCs w:val="18"/>
          <w:color w:val="auto"/>
        </w:rPr>
        <w:t>The following table discloses compensation received by our Chief Executive Officer, our Chief Financial Officer and our Chief Administration Officer and General Counsel for fiscal years 2009 and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b w:val="1"/>
                <w:bCs w:val="1"/>
                <w:color w:val="auto"/>
              </w:rPr>
              <w:t>Non-Equity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w:t>
            </w:r>
          </w:p>
        </w:tc>
        <w:tc>
          <w:tcPr>
            <w:tcW w:w="1280" w:type="dxa"/>
            <w:vAlign w:val="bottom"/>
            <w:gridSpan w:val="4"/>
          </w:tcPr>
          <w:p>
            <w:pPr>
              <w:ind w:left="12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Option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Compen-</w:t>
            </w:r>
          </w:p>
        </w:tc>
        <w:tc>
          <w:tcPr>
            <w:tcW w:w="1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Compen-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16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Year</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Salary</w:t>
            </w:r>
            <w:r>
              <w:rPr>
                <w:rFonts w:ascii="Arial" w:cs="Arial" w:eastAsia="Arial" w:hAnsi="Arial"/>
                <w:sz w:val="15"/>
                <w:szCs w:val="15"/>
                <w:color w:val="auto"/>
              </w:rPr>
              <w:t>(1)</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Awards</w:t>
            </w:r>
            <w:r>
              <w:rPr>
                <w:rFonts w:ascii="Arial" w:cs="Arial" w:eastAsia="Arial" w:hAnsi="Arial"/>
                <w:sz w:val="15"/>
                <w:szCs w:val="15"/>
                <w:color w:val="auto"/>
                <w:w w:val="93"/>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sation</w:t>
            </w:r>
            <w:r>
              <w:rPr>
                <w:rFonts w:ascii="Arial" w:cs="Arial" w:eastAsia="Arial" w:hAnsi="Arial"/>
                <w:sz w:val="15"/>
                <w:szCs w:val="15"/>
                <w:color w:val="auto"/>
                <w:w w:val="89"/>
              </w:rPr>
              <w:t>(3)</w:t>
            </w:r>
          </w:p>
        </w:tc>
        <w:tc>
          <w:tcPr>
            <w:tcW w:w="120" w:type="dxa"/>
            <w:vAlign w:val="bottom"/>
          </w:tcPr>
          <w:p>
            <w:pPr>
              <w:spacing w:after="0"/>
              <w:rPr>
                <w:sz w:val="20"/>
                <w:szCs w:val="20"/>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5"/>
              </w:rPr>
              <w:t>sation</w:t>
            </w:r>
            <w:r>
              <w:rPr>
                <w:rFonts w:ascii="Arial" w:cs="Arial" w:eastAsia="Arial" w:hAnsi="Arial"/>
                <w:sz w:val="15"/>
                <w:szCs w:val="15"/>
                <w:color w:val="auto"/>
                <w:w w:val="95"/>
              </w:rPr>
              <w:t>(4)</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William B. Shepro</w:t>
            </w:r>
          </w:p>
        </w:tc>
        <w:tc>
          <w:tcPr>
            <w:tcW w:w="104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2009</w:t>
            </w: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$383,816</w:t>
            </w: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853,205</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3"/>
              </w:rPr>
              <w:t>221,254</w:t>
            </w:r>
            <w:r>
              <w:rPr>
                <w:rFonts w:ascii="Arial" w:cs="Arial" w:eastAsia="Arial" w:hAnsi="Arial"/>
                <w:sz w:val="15"/>
                <w:szCs w:val="15"/>
                <w:color w:val="auto"/>
                <w:w w:val="93"/>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87"/>
              </w:rPr>
              <w:t>1,458,275</w:t>
            </w: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2010</w:t>
            </w: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$445,471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2,892,000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994,500</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106,425</w:t>
            </w:r>
            <w:r>
              <w:rPr>
                <w:rFonts w:ascii="Arial" w:cs="Arial" w:eastAsia="Arial" w:hAnsi="Arial"/>
                <w:sz w:val="15"/>
                <w:szCs w:val="15"/>
                <w:color w:val="auto"/>
                <w:w w:val="93"/>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4,438,396</w:t>
            </w:r>
          </w:p>
        </w:tc>
      </w:tr>
      <w:tr>
        <w:trPr>
          <w:trHeight w:val="418"/>
        </w:trPr>
        <w:tc>
          <w:tcPr>
            <w:tcW w:w="3180" w:type="dxa"/>
            <w:vAlign w:val="bottom"/>
          </w:tcPr>
          <w:p>
            <w:pPr>
              <w:spacing w:after="0"/>
              <w:rPr>
                <w:sz w:val="20"/>
                <w:szCs w:val="20"/>
                <w:color w:val="auto"/>
              </w:rPr>
            </w:pPr>
            <w:r>
              <w:rPr>
                <w:rFonts w:ascii="Arial" w:cs="Arial" w:eastAsia="Arial" w:hAnsi="Arial"/>
                <w:sz w:val="18"/>
                <w:szCs w:val="18"/>
                <w:b w:val="1"/>
                <w:bCs w:val="1"/>
                <w:color w:val="auto"/>
              </w:rPr>
              <w:t>Robert D. Stiles</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2009</w:t>
            </w:r>
          </w:p>
        </w:tc>
        <w:tc>
          <w:tcPr>
            <w:tcW w:w="1100" w:type="dxa"/>
            <w:vAlign w:val="bottom"/>
            <w:gridSpan w:val="2"/>
          </w:tcPr>
          <w:p>
            <w:pPr>
              <w:spacing w:after="0"/>
              <w:rPr>
                <w:sz w:val="20"/>
                <w:szCs w:val="20"/>
                <w:color w:val="auto"/>
              </w:rPr>
            </w:pPr>
            <w:r>
              <w:rPr>
                <w:rFonts w:ascii="Arial" w:cs="Arial" w:eastAsia="Arial" w:hAnsi="Arial"/>
                <w:sz w:val="18"/>
                <w:szCs w:val="18"/>
                <w:color w:val="auto"/>
              </w:rPr>
              <w:t>$215,171</w:t>
            </w:r>
            <w:r>
              <w:rPr>
                <w:rFonts w:ascii="Arial" w:cs="Arial" w:eastAsia="Arial" w:hAnsi="Arial"/>
                <w:sz w:val="15"/>
                <w:szCs w:val="15"/>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171,248</w:t>
            </w:r>
            <w:r>
              <w:rPr>
                <w:rFonts w:ascii="Arial" w:cs="Arial" w:eastAsia="Arial" w:hAnsi="Arial"/>
                <w:sz w:val="15"/>
                <w:szCs w:val="15"/>
                <w:color w:val="auto"/>
              </w:rPr>
              <w:t>(9)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218,960</w:t>
            </w:r>
          </w:p>
        </w:tc>
        <w:tc>
          <w:tcPr>
            <w:tcW w:w="12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27,169</w:t>
            </w:r>
            <w:r>
              <w:rPr>
                <w:rFonts w:ascii="Arial" w:cs="Arial" w:eastAsia="Arial" w:hAnsi="Arial"/>
                <w:sz w:val="15"/>
                <w:szCs w:val="15"/>
                <w:color w:val="auto"/>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632,548</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2010</w:t>
            </w:r>
          </w:p>
        </w:tc>
        <w:tc>
          <w:tcPr>
            <w:tcW w:w="1100" w:type="dxa"/>
            <w:vAlign w:val="bottom"/>
            <w:gridSpan w:val="2"/>
          </w:tcPr>
          <w:p>
            <w:pPr>
              <w:spacing w:after="0"/>
              <w:rPr>
                <w:sz w:val="20"/>
                <w:szCs w:val="20"/>
                <w:color w:val="auto"/>
              </w:rPr>
            </w:pPr>
            <w:r>
              <w:rPr>
                <w:rFonts w:ascii="Arial" w:cs="Arial" w:eastAsia="Arial" w:hAnsi="Arial"/>
                <w:sz w:val="18"/>
                <w:szCs w:val="18"/>
                <w:color w:val="auto"/>
              </w:rPr>
              <w:t>$272,065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1,960,737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243,800</w:t>
            </w:r>
          </w:p>
        </w:tc>
        <w:tc>
          <w:tcPr>
            <w:tcW w:w="12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56,890</w:t>
            </w:r>
            <w:r>
              <w:rPr>
                <w:rFonts w:ascii="Arial" w:cs="Arial" w:eastAsia="Arial" w:hAnsi="Arial"/>
                <w:sz w:val="15"/>
                <w:szCs w:val="15"/>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2,533,492</w:t>
            </w:r>
          </w:p>
        </w:tc>
      </w:t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Kevin J. Wilcox</w:t>
            </w:r>
          </w:p>
        </w:tc>
        <w:tc>
          <w:tcPr>
            <w:tcW w:w="104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2009</w:t>
            </w: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$316,084</w:t>
            </w:r>
            <w:r>
              <w:rPr>
                <w:rFonts w:ascii="Arial" w:cs="Arial" w:eastAsia="Arial" w:hAnsi="Arial"/>
                <w:sz w:val="15"/>
                <w:szCs w:val="15"/>
                <w:color w:val="auto"/>
              </w:rPr>
              <w:t>(12)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450,938</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30,426</w:t>
            </w:r>
            <w:r>
              <w:rPr>
                <w:rFonts w:ascii="Arial" w:cs="Arial" w:eastAsia="Arial" w:hAnsi="Arial"/>
                <w:sz w:val="15"/>
                <w:szCs w:val="15"/>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797,448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Chief Administration Officer and General</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2010</w:t>
            </w: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$363,632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1,446,000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150,076</w:t>
            </w:r>
            <w:r>
              <w:rPr>
                <w:rFonts w:ascii="Arial" w:cs="Arial" w:eastAsia="Arial" w:hAnsi="Arial"/>
                <w:sz w:val="15"/>
                <w:szCs w:val="15"/>
                <w:color w:val="auto"/>
                <w:w w:val="93"/>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2,460,208</w:t>
            </w: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Counsel</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107" w:lineRule="exact"/>
        <w:rPr>
          <w:sz w:val="20"/>
          <w:szCs w:val="20"/>
          <w:color w:val="auto"/>
        </w:rPr>
      </w:pPr>
    </w:p>
    <w:p>
      <w:pPr>
        <w:ind w:left="720" w:hanging="388"/>
        <w:spacing w:after="0"/>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Represents amounts earned in corresponding year.</w:t>
      </w:r>
    </w:p>
    <w:p>
      <w:pPr>
        <w:spacing w:after="0" w:line="76" w:lineRule="exact"/>
        <w:rPr>
          <w:rFonts w:ascii="Arial" w:cs="Arial" w:eastAsia="Arial" w:hAnsi="Arial"/>
          <w:sz w:val="15"/>
          <w:szCs w:val="15"/>
          <w:color w:val="auto"/>
        </w:rPr>
      </w:pPr>
    </w:p>
    <w:p>
      <w:pPr>
        <w:ind w:left="720" w:right="1420" w:hanging="388"/>
        <w:spacing w:after="0" w:line="259"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For awards of options, the amount disclosed represents the aggregate grant date fair value computed in accordance with FASB ASC Topic 718. We based the grant date fair value of stock awards in 2009 and 2010 on the closing price of our Common Stock. We estimated the grant date fair value of stock option awards in 2009 and 2010 using the Black-Scholes option-pricing model and a binomial option pricing model utilizing the following assumptions:</w:t>
      </w:r>
    </w:p>
    <w:p>
      <w:pPr>
        <w:spacing w:after="0" w:line="156"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Service Condition Awards — Black-Scholes Option Pricing Model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Expected Volatility</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Expected Dividend</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Risk-Free Interest</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94"/>
              </w:rPr>
              <w:t>Expected Term in</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Yield (%)</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Rate (%)</w:t>
            </w:r>
          </w:p>
        </w:tc>
        <w:tc>
          <w:tcPr>
            <w:tcW w:w="30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2010</w:t>
            </w:r>
          </w:p>
        </w:tc>
        <w:tc>
          <w:tcPr>
            <w:tcW w:w="1880" w:type="dxa"/>
            <w:vAlign w:val="bottom"/>
            <w:gridSpan w:val="3"/>
          </w:tcPr>
          <w:p>
            <w:pPr>
              <w:jc w:val="right"/>
              <w:ind w:right="160"/>
              <w:spacing w:after="0"/>
              <w:rPr>
                <w:sz w:val="20"/>
                <w:szCs w:val="20"/>
                <w:color w:val="auto"/>
              </w:rPr>
            </w:pPr>
            <w:r>
              <w:rPr>
                <w:rFonts w:ascii="Arial" w:cs="Arial" w:eastAsia="Arial" w:hAnsi="Arial"/>
                <w:sz w:val="18"/>
                <w:szCs w:val="18"/>
                <w:color w:val="auto"/>
              </w:rPr>
              <w:t>47% - 50%</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$22.01 - $24.85</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2.82% - 3.12%</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3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0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8"/>
          </w:tcPr>
          <w:p>
            <w:pPr>
              <w:jc w:val="right"/>
              <w:ind w:right="230"/>
              <w:spacing w:after="0"/>
              <w:rPr>
                <w:sz w:val="20"/>
                <w:szCs w:val="20"/>
                <w:color w:val="auto"/>
              </w:rPr>
            </w:pPr>
            <w:r>
              <w:rPr>
                <w:rFonts w:ascii="Arial" w:cs="Arial" w:eastAsia="Arial" w:hAnsi="Arial"/>
                <w:sz w:val="18"/>
                <w:szCs w:val="18"/>
                <w:b w:val="1"/>
                <w:bCs w:val="1"/>
                <w:color w:val="auto"/>
              </w:rPr>
              <w:t>Market Condition Awards — Binomial Option Pricing Model</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Expected Volatility</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Expected Dividend</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w:t>
            </w: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Risk-Free Interest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Contract Term in</w:t>
            </w:r>
          </w:p>
        </w:tc>
      </w:tr>
      <w:tr>
        <w:trPr>
          <w:trHeight w:val="234"/>
        </w:trPr>
        <w:tc>
          <w:tcPr>
            <w:tcW w:w="340" w:type="dxa"/>
            <w:vAlign w:val="bottom"/>
          </w:tcPr>
          <w:p>
            <w:pPr>
              <w:spacing w:after="0"/>
              <w:rPr>
                <w:sz w:val="20"/>
                <w:szCs w:val="20"/>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Yield (%)</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Rate (%)</w:t>
            </w:r>
          </w:p>
        </w:tc>
        <w:tc>
          <w:tcPr>
            <w:tcW w:w="30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 - 46%</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- 3.86%</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2010</w:t>
            </w:r>
          </w:p>
        </w:tc>
        <w:tc>
          <w:tcPr>
            <w:tcW w:w="640" w:type="dxa"/>
            <w:vAlign w:val="bottom"/>
          </w:tcPr>
          <w:p>
            <w:pPr>
              <w:spacing w:after="0"/>
              <w:rPr>
                <w:sz w:val="20"/>
                <w:szCs w:val="20"/>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8"/>
                <w:szCs w:val="18"/>
                <w:color w:val="auto"/>
              </w:rPr>
              <w:t>51% - 52%</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$22.01 - $25.85</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- 3.66%</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bl>
    <w:p>
      <w:pPr>
        <w:spacing w:after="0" w:line="93" w:lineRule="exact"/>
        <w:rPr>
          <w:sz w:val="20"/>
          <w:szCs w:val="20"/>
          <w:color w:val="auto"/>
        </w:rPr>
      </w:pPr>
    </w:p>
    <w:p>
      <w:pPr>
        <w:ind w:left="720" w:right="219" w:hanging="388"/>
        <w:spacing w:after="0" w:line="277"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Consists of the cash portion of incentive compensation bonus related to performance measures satisfied in the year indicated and awarded in the first quarter of the following year.</w:t>
      </w:r>
    </w:p>
    <w:p>
      <w:pPr>
        <w:spacing w:after="0" w:line="21" w:lineRule="exact"/>
        <w:rPr>
          <w:rFonts w:ascii="Arial" w:cs="Arial" w:eastAsia="Arial" w:hAnsi="Arial"/>
          <w:sz w:val="15"/>
          <w:szCs w:val="15"/>
          <w:color w:val="auto"/>
        </w:rPr>
      </w:pPr>
    </w:p>
    <w:p>
      <w:pPr>
        <w:ind w:left="720" w:right="319" w:hanging="388"/>
        <w:spacing w:after="0" w:line="306"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17"/>
          <w:szCs w:val="17"/>
          <w:color w:val="auto"/>
        </w:rPr>
        <w:t>Consists of contributions by Ocwen and Altisource pursuant to their 401(k) Savings Plan for each executive officer, group term life insurance, relocation expenses, car allowances, housing allowances and utilities allowances as detailed below.</w:t>
      </w:r>
    </w:p>
    <w:p>
      <w:pPr>
        <w:spacing w:after="0" w:line="1" w:lineRule="exact"/>
        <w:rPr>
          <w:rFonts w:ascii="Arial" w:cs="Arial" w:eastAsia="Arial" w:hAnsi="Arial"/>
          <w:sz w:val="14"/>
          <w:szCs w:val="14"/>
          <w:color w:val="auto"/>
        </w:rPr>
      </w:pPr>
    </w:p>
    <w:p>
      <w:pPr>
        <w:ind w:left="720" w:right="279" w:hanging="388"/>
        <w:spacing w:after="0" w:line="259"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As set forth in Mr. Shepro’s employment agreement, following the separation of Altisource from Ocwen, Mr. Shepro’s base salary was converted from US Dollars to Euros at the average exchange rate for US Dollars to Euros for 2009 up to August 24, 2009. This amount includes a 30% cost of living adjustment effective as of August 24, 2009, the date of Mr. Shepro’s relocation to Luxembourg.</w:t>
      </w:r>
    </w:p>
    <w:p>
      <w:pPr>
        <w:spacing w:after="0" w:line="38" w:lineRule="exact"/>
        <w:rPr>
          <w:rFonts w:ascii="Arial" w:cs="Arial" w:eastAsia="Arial" w:hAnsi="Arial"/>
          <w:sz w:val="15"/>
          <w:szCs w:val="15"/>
          <w:color w:val="auto"/>
        </w:rPr>
      </w:pPr>
    </w:p>
    <w:p>
      <w:pPr>
        <w:ind w:left="720" w:right="639" w:hanging="388"/>
        <w:spacing w:after="0" w:line="264"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Includes $186,924 for relocation expenses, $27,571 for housing allowance, $1,748 for a car allowance, $4,900 for 401(k) contributions and $111 for group term life contributions. Mr. Shepro also has access to an additional Company car while in Luxembourg.</w:t>
      </w:r>
    </w:p>
    <w:p>
      <w:pPr>
        <w:spacing w:after="0" w:line="32" w:lineRule="exact"/>
        <w:rPr>
          <w:rFonts w:ascii="Arial" w:cs="Arial" w:eastAsia="Arial" w:hAnsi="Arial"/>
          <w:sz w:val="15"/>
          <w:szCs w:val="15"/>
          <w:color w:val="auto"/>
        </w:rPr>
      </w:pPr>
    </w:p>
    <w:p>
      <w:pPr>
        <w:ind w:left="720" w:right="239" w:hanging="388"/>
        <w:spacing w:after="0" w:line="277"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Includes $67,519 for housing allowance, $14,175 for a car allowance and $24,731 for goods and services allowance. Mr. Shepro also has access to a Company car while in Luxembourg.</w:t>
      </w:r>
    </w:p>
    <w:p>
      <w:pPr>
        <w:spacing w:after="0" w:line="21" w:lineRule="exact"/>
        <w:rPr>
          <w:rFonts w:ascii="Arial" w:cs="Arial" w:eastAsia="Arial" w:hAnsi="Arial"/>
          <w:sz w:val="15"/>
          <w:szCs w:val="15"/>
          <w:color w:val="auto"/>
        </w:rPr>
      </w:pPr>
    </w:p>
    <w:p>
      <w:pPr>
        <w:ind w:left="720" w:right="599" w:hanging="388"/>
        <w:spacing w:after="0" w:line="311"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16"/>
          <w:szCs w:val="16"/>
          <w:color w:val="auto"/>
        </w:rPr>
        <w:t>Mr. Stiles joined Altisource in March of 2009; consequently, his base salary is for a partial year. As set forth in Mr. Stiles’ employment agreement, following the separation of Altisource from Ocwen, Mr. Stiles’ base salary was converted from US Dollars to Euros at the average exchange rate for US Dollars to Euros for 2009 up to August 24, 2009.</w:t>
      </w:r>
    </w:p>
    <w:p>
      <w:pPr>
        <w:ind w:left="720" w:hanging="388"/>
        <w:spacing w:after="0"/>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Altisource agreed to grant Mr. Stiles these option awards in Mr. Stiles’ offer of employment dated January 22, 2009.</w:t>
      </w:r>
    </w:p>
    <w:p>
      <w:pPr>
        <w:spacing w:after="0" w:line="76" w:lineRule="exact"/>
        <w:rPr>
          <w:rFonts w:ascii="Arial" w:cs="Arial" w:eastAsia="Arial" w:hAnsi="Arial"/>
          <w:sz w:val="15"/>
          <w:szCs w:val="15"/>
          <w:color w:val="auto"/>
        </w:rPr>
      </w:pPr>
    </w:p>
    <w:p>
      <w:pPr>
        <w:ind w:left="720" w:right="279" w:hanging="388"/>
        <w:spacing w:after="0" w:line="277"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Includes $16,749 for relocation expenses and $10,421 for housing allowance. Mr. Stiles also has access to a Company car while in Luxembourg.</w:t>
      </w:r>
    </w:p>
    <w:p>
      <w:pPr>
        <w:spacing w:after="0" w:line="21" w:lineRule="exact"/>
        <w:rPr>
          <w:rFonts w:ascii="Arial" w:cs="Arial" w:eastAsia="Arial" w:hAnsi="Arial"/>
          <w:sz w:val="15"/>
          <w:szCs w:val="15"/>
          <w:color w:val="auto"/>
        </w:rPr>
      </w:pPr>
    </w:p>
    <w:p>
      <w:pPr>
        <w:ind w:left="720" w:right="279" w:hanging="388"/>
        <w:spacing w:after="0" w:line="277"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Includes $32,159 for housing allowance and $24,731 for goods and services allowance. Mr. Stiles also has access to a Company car while in Luxembourg.</w:t>
      </w:r>
    </w:p>
    <w:p>
      <w:pPr>
        <w:spacing w:after="0" w:line="21" w:lineRule="exact"/>
        <w:rPr>
          <w:rFonts w:ascii="Arial" w:cs="Arial" w:eastAsia="Arial" w:hAnsi="Arial"/>
          <w:sz w:val="15"/>
          <w:szCs w:val="15"/>
          <w:color w:val="auto"/>
        </w:rPr>
      </w:pPr>
    </w:p>
    <w:p>
      <w:pPr>
        <w:ind w:left="720" w:right="259" w:hanging="388"/>
        <w:spacing w:after="0" w:line="259"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As set forth in Mr. Wilcox’s employment agreement, following the separation of Altisource from Ocwen, Mr. Wilcox’s base salary was converted from US Dollars to Euros at the average exchange rate for US Dollars to Euros for 2009 up to August 24, 2009. This amount includes a 30% cost of living adjustment effective as of August 24, 2009, the date of Mr. Wilcox’s relocation to Luxembourg.</w:t>
      </w:r>
    </w:p>
    <w:p>
      <w:pPr>
        <w:spacing w:after="0" w:line="38" w:lineRule="exact"/>
        <w:rPr>
          <w:rFonts w:ascii="Arial" w:cs="Arial" w:eastAsia="Arial" w:hAnsi="Arial"/>
          <w:sz w:val="15"/>
          <w:szCs w:val="15"/>
          <w:color w:val="auto"/>
        </w:rPr>
      </w:pPr>
    </w:p>
    <w:p>
      <w:pPr>
        <w:ind w:left="720" w:right="259" w:hanging="388"/>
        <w:spacing w:after="0" w:line="277"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Includes $16,775 for relocation expenses, $8,585 for housing allowance and $4,900 for 401(k) contributions and $166 for group term life contributions. Mr. Wilcox also has access to a Company car while in Luxembourg.</w:t>
      </w:r>
    </w:p>
    <w:p>
      <w:pPr>
        <w:spacing w:after="0" w:line="21" w:lineRule="exact"/>
        <w:rPr>
          <w:rFonts w:ascii="Arial" w:cs="Arial" w:eastAsia="Arial" w:hAnsi="Arial"/>
          <w:sz w:val="15"/>
          <w:szCs w:val="15"/>
          <w:color w:val="auto"/>
        </w:rPr>
      </w:pPr>
    </w:p>
    <w:p>
      <w:pPr>
        <w:ind w:left="720" w:right="799" w:hanging="388"/>
        <w:spacing w:after="0" w:line="277"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Includes $81,350 for relocation expenses, $43,995 for housing allowance and $24,731 for goods and services allowance. Mr. Wilcox also has access to a Company car while in Luxembourg.</w:t>
      </w:r>
    </w:p>
    <w:p>
      <w:pPr>
        <w:spacing w:after="0" w:line="143" w:lineRule="exact"/>
        <w:rPr>
          <w:sz w:val="20"/>
          <w:szCs w:val="20"/>
          <w:color w:val="auto"/>
        </w:rPr>
      </w:pPr>
    </w:p>
    <w:p>
      <w:pPr>
        <w:ind w:left="340" w:right="379"/>
        <w:spacing w:after="0" w:line="264" w:lineRule="auto"/>
        <w:rPr>
          <w:sz w:val="20"/>
          <w:szCs w:val="20"/>
          <w:color w:val="auto"/>
        </w:rPr>
      </w:pPr>
      <w:r>
        <w:rPr>
          <w:rFonts w:ascii="Arial" w:cs="Arial" w:eastAsia="Arial" w:hAnsi="Arial"/>
          <w:sz w:val="18"/>
          <w:szCs w:val="18"/>
          <w:color w:val="auto"/>
        </w:rPr>
        <w:t>We have employment agreements with our Chief Executive Officer, Chief Financial Officer and Chief Administration Officer and General Counsel (see discussion above). For more information about the elements of the compensation paid to our named executive officers, see “Compensation Discussion and Analysis” above.</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Grants of Plan Based Awards for 2010</w:t>
      </w:r>
    </w:p>
    <w:p>
      <w:pPr>
        <w:spacing w:after="0" w:line="202" w:lineRule="exact"/>
        <w:rPr>
          <w:sz w:val="20"/>
          <w:szCs w:val="20"/>
          <w:color w:val="auto"/>
        </w:rPr>
      </w:pPr>
    </w:p>
    <w:p>
      <w:pPr>
        <w:jc w:val="both"/>
        <w:ind w:left="340" w:right="199"/>
        <w:spacing w:after="0" w:line="264" w:lineRule="auto"/>
        <w:rPr>
          <w:sz w:val="20"/>
          <w:szCs w:val="20"/>
          <w:color w:val="auto"/>
        </w:rPr>
      </w:pPr>
      <w:r>
        <w:rPr>
          <w:rFonts w:ascii="Arial" w:cs="Arial" w:eastAsia="Arial" w:hAnsi="Arial"/>
          <w:sz w:val="18"/>
          <w:szCs w:val="18"/>
          <w:color w:val="auto"/>
        </w:rPr>
        <w:t>The following table provides information related to non-equity incentive compensation pursuant to our annual incentive compensation and our 2009 Equity Incentive Plan for services rendered in fiscal year 2010 by the individuals named in the Summary Compensation Table.</w:t>
      </w:r>
    </w:p>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9"/>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 Future Payouts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or</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9"/>
            <w:vMerge w:val="continue"/>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7"/>
          </w:tcPr>
          <w:p>
            <w:pPr>
              <w:jc w:val="center"/>
              <w:ind w:left="328"/>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Base Price</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3"/>
              </w:rPr>
              <w:t>Incentive Plan Awards</w:t>
            </w:r>
            <w:r>
              <w:rPr>
                <w:rFonts w:ascii="Arial" w:cs="Arial" w:eastAsia="Arial" w:hAnsi="Arial"/>
                <w:sz w:val="12"/>
                <w:szCs w:val="12"/>
                <w:b w:val="1"/>
                <w:bCs w:val="1"/>
                <w:color w:val="auto"/>
                <w:w w:val="93"/>
              </w:rPr>
              <w:t>(1)</w:t>
            </w:r>
          </w:p>
        </w:tc>
        <w:tc>
          <w:tcPr>
            <w:tcW w:w="100" w:type="dxa"/>
            <w:vAlign w:val="bottom"/>
          </w:tcPr>
          <w:p>
            <w:pPr>
              <w:spacing w:after="0"/>
              <w:rPr>
                <w:sz w:val="14"/>
                <w:szCs w:val="14"/>
                <w:color w:val="auto"/>
              </w:rPr>
            </w:pPr>
          </w:p>
        </w:tc>
        <w:tc>
          <w:tcPr>
            <w:tcW w:w="2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Equity Incentive Plan Awards</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of Option</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2"/>
        </w:trPr>
        <w:tc>
          <w:tcPr>
            <w:tcW w:w="1060" w:type="dxa"/>
            <w:vAlign w:val="bottom"/>
          </w:tcPr>
          <w:p>
            <w:pPr>
              <w:spacing w:after="0" w:line="142" w:lineRule="exact"/>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6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Threshold</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Target</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Threshold</w:t>
            </w:r>
          </w:p>
        </w:tc>
        <w:tc>
          <w:tcPr>
            <w:tcW w:w="96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Target</w:t>
            </w: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9"/>
              </w:rPr>
              <w:t>Maximum</w:t>
            </w: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2"/>
                <w:szCs w:val="12"/>
                <w:b w:val="1"/>
                <w:bCs w:val="1"/>
                <w:color w:val="auto"/>
                <w:w w:val="94"/>
              </w:rPr>
              <w:t>(2)</w:t>
            </w:r>
          </w:p>
        </w:tc>
        <w:tc>
          <w:tcPr>
            <w:tcW w:w="1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 Share</w:t>
            </w: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Option Awards</w:t>
            </w:r>
          </w:p>
        </w:tc>
        <w:tc>
          <w:tcPr>
            <w:tcW w:w="0" w:type="dxa"/>
            <w:vAlign w:val="bottom"/>
          </w:tcPr>
          <w:p>
            <w:pPr>
              <w:spacing w:after="0"/>
              <w:rPr>
                <w:sz w:val="1"/>
                <w:szCs w:val="1"/>
                <w:color w:val="auto"/>
              </w:rPr>
            </w:pPr>
          </w:p>
        </w:tc>
      </w:tr>
      <w:tr>
        <w:trPr>
          <w:trHeight w:val="123"/>
        </w:trPr>
        <w:tc>
          <w:tcPr>
            <w:tcW w:w="10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William B.</w:t>
            </w:r>
          </w:p>
        </w:tc>
        <w:tc>
          <w:tcPr>
            <w:tcW w:w="12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Shepro</w:t>
            </w:r>
          </w:p>
        </w:tc>
        <w:tc>
          <w:tcPr>
            <w:tcW w:w="7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5/19/10</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331,500</w:t>
            </w:r>
          </w:p>
        </w:tc>
        <w:tc>
          <w:tcPr>
            <w:tcW w:w="7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$ 663,000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994,500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780,000</w:t>
            </w:r>
          </w:p>
        </w:tc>
        <w:tc>
          <w:tcPr>
            <w:tcW w:w="0" w:type="dxa"/>
            <w:vAlign w:val="bottom"/>
          </w:tcPr>
          <w:p>
            <w:pPr>
              <w:spacing w:after="0"/>
              <w:rPr>
                <w:sz w:val="1"/>
                <w:szCs w:val="1"/>
                <w:color w:val="auto"/>
              </w:rPr>
            </w:pPr>
          </w:p>
        </w:tc>
      </w:tr>
      <w:tr>
        <w:trPr>
          <w:trHeight w:val="149"/>
        </w:trPr>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6"/>
              </w:rPr>
              <w:t>1,482,000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630,000</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Robert D. Stiles</w:t>
            </w:r>
          </w:p>
        </w:tc>
        <w:tc>
          <w:tcPr>
            <w:tcW w:w="120" w:type="dxa"/>
            <w:vAlign w:val="bottom"/>
          </w:tcPr>
          <w:p>
            <w:pPr>
              <w:spacing w:after="0"/>
              <w:rPr>
                <w:sz w:val="11"/>
                <w:szCs w:val="11"/>
                <w:color w:val="auto"/>
              </w:rPr>
            </w:pPr>
          </w:p>
        </w:tc>
        <w:tc>
          <w:tcPr>
            <w:tcW w:w="6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1/25/10</w:t>
            </w:r>
          </w:p>
        </w:tc>
        <w:tc>
          <w:tcPr>
            <w:tcW w:w="2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92,000</w:t>
            </w:r>
          </w:p>
        </w:tc>
        <w:tc>
          <w:tcPr>
            <w:tcW w:w="760" w:type="dxa"/>
            <w:vAlign w:val="bottom"/>
            <w:gridSpan w:val="3"/>
          </w:tcPr>
          <w:p>
            <w:pPr>
              <w:jc w:val="center"/>
              <w:spacing w:after="0" w:line="130" w:lineRule="exact"/>
              <w:rPr>
                <w:sz w:val="20"/>
                <w:szCs w:val="20"/>
                <w:color w:val="auto"/>
              </w:rPr>
            </w:pPr>
            <w:r>
              <w:rPr>
                <w:rFonts w:ascii="Arial" w:cs="Arial" w:eastAsia="Arial" w:hAnsi="Arial"/>
                <w:sz w:val="14"/>
                <w:szCs w:val="14"/>
                <w:color w:val="auto"/>
                <w:w w:val="89"/>
              </w:rPr>
              <w:t>$ 184,000</w:t>
            </w:r>
          </w:p>
        </w:tc>
        <w:tc>
          <w:tcPr>
            <w:tcW w:w="2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w w:val="98"/>
              </w:rPr>
              <w:t>276,000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11,667</w:t>
            </w:r>
          </w:p>
        </w:tc>
        <w:tc>
          <w:tcPr>
            <w:tcW w:w="16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22.01</w:t>
            </w:r>
          </w:p>
        </w:tc>
        <w:tc>
          <w:tcPr>
            <w:tcW w:w="10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line="130" w:lineRule="exact"/>
              <w:rPr>
                <w:sz w:val="20"/>
                <w:szCs w:val="20"/>
                <w:color w:val="auto"/>
              </w:rPr>
            </w:pPr>
            <w:r>
              <w:rPr>
                <w:rFonts w:ascii="Arial" w:cs="Arial" w:eastAsia="Arial" w:hAnsi="Arial"/>
                <w:sz w:val="14"/>
                <w:szCs w:val="14"/>
                <w:color w:val="auto"/>
              </w:rPr>
              <w:t>139,421</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23,333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258,063</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11,667</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360"/>
              <w:spacing w:after="0" w:line="149" w:lineRule="exact"/>
              <w:rPr>
                <w:sz w:val="20"/>
                <w:szCs w:val="20"/>
                <w:color w:val="auto"/>
              </w:rPr>
            </w:pPr>
            <w:r>
              <w:rPr>
                <w:rFonts w:ascii="Arial" w:cs="Arial" w:eastAsia="Arial" w:hAnsi="Arial"/>
                <w:sz w:val="14"/>
                <w:szCs w:val="14"/>
                <w:color w:val="auto"/>
                <w:w w:val="86"/>
              </w:rPr>
              <w:t>117,253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5/19/10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60,000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741,000</w:t>
            </w: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rPr>
                <w:sz w:val="20"/>
                <w:szCs w:val="20"/>
                <w:color w:val="auto"/>
              </w:rPr>
            </w:pPr>
            <w:r>
              <w:rPr>
                <w:rFonts w:ascii="Arial" w:cs="Arial" w:eastAsia="Arial" w:hAnsi="Arial"/>
                <w:sz w:val="14"/>
                <w:szCs w:val="14"/>
                <w:color w:val="auto"/>
              </w:rPr>
              <w:t>315,000</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Kevin J. Wilcox</w:t>
            </w:r>
          </w:p>
        </w:tc>
        <w:tc>
          <w:tcPr>
            <w:tcW w:w="7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5/19/10</w:t>
            </w:r>
          </w:p>
        </w:tc>
        <w:tc>
          <w:tcPr>
            <w:tcW w:w="2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w w:val="94"/>
              </w:rPr>
              <w:t>182,000</w:t>
            </w:r>
          </w:p>
        </w:tc>
        <w:tc>
          <w:tcPr>
            <w:tcW w:w="760" w:type="dxa"/>
            <w:vAlign w:val="bottom"/>
            <w:gridSpan w:val="3"/>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$ 364,000</w:t>
            </w:r>
          </w:p>
        </w:tc>
        <w:tc>
          <w:tcPr>
            <w:tcW w:w="2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w w:val="98"/>
              </w:rPr>
              <w:t>546,000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line="130" w:lineRule="exact"/>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149"/>
        </w:trPr>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741,000</w:t>
            </w: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315,000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179" w:hanging="388"/>
        <w:spacing w:after="0" w:line="273" w:lineRule="auto"/>
        <w:tabs>
          <w:tab w:leader="none" w:pos="720" w:val="left"/>
        </w:tabs>
        <w:numPr>
          <w:ilvl w:val="0"/>
          <w:numId w:val="23"/>
        </w:numPr>
        <w:rPr>
          <w:rFonts w:ascii="Arial" w:cs="Arial" w:eastAsia="Arial" w:hAnsi="Arial"/>
          <w:sz w:val="14"/>
          <w:szCs w:val="14"/>
          <w:color w:val="auto"/>
        </w:rPr>
      </w:pPr>
      <w:r>
        <w:rPr>
          <w:rFonts w:ascii="Arial" w:cs="Arial" w:eastAsia="Arial" w:hAnsi="Arial"/>
          <w:sz w:val="17"/>
          <w:szCs w:val="17"/>
          <w:color w:val="auto"/>
        </w:rPr>
        <w:t>These figures represent the potential non-equity compensation that may have been earned by each respective executive officer in 2010 under the different achievement levels presented on their personal scorecards which are more fully discussed in our Compensation Discussion and Analysis.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2010 is set forth in the “Non-Equity Incentive Plan Compensation” column of the Summary Compensation Table above.</w:t>
      </w:r>
    </w:p>
    <w:p>
      <w:pPr>
        <w:spacing w:after="0" w:line="29" w:lineRule="exact"/>
        <w:rPr>
          <w:rFonts w:ascii="Arial" w:cs="Arial" w:eastAsia="Arial" w:hAnsi="Arial"/>
          <w:sz w:val="14"/>
          <w:szCs w:val="14"/>
          <w:color w:val="auto"/>
        </w:rPr>
      </w:pPr>
    </w:p>
    <w:p>
      <w:pPr>
        <w:ind w:left="720" w:right="219" w:hanging="388"/>
        <w:spacing w:after="0" w:line="291" w:lineRule="auto"/>
        <w:tabs>
          <w:tab w:leader="none" w:pos="720" w:val="left"/>
        </w:tabs>
        <w:numPr>
          <w:ilvl w:val="0"/>
          <w:numId w:val="23"/>
        </w:numPr>
        <w:rPr>
          <w:rFonts w:ascii="Arial" w:cs="Arial" w:eastAsia="Arial" w:hAnsi="Arial"/>
          <w:sz w:val="14"/>
          <w:szCs w:val="14"/>
          <w:color w:val="auto"/>
        </w:rPr>
      </w:pPr>
      <w:r>
        <w:rPr>
          <w:rFonts w:ascii="Arial" w:cs="Arial" w:eastAsia="Arial" w:hAnsi="Arial"/>
          <w:sz w:val="16"/>
          <w:szCs w:val="16"/>
          <w:color w:val="auto"/>
        </w:rPr>
        <w:t>The vesting schedule for these options has a time-based component, in which 25% of the options vest in equal increments over four years, and a performance-based component, in which up to 75% of the options could vest in equal increments, with 25% vesting immediately upon the achievement of certain performance criteria related to ASPS’ stock price and its annualized 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2" w:lineRule="exact"/>
        <w:rPr>
          <w:sz w:val="20"/>
          <w:szCs w:val="20"/>
          <w:color w:val="auto"/>
        </w:rPr>
      </w:pPr>
    </w:p>
    <w:p>
      <w:pPr>
        <w:ind w:left="340" w:right="146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2010 for the individuals named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8"/>
                <w:szCs w:val="18"/>
                <w:b w:val="1"/>
                <w:bCs w:val="1"/>
                <w:color w:val="auto"/>
                <w:w w:val="98"/>
              </w:rPr>
              <w:t>Option Awards</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163"/>
              <w:spacing w:after="0" w:line="191" w:lineRule="exact"/>
              <w:rPr>
                <w:sz w:val="20"/>
                <w:szCs w:val="20"/>
                <w:color w:val="auto"/>
              </w:rPr>
            </w:pPr>
            <w:r>
              <w:rPr>
                <w:rFonts w:ascii="Arial" w:cs="Arial" w:eastAsia="Arial" w:hAnsi="Arial"/>
                <w:sz w:val="18"/>
                <w:szCs w:val="18"/>
                <w:b w:val="1"/>
                <w:bCs w:val="1"/>
                <w:color w:val="auto"/>
                <w:w w:val="92"/>
              </w:rPr>
              <w:t>Equity Incentive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3"/>
              <w:spacing w:after="0"/>
              <w:rPr>
                <w:sz w:val="20"/>
                <w:szCs w:val="20"/>
                <w:color w:val="auto"/>
              </w:rPr>
            </w:pPr>
            <w:r>
              <w:rPr>
                <w:rFonts w:ascii="Arial" w:cs="Arial" w:eastAsia="Arial" w:hAnsi="Arial"/>
                <w:sz w:val="18"/>
                <w:szCs w:val="18"/>
                <w:b w:val="1"/>
                <w:bCs w:val="1"/>
                <w:color w:val="auto"/>
                <w:w w:val="91"/>
              </w:rPr>
              <w:t>Plan Awards: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520" w:type="dxa"/>
            <w:vAlign w:val="bottom"/>
            <w:gridSpan w:val="2"/>
          </w:tcPr>
          <w:p>
            <w:pPr>
              <w:jc w:val="center"/>
              <w:ind w:right="163"/>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8"/>
              </w:rPr>
              <w:t>Securities</w:t>
            </w:r>
          </w:p>
        </w:tc>
        <w:tc>
          <w:tcPr>
            <w:tcW w:w="200" w:type="dxa"/>
            <w:vAlign w:val="bottom"/>
          </w:tcPr>
          <w:p>
            <w:pPr>
              <w:spacing w:after="0"/>
              <w:rPr>
                <w:sz w:val="18"/>
                <w:szCs w:val="18"/>
                <w:color w:val="auto"/>
              </w:rPr>
            </w:pPr>
          </w:p>
        </w:tc>
        <w:tc>
          <w:tcPr>
            <w:tcW w:w="152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Underlying</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3"/>
              </w:rPr>
              <w:t>Underlying</w:t>
            </w:r>
          </w:p>
        </w:tc>
        <w:tc>
          <w:tcPr>
            <w:tcW w:w="200" w:type="dxa"/>
            <w:vAlign w:val="bottom"/>
          </w:tcPr>
          <w:p>
            <w:pPr>
              <w:spacing w:after="0"/>
              <w:rPr>
                <w:sz w:val="18"/>
                <w:szCs w:val="18"/>
                <w:color w:val="auto"/>
              </w:rPr>
            </w:pPr>
          </w:p>
        </w:tc>
        <w:tc>
          <w:tcPr>
            <w:tcW w:w="152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1"/>
              </w:rPr>
              <w:t>Underlying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5"/>
              </w:rPr>
              <w:t>Unexercised</w:t>
            </w:r>
          </w:p>
        </w:tc>
        <w:tc>
          <w:tcPr>
            <w:tcW w:w="200" w:type="dxa"/>
            <w:vAlign w:val="bottom"/>
          </w:tcPr>
          <w:p>
            <w:pPr>
              <w:spacing w:after="0"/>
              <w:rPr>
                <w:sz w:val="18"/>
                <w:szCs w:val="18"/>
                <w:color w:val="auto"/>
              </w:rPr>
            </w:pPr>
          </w:p>
        </w:tc>
        <w:tc>
          <w:tcPr>
            <w:tcW w:w="152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7"/>
              </w:rPr>
              <w:t>Unexercised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18"/>
                <w:szCs w:val="18"/>
                <w:color w:val="auto"/>
              </w:rPr>
            </w:pPr>
          </w:p>
        </w:tc>
        <w:tc>
          <w:tcPr>
            <w:tcW w:w="1520" w:type="dxa"/>
            <w:vAlign w:val="bottom"/>
            <w:gridSpan w:val="2"/>
          </w:tcPr>
          <w:p>
            <w:pPr>
              <w:jc w:val="center"/>
              <w:ind w:right="163"/>
              <w:spacing w:after="0"/>
              <w:rPr>
                <w:sz w:val="20"/>
                <w:szCs w:val="20"/>
                <w:color w:val="auto"/>
              </w:rPr>
            </w:pPr>
            <w:r>
              <w:rPr>
                <w:rFonts w:ascii="Arial" w:cs="Arial" w:eastAsia="Arial" w:hAnsi="Arial"/>
                <w:sz w:val="18"/>
                <w:szCs w:val="18"/>
                <w:b w:val="1"/>
                <w:bCs w:val="1"/>
                <w:color w:val="auto"/>
                <w:w w:val="91"/>
              </w:rPr>
              <w:t>Unearned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Option</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8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Unexercisable</w:t>
            </w:r>
            <w:r>
              <w:rPr>
                <w:rFonts w:ascii="Arial" w:cs="Arial" w:eastAsia="Arial" w:hAnsi="Arial"/>
                <w:sz w:val="15"/>
                <w:szCs w:val="15"/>
                <w:color w:val="auto"/>
                <w:w w:val="89"/>
              </w:rPr>
              <w:t>(1)</w:t>
            </w:r>
          </w:p>
        </w:tc>
        <w:tc>
          <w:tcPr>
            <w:tcW w:w="200" w:type="dxa"/>
            <w:vAlign w:val="bottom"/>
          </w:tcPr>
          <w:p>
            <w:pPr>
              <w:spacing w:after="0"/>
              <w:rPr>
                <w:sz w:val="20"/>
                <w:szCs w:val="20"/>
                <w:color w:val="auto"/>
              </w:rPr>
            </w:pPr>
          </w:p>
        </w:tc>
        <w:tc>
          <w:tcPr>
            <w:tcW w:w="152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0"/>
              </w:rPr>
              <w:t>Options</w:t>
            </w:r>
            <w:r>
              <w:rPr>
                <w:rFonts w:ascii="Arial" w:cs="Arial" w:eastAsia="Arial" w:hAnsi="Arial"/>
                <w:sz w:val="15"/>
                <w:szCs w:val="15"/>
                <w:color w:val="auto"/>
                <w:w w:val="90"/>
              </w:rPr>
              <w:t>(2)</w:t>
            </w:r>
          </w:p>
        </w:tc>
        <w:tc>
          <w:tcPr>
            <w:tcW w:w="2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Expiration Date</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14.97</w:t>
            </w:r>
          </w:p>
        </w:tc>
        <w:tc>
          <w:tcPr>
            <w:tcW w:w="3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10/31/2011</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6.91</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8.35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2.23</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3.35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7.37</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12.80</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9.59</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11.50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14.17</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5/10/2017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51,562</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9.55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7/14/2018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9.55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7/14/2018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9.55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7/14/2018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(8)</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69"/>
        </w:trPr>
        <w:tc>
          <w:tcPr>
            <w:tcW w:w="34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Robert D. Stiles</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2,083</w:t>
            </w:r>
          </w:p>
        </w:tc>
        <w:tc>
          <w:tcPr>
            <w:tcW w:w="1700" w:type="dxa"/>
            <w:vAlign w:val="bottom"/>
            <w:gridSpan w:val="3"/>
          </w:tcPr>
          <w:p>
            <w:pPr>
              <w:jc w:val="right"/>
              <w:ind w:right="3"/>
              <w:spacing w:after="0"/>
              <w:rPr>
                <w:sz w:val="20"/>
                <w:szCs w:val="20"/>
                <w:color w:val="auto"/>
              </w:rPr>
            </w:pPr>
            <w:r>
              <w:rPr>
                <w:rFonts w:ascii="Arial" w:cs="Arial" w:eastAsia="Arial" w:hAnsi="Arial"/>
                <w:sz w:val="18"/>
                <w:szCs w:val="18"/>
                <w:color w:val="auto"/>
              </w:rPr>
              <w:t>6,250</w:t>
            </w:r>
            <w:r>
              <w:rPr>
                <w:rFonts w:ascii="Arial" w:cs="Arial" w:eastAsia="Arial" w:hAnsi="Arial"/>
                <w:sz w:val="15"/>
                <w:szCs w:val="15"/>
                <w:color w:val="auto"/>
              </w:rPr>
              <w:t>(9)</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14.15</w:t>
            </w:r>
          </w:p>
        </w:tc>
        <w:tc>
          <w:tcPr>
            <w:tcW w:w="30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9/22/2019</w:t>
            </w:r>
          </w:p>
        </w:tc>
        <w:tc>
          <w:tcPr>
            <w:tcW w:w="1360" w:type="dxa"/>
            <w:vAlign w:val="bottom"/>
          </w:tcPr>
          <w:p>
            <w:pPr>
              <w:spacing w:after="0"/>
              <w:rPr>
                <w:sz w:val="23"/>
                <w:szCs w:val="23"/>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8,333</w:t>
            </w:r>
            <w:r>
              <w:rPr>
                <w:rFonts w:ascii="Arial" w:cs="Arial" w:eastAsia="Arial" w:hAnsi="Arial"/>
                <w:sz w:val="15"/>
                <w:szCs w:val="15"/>
                <w:color w:val="auto"/>
              </w:rPr>
              <w:t>(10)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14.15</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9/22/2019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4,167</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12,500</w:t>
            </w:r>
            <w:r>
              <w:rPr>
                <w:rFonts w:ascii="Arial" w:cs="Arial" w:eastAsia="Arial" w:hAnsi="Arial"/>
                <w:sz w:val="15"/>
                <w:szCs w:val="15"/>
                <w:color w:val="auto"/>
              </w:rPr>
              <w:t>(11)</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14.15</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9/22/2019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23,333</w:t>
            </w:r>
            <w:r>
              <w:rPr>
                <w:rFonts w:ascii="Arial" w:cs="Arial" w:eastAsia="Arial" w:hAnsi="Arial"/>
                <w:sz w:val="15"/>
                <w:szCs w:val="15"/>
                <w:color w:val="auto"/>
              </w:rPr>
              <w:t>(12)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22.01</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1/25/2020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(13)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22.01</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1/25/2020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(14)</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22.01</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1/25/2020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ind w:right="3"/>
              <w:spacing w:after="0"/>
              <w:rPr>
                <w:sz w:val="20"/>
                <w:szCs w:val="20"/>
                <w:color w:val="auto"/>
              </w:rPr>
            </w:pPr>
            <w:r>
              <w:rPr>
                <w:rFonts w:ascii="Arial" w:cs="Arial" w:eastAsia="Arial" w:hAnsi="Arial"/>
                <w:sz w:val="18"/>
                <w:szCs w:val="18"/>
                <w:color w:val="auto"/>
              </w:rPr>
              <w:t>60,000</w:t>
            </w:r>
            <w:r>
              <w:rPr>
                <w:rFonts w:ascii="Arial" w:cs="Arial" w:eastAsia="Arial" w:hAnsi="Arial"/>
                <w:sz w:val="15"/>
                <w:szCs w:val="15"/>
                <w:color w:val="auto"/>
              </w:rPr>
              <w:t>(6)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ind w:right="3"/>
              <w:spacing w:after="0"/>
              <w:rPr>
                <w:sz w:val="20"/>
                <w:szCs w:val="20"/>
                <w:color w:val="auto"/>
              </w:rPr>
            </w:pPr>
            <w:r>
              <w:rPr>
                <w:rFonts w:ascii="Arial" w:cs="Arial" w:eastAsia="Arial" w:hAnsi="Arial"/>
                <w:sz w:val="18"/>
                <w:szCs w:val="18"/>
                <w:color w:val="auto"/>
              </w:rPr>
              <w:t>30,000</w:t>
            </w:r>
            <w:r>
              <w:rPr>
                <w:rFonts w:ascii="Arial" w:cs="Arial" w:eastAsia="Arial" w:hAnsi="Arial"/>
                <w:sz w:val="15"/>
                <w:szCs w:val="15"/>
                <w:color w:val="auto"/>
              </w:rPr>
              <w:t>(7)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gridSpan w:val="3"/>
          </w:tcPr>
          <w:p>
            <w:pPr>
              <w:jc w:val="right"/>
              <w:ind w:right="3"/>
              <w:spacing w:after="0"/>
              <w:rPr>
                <w:sz w:val="20"/>
                <w:szCs w:val="20"/>
                <w:color w:val="auto"/>
              </w:rPr>
            </w:pPr>
            <w:r>
              <w:rPr>
                <w:rFonts w:ascii="Arial" w:cs="Arial" w:eastAsia="Arial" w:hAnsi="Arial"/>
                <w:sz w:val="18"/>
                <w:szCs w:val="18"/>
                <w:color w:val="auto"/>
              </w:rPr>
              <w:t>30,000</w:t>
            </w:r>
            <w:r>
              <w:rPr>
                <w:rFonts w:ascii="Arial" w:cs="Arial" w:eastAsia="Arial" w:hAnsi="Arial"/>
                <w:sz w:val="15"/>
                <w:szCs w:val="15"/>
                <w:color w:val="auto"/>
              </w:rPr>
              <w:t>(8)</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21"/>
                <w:szCs w:val="21"/>
                <w:color w:val="auto"/>
              </w:rPr>
            </w:pPr>
          </w:p>
        </w:tc>
      </w:tr>
      <w:tr>
        <w:trPr>
          <w:trHeight w:val="764"/>
        </w:trPr>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jc w:val="right"/>
              <w:ind w:right="83"/>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8"/>
                <w:szCs w:val="18"/>
                <w:b w:val="1"/>
                <w:bCs w:val="1"/>
                <w:color w:val="auto"/>
                <w:w w:val="98"/>
              </w:rPr>
              <w:t>Option Awards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center"/>
              <w:ind w:right="103"/>
              <w:spacing w:after="0" w:line="191" w:lineRule="exact"/>
              <w:rPr>
                <w:sz w:val="20"/>
                <w:szCs w:val="20"/>
                <w:color w:val="auto"/>
              </w:rPr>
            </w:pPr>
            <w:r>
              <w:rPr>
                <w:rFonts w:ascii="Arial" w:cs="Arial" w:eastAsia="Arial" w:hAnsi="Arial"/>
                <w:sz w:val="18"/>
                <w:szCs w:val="18"/>
                <w:b w:val="1"/>
                <w:bCs w:val="1"/>
                <w:color w:val="auto"/>
                <w:w w:val="92"/>
              </w:rPr>
              <w:t>Equity Incentive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1"/>
              </w:rPr>
              <w:t>Plan Awards: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88"/>
              </w:rPr>
              <w:t>Securities</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88"/>
              </w:rPr>
              <w:t>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93"/>
              </w:rPr>
              <w:t>Underlying</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3"/>
              </w:rPr>
              <w:t>Underlying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Unexercised</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85"/>
              </w:rPr>
              <w:t>Unexercised</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85"/>
              </w:rPr>
              <w:t>Unexercised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88"/>
              </w:rPr>
              <w:t>Options</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1"/>
              </w:rPr>
              <w:t>Unearned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w:t>
            </w:r>
          </w:p>
        </w:tc>
        <w:tc>
          <w:tcPr>
            <w:tcW w:w="1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w:t>
            </w: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100" w:type="dxa"/>
            <w:vAlign w:val="bottom"/>
          </w:tcPr>
          <w:p>
            <w:pPr>
              <w:spacing w:after="0"/>
              <w:rPr>
                <w:sz w:val="20"/>
                <w:szCs w:val="20"/>
                <w:color w:val="auto"/>
              </w:rPr>
            </w:pPr>
          </w:p>
        </w:tc>
        <w:tc>
          <w:tcPr>
            <w:tcW w:w="1860" w:type="dxa"/>
            <w:vAlign w:val="bottom"/>
            <w:gridSpan w:val="3"/>
          </w:tcPr>
          <w:p>
            <w:pPr>
              <w:jc w:val="center"/>
              <w:ind w:right="83"/>
              <w:spacing w:after="0"/>
              <w:rPr>
                <w:sz w:val="20"/>
                <w:szCs w:val="20"/>
                <w:color w:val="auto"/>
              </w:rPr>
            </w:pPr>
            <w:r>
              <w:rPr>
                <w:rFonts w:ascii="Arial" w:cs="Arial" w:eastAsia="Arial" w:hAnsi="Arial"/>
                <w:sz w:val="18"/>
                <w:szCs w:val="18"/>
                <w:b w:val="1"/>
                <w:bCs w:val="1"/>
                <w:color w:val="auto"/>
                <w:w w:val="89"/>
              </w:rPr>
              <w:t>Unexercisable</w:t>
            </w:r>
            <w:r>
              <w:rPr>
                <w:rFonts w:ascii="Arial" w:cs="Arial" w:eastAsia="Arial" w:hAnsi="Arial"/>
                <w:sz w:val="15"/>
                <w:szCs w:val="15"/>
                <w:color w:val="auto"/>
                <w:w w:val="89"/>
              </w:rPr>
              <w:t>(1)</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2"/>
              </w:rPr>
              <w:t>Options</w:t>
            </w:r>
            <w:r>
              <w:rPr>
                <w:rFonts w:ascii="Arial" w:cs="Arial" w:eastAsia="Arial" w:hAnsi="Arial"/>
                <w:sz w:val="15"/>
                <w:szCs w:val="15"/>
                <w:color w:val="auto"/>
                <w:w w:val="92"/>
              </w:rPr>
              <w:t>(2)</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Exercise Price</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Expiration Date</w:t>
            </w:r>
          </w:p>
        </w:tc>
      </w:tr>
      <w:tr>
        <w:trPr>
          <w:trHeight w:val="20"/>
        </w:trPr>
        <w:tc>
          <w:tcPr>
            <w:tcW w:w="2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10/31/2011</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1/31/2012</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1/31/2012</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1/31/2013</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1/31/2013</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1/31/2014</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1/31/2014</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1/31/2015</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1/31/2016</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5/10/2017</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38,750</w:t>
            </w:r>
          </w:p>
        </w:tc>
        <w:tc>
          <w:tcPr>
            <w:tcW w:w="4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87"/>
              </w:rPr>
              <w:t>(3)</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7/14/2018</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51,666</w:t>
            </w:r>
          </w:p>
        </w:tc>
        <w:tc>
          <w:tcPr>
            <w:tcW w:w="4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87"/>
              </w:rPr>
              <w:t>(4)</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7/14/2018</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25,833</w:t>
            </w:r>
          </w:p>
        </w:tc>
        <w:tc>
          <w:tcPr>
            <w:tcW w:w="4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87"/>
              </w:rPr>
              <w:t>(5)</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7/14/2018</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5/19/2020</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5/19/2020</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87"/>
              </w:rPr>
              <w:t>(8)</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5/19/2020</w:t>
            </w:r>
          </w:p>
        </w:tc>
      </w:tr>
    </w:tbl>
    <w:p>
      <w:pPr>
        <w:spacing w:after="0" w:line="107" w:lineRule="exact"/>
        <w:rPr>
          <w:sz w:val="20"/>
          <w:szCs w:val="20"/>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awarded where the performance hurdles have been hit but remain subject to additional time based criteria.</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awarded where the performance hurdles have not been hit.</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vest in three (3) equal installments on June 15, 2011, June 15, 2012 and June 15, 2013.</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vest in two (2) equal installments on December 23, 2011 and December 23, 2012.</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vest in two (2) equal installments on July 14, 2011 and July 14, 2012.</w:t>
      </w:r>
    </w:p>
    <w:p>
      <w:pPr>
        <w:spacing w:after="0" w:line="76"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$49.70 and an annual rate of return of 20% over the exercise price with the balance vesting 25% each subsequent anniversary thereof.</w:t>
      </w:r>
    </w:p>
    <w:p>
      <w:pPr>
        <w:spacing w:after="0" w:line="21"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$74.55 and an annual rate of return of 25% over the exercise price with the balance vesting 25% each subsequent anniversary thereof.</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vest in four (4) equal installments on May 19, 2011, May 19, 2012, May 19, 2013 and May 19, 2014.</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vest in three (3) equal installments on September 22, 2011, September 22, 2012 and September 22, 2013.</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720" w:right="559" w:hanging="388"/>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$42.45 and an annual rate of return of 25% over the exercise price with the balance vesting 25% each subsequent year.</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vest in three (3) equal installments on June 14, 2011, June 14, 2012 and June 14, 2013</w:t>
      </w:r>
    </w:p>
    <w:p>
      <w:pPr>
        <w:spacing w:after="0" w:line="76"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$44.02 and an annual rate of return of 20% over the exercise price with the balance vesting 25% each subsequent anniversary thereof.</w:t>
      </w:r>
    </w:p>
    <w:p>
      <w:pPr>
        <w:spacing w:after="0" w:line="21"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$66.03 and an annual rate of return of 25% over the exercise price with the balance vesting 25% each subsequent anniversary thereof.</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Options vest in three (3) equal installments on January 25, 2011, January 25, 2012, January 25, 2013 and January 25, 2014.</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Option Exercises</w:t>
      </w:r>
    </w:p>
    <w:p>
      <w:pPr>
        <w:spacing w:after="0" w:line="189" w:lineRule="exact"/>
        <w:rPr>
          <w:sz w:val="20"/>
          <w:szCs w:val="20"/>
          <w:color w:val="auto"/>
        </w:rPr>
      </w:pPr>
    </w:p>
    <w:p>
      <w:pPr>
        <w:ind w:left="340" w:right="319"/>
        <w:spacing w:after="0" w:line="277" w:lineRule="auto"/>
        <w:rPr>
          <w:sz w:val="20"/>
          <w:szCs w:val="20"/>
          <w:color w:val="auto"/>
        </w:rPr>
      </w:pPr>
      <w:r>
        <w:rPr>
          <w:rFonts w:ascii="Arial" w:cs="Arial" w:eastAsia="Arial" w:hAnsi="Arial"/>
          <w:sz w:val="18"/>
          <w:szCs w:val="18"/>
          <w:color w:val="auto"/>
        </w:rPr>
        <w:t>The following table provides information regarding the exercise of stock options during the fiscal year ended December 31, 2010 for our named executive officers: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Acquired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on</w:t>
            </w:r>
          </w:p>
        </w:tc>
        <w:tc>
          <w:tcPr>
            <w:tcW w:w="20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Exercise</w:t>
            </w:r>
          </w:p>
        </w:tc>
        <w:tc>
          <w:tcPr>
            <w:tcW w:w="1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Market</w:t>
            </w: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Market</w:t>
            </w:r>
          </w:p>
        </w:tc>
        <w:tc>
          <w:tcPr>
            <w:tcW w:w="11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Realized on</w:t>
            </w:r>
          </w:p>
        </w:tc>
      </w:tr>
      <w:tr>
        <w:trPr>
          <w:trHeight w:val="234"/>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Exercise</w:t>
            </w:r>
            <w:r>
              <w:rPr>
                <w:rFonts w:ascii="Arial" w:cs="Arial" w:eastAsia="Arial" w:hAnsi="Arial"/>
                <w:sz w:val="15"/>
                <w:szCs w:val="15"/>
                <w:b w:val="1"/>
                <w:bCs w:val="1"/>
                <w:color w:val="auto"/>
                <w:w w:val="87"/>
              </w:rPr>
              <w:t>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Price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20"/>
                <w:szCs w:val="20"/>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28,924.56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26.9203</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$88,190.90</w:t>
            </w:r>
          </w:p>
        </w:tc>
        <w:tc>
          <w:tcPr>
            <w:tcW w:w="118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2"/>
              </w:rPr>
              <w:t>$ 59,266.35</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Kevin J. Wilcox</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788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6,957.43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26.8201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3"/>
              </w:rPr>
              <w:t>$21,134.24</w:t>
            </w:r>
          </w:p>
        </w:tc>
        <w:tc>
          <w:tcPr>
            <w:tcW w:w="118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$ 14,176.81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170815</wp:posOffset>
            </wp:positionV>
            <wp:extent cx="11150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720" w:right="419" w:hanging="388"/>
        <w:spacing w:after="0" w:line="342" w:lineRule="auto"/>
        <w:tabs>
          <w:tab w:leader="none" w:pos="72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These options were awarded as a result of the separation from Ocwen Financial Corporation due to options that had originally been awarded while the executive was employed at Ocwen and would have expired as of January 31, 2011 if not exercised.</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02" w:lineRule="exact"/>
        <w:rPr>
          <w:sz w:val="20"/>
          <w:szCs w:val="20"/>
          <w:color w:val="auto"/>
        </w:rPr>
      </w:pPr>
    </w:p>
    <w:p>
      <w:pPr>
        <w:ind w:left="340" w:right="1820"/>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15 through 30 of this proxy statement with management.</w:t>
      </w:r>
    </w:p>
    <w:p>
      <w:pPr>
        <w:spacing w:after="0" w:line="130" w:lineRule="exact"/>
        <w:rPr>
          <w:sz w:val="20"/>
          <w:szCs w:val="20"/>
          <w:color w:val="auto"/>
        </w:rPr>
      </w:pPr>
    </w:p>
    <w:p>
      <w:pPr>
        <w:jc w:val="both"/>
        <w:ind w:left="340" w:right="1660"/>
        <w:spacing w:after="0" w:line="264"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Altisource’s annual report on Form 10-K for the year ended December 31, 2010 and in this proxy statement.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Compensation Committee:</w:t>
            </w:r>
          </w:p>
        </w:tc>
      </w:tr>
      <w:tr>
        <w:trPr>
          <w:trHeight w:val="216"/>
        </w:trPr>
        <w:tc>
          <w:tcPr>
            <w:tcW w:w="3380" w:type="dxa"/>
            <w:vAlign w:val="bottom"/>
          </w:tcPr>
          <w:p>
            <w:pPr>
              <w:ind w:left="340"/>
              <w:spacing w:after="0"/>
              <w:rPr>
                <w:sz w:val="20"/>
                <w:szCs w:val="20"/>
                <w:color w:val="auto"/>
              </w:rPr>
            </w:pPr>
            <w:r>
              <w:rPr>
                <w:rFonts w:ascii="Arial" w:cs="Arial" w:eastAsia="Arial" w:hAnsi="Arial"/>
                <w:sz w:val="18"/>
                <w:szCs w:val="18"/>
                <w:color w:val="auto"/>
              </w:rPr>
              <w:t>April _____, 2011</w:t>
            </w:r>
          </w:p>
        </w:tc>
        <w:tc>
          <w:tcPr>
            <w:tcW w:w="8040" w:type="dxa"/>
            <w:vAlign w:val="bottom"/>
          </w:tcPr>
          <w:p>
            <w:pPr>
              <w:ind w:left="2300"/>
              <w:spacing w:after="0"/>
              <w:rPr>
                <w:sz w:val="20"/>
                <w:szCs w:val="20"/>
                <w:color w:val="auto"/>
              </w:rPr>
            </w:pPr>
            <w:r>
              <w:rPr>
                <w:rFonts w:ascii="Arial" w:cs="Arial" w:eastAsia="Arial" w:hAnsi="Arial"/>
                <w:sz w:val="18"/>
                <w:szCs w:val="18"/>
                <w:color w:val="auto"/>
              </w:rPr>
              <w:t>Timo Vättö, Chairman</w:t>
            </w:r>
          </w:p>
        </w:tc>
      </w:tr>
      <w:tr>
        <w:trPr>
          <w:trHeight w:val="216"/>
        </w:trPr>
        <w:tc>
          <w:tcPr>
            <w:tcW w:w="3380" w:type="dxa"/>
            <w:vAlign w:val="bottom"/>
          </w:tcPr>
          <w:p>
            <w:pPr>
              <w:spacing w:after="0"/>
              <w:rPr>
                <w:sz w:val="18"/>
                <w:szCs w:val="18"/>
                <w:color w:val="auto"/>
              </w:rPr>
            </w:pPr>
          </w:p>
        </w:tc>
        <w:tc>
          <w:tcPr>
            <w:tcW w:w="8040" w:type="dxa"/>
            <w:vAlign w:val="bottom"/>
          </w:tcPr>
          <w:p>
            <w:pPr>
              <w:ind w:left="2300"/>
              <w:spacing w:after="0"/>
              <w:rPr>
                <w:sz w:val="20"/>
                <w:szCs w:val="20"/>
                <w:color w:val="auto"/>
              </w:rPr>
            </w:pPr>
            <w:r>
              <w:rPr>
                <w:rFonts w:ascii="Arial" w:cs="Arial" w:eastAsia="Arial" w:hAnsi="Arial"/>
                <w:sz w:val="18"/>
                <w:szCs w:val="18"/>
                <w:color w:val="auto"/>
              </w:rPr>
              <w:t>Silke Andresen-Kienz, Director</w:t>
            </w:r>
          </w:p>
        </w:tc>
      </w:tr>
      <w:tr>
        <w:trPr>
          <w:trHeight w:val="230"/>
        </w:trPr>
        <w:tc>
          <w:tcPr>
            <w:tcW w:w="3380" w:type="dxa"/>
            <w:vAlign w:val="bottom"/>
          </w:tcPr>
          <w:p>
            <w:pPr>
              <w:spacing w:after="0"/>
              <w:rPr>
                <w:sz w:val="20"/>
                <w:szCs w:val="20"/>
                <w:color w:val="auto"/>
              </w:rPr>
            </w:pPr>
          </w:p>
        </w:tc>
        <w:tc>
          <w:tcPr>
            <w:tcW w:w="8040" w:type="dxa"/>
            <w:vAlign w:val="bottom"/>
          </w:tcPr>
          <w:p>
            <w:pPr>
              <w:ind w:left="2300"/>
              <w:spacing w:after="0"/>
              <w:rPr>
                <w:sz w:val="20"/>
                <w:szCs w:val="20"/>
                <w:color w:val="auto"/>
              </w:rPr>
            </w:pPr>
            <w:r>
              <w:rPr>
                <w:rFonts w:ascii="Arial" w:cs="Arial" w:eastAsia="Arial" w:hAnsi="Arial"/>
                <w:sz w:val="18"/>
                <w:szCs w:val="18"/>
                <w:color w:val="auto"/>
              </w:rPr>
              <w:t>Roland Müller-Ineichen, Director</w:t>
            </w:r>
          </w:p>
        </w:tc>
      </w:tr>
      <w:tr>
        <w:trPr>
          <w:trHeight w:val="797"/>
        </w:trPr>
        <w:tc>
          <w:tcPr>
            <w:tcW w:w="3380" w:type="dxa"/>
            <w:vAlign w:val="bottom"/>
          </w:tcPr>
          <w:p>
            <w:pPr>
              <w:spacing w:after="0"/>
              <w:rPr>
                <w:sz w:val="24"/>
                <w:szCs w:val="24"/>
                <w:color w:val="auto"/>
              </w:rPr>
            </w:pPr>
          </w:p>
        </w:tc>
        <w:tc>
          <w:tcPr>
            <w:tcW w:w="8040" w:type="dxa"/>
            <w:vAlign w:val="bottom"/>
          </w:tcPr>
          <w:p>
            <w:pPr>
              <w:ind w:left="1720"/>
              <w:spacing w:after="0"/>
              <w:rPr>
                <w:sz w:val="20"/>
                <w:szCs w:val="20"/>
                <w:color w:val="auto"/>
              </w:rPr>
            </w:pPr>
            <w:r>
              <w:rPr>
                <w:rFonts w:ascii="Arial" w:cs="Arial" w:eastAsia="Arial" w:hAnsi="Arial"/>
                <w:sz w:val="18"/>
                <w:szCs w:val="18"/>
                <w:color w:val="auto"/>
              </w:rPr>
              <w:t>31</w:t>
            </w:r>
          </w:p>
        </w:tc>
      </w:tr>
      <w:tr>
        <w:trPr>
          <w:trHeight w:val="226"/>
        </w:trPr>
        <w:tc>
          <w:tcPr>
            <w:tcW w:w="3380" w:type="dxa"/>
            <w:vAlign w:val="bottom"/>
            <w:tcBorders>
              <w:bottom w:val="single" w:sz="8" w:color="808080"/>
            </w:tcBorders>
          </w:tcPr>
          <w:p>
            <w:pPr>
              <w:spacing w:after="0"/>
              <w:rPr>
                <w:sz w:val="19"/>
                <w:szCs w:val="19"/>
                <w:color w:val="auto"/>
              </w:rPr>
            </w:pPr>
          </w:p>
        </w:tc>
        <w:tc>
          <w:tcPr>
            <w:tcW w:w="8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APPOINTMENT OF</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INDEPENDENT REGISTERED CERTIFIED PUBLIC ACCOUNTING FIRM</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(Proposal Two)</w:t>
      </w:r>
    </w:p>
    <w:p>
      <w:pPr>
        <w:spacing w:after="0" w:line="184" w:lineRule="exact"/>
        <w:rPr>
          <w:sz w:val="20"/>
          <w:szCs w:val="20"/>
          <w:color w:val="auto"/>
        </w:rPr>
      </w:pPr>
    </w:p>
    <w:p>
      <w:pPr>
        <w:ind w:left="340" w:right="159"/>
        <w:spacing w:after="0" w:line="276" w:lineRule="auto"/>
        <w:rPr>
          <w:sz w:val="20"/>
          <w:szCs w:val="20"/>
          <w:color w:val="auto"/>
        </w:rPr>
      </w:pPr>
      <w:r>
        <w:rPr>
          <w:rFonts w:ascii="Arial" w:cs="Arial" w:eastAsia="Arial" w:hAnsi="Arial"/>
          <w:sz w:val="17"/>
          <w:szCs w:val="17"/>
          <w:color w:val="auto"/>
        </w:rPr>
        <w:t>The Audit Committee of our Board of Directors has appointed Deloitte &amp; Touche LLP and Deloitte S.A. (together “Deloitte”), to be our independent registered certified public accounting firm for the year ending December 31, 2011 and to be our certified auditor for the Luxembourg statutory accounts described below. The Audit Committee has further directed that such appointment be submitted for approval by our shareholders at the Annual Meeting. If the shareholders do not approve the appointment of Deloitte, the Audit Committee may, in its sole discretion, reevaluate the engagement of the independent auditors.</w:t>
      </w:r>
    </w:p>
    <w:p>
      <w:pPr>
        <w:spacing w:after="0" w:line="132" w:lineRule="exact"/>
        <w:rPr>
          <w:sz w:val="20"/>
          <w:szCs w:val="20"/>
          <w:color w:val="auto"/>
        </w:rPr>
      </w:pPr>
    </w:p>
    <w:p>
      <w:pPr>
        <w:ind w:left="340" w:right="219"/>
        <w:spacing w:after="0" w:line="277" w:lineRule="auto"/>
        <w:rPr>
          <w:sz w:val="20"/>
          <w:szCs w:val="20"/>
          <w:color w:val="auto"/>
        </w:rPr>
      </w:pPr>
      <w:r>
        <w:rPr>
          <w:rFonts w:ascii="Arial" w:cs="Arial" w:eastAsia="Arial" w:hAnsi="Arial"/>
          <w:sz w:val="18"/>
          <w:szCs w:val="18"/>
          <w:color w:val="auto"/>
        </w:rPr>
        <w:t>Representatives of Deloitte will be present at the Annual Meeting, will be given the opportunity to make a statement, if they so desire, and will be available to respond to appropriate questions from you.</w:t>
      </w:r>
    </w:p>
    <w:p>
      <w:pPr>
        <w:spacing w:after="0" w:line="12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OUR BOARD OF DIRECTORS UNANIMOUSLY RECOMMENDS THAT YOU</w:t>
      </w:r>
    </w:p>
    <w:p>
      <w:pPr>
        <w:spacing w:after="0" w:line="27" w:lineRule="exact"/>
        <w:rPr>
          <w:sz w:val="20"/>
          <w:szCs w:val="20"/>
          <w:color w:val="auto"/>
        </w:rPr>
      </w:pPr>
    </w:p>
    <w:p>
      <w:pPr>
        <w:jc w:val="center"/>
        <w:ind w:left="560" w:right="1160"/>
        <w:spacing w:after="0" w:line="255" w:lineRule="auto"/>
        <w:rPr>
          <w:sz w:val="20"/>
          <w:szCs w:val="20"/>
          <w:color w:val="auto"/>
        </w:rPr>
      </w:pPr>
      <w:r>
        <w:rPr>
          <w:rFonts w:ascii="Arial" w:cs="Arial" w:eastAsia="Arial" w:hAnsi="Arial"/>
          <w:sz w:val="18"/>
          <w:szCs w:val="18"/>
          <w:b w:val="1"/>
          <w:bCs w:val="1"/>
          <w:color w:val="auto"/>
        </w:rPr>
        <w:t>VOTE “FOR” THE APPOINTMENT OF DELOITTE &amp; TOUCHE LLP AND DELOITTE S.A. (TOGETHER “DELOITTE”) AS THE INDEPENDENT REGISTERED CERTIFIED PUBLIC ACCOUNTING FIRM FOR 2011</w:t>
      </w:r>
    </w:p>
    <w:p>
      <w:pPr>
        <w:spacing w:after="0" w:line="200" w:lineRule="exact"/>
        <w:rPr>
          <w:sz w:val="20"/>
          <w:szCs w:val="20"/>
          <w:color w:val="auto"/>
        </w:rPr>
      </w:pPr>
    </w:p>
    <w:p>
      <w:pPr>
        <w:spacing w:after="0" w:line="35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 of the Audit Committee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of the Board of Directors has:</w:t>
      </w:r>
    </w:p>
    <w:p>
      <w:pPr>
        <w:spacing w:after="0" w:line="185" w:lineRule="exact"/>
        <w:rPr>
          <w:sz w:val="20"/>
          <w:szCs w:val="20"/>
          <w:color w:val="auto"/>
        </w:rPr>
      </w:pPr>
    </w:p>
    <w:p>
      <w:pPr>
        <w:ind w:left="1080" w:right="2220" w:hanging="370"/>
        <w:spacing w:after="0" w:line="277" w:lineRule="auto"/>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Reviewed and discussed with management Altisource’s audited financial statements as of and for the year ended December 31, 2010;</w:t>
      </w:r>
    </w:p>
    <w:p>
      <w:pPr>
        <w:spacing w:after="0" w:line="129" w:lineRule="exact"/>
        <w:rPr>
          <w:rFonts w:ascii="Arial" w:cs="Arial" w:eastAsia="Arial" w:hAnsi="Arial"/>
          <w:sz w:val="18"/>
          <w:szCs w:val="18"/>
          <w:b w:val="1"/>
          <w:bCs w:val="1"/>
          <w:color w:val="auto"/>
        </w:rPr>
      </w:pPr>
    </w:p>
    <w:p>
      <w:pPr>
        <w:ind w:left="1080" w:right="1380" w:hanging="370"/>
        <w:spacing w:after="0" w:line="264" w:lineRule="auto"/>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Discussed with Deloitte &amp; Touche LLP (“Deloitte”), Altisource’s independent registered certified public accounting firm, the matters required to be discussed by Statement on Auditing Standards No. 61, “Communication with Audit Committees”; and</w:t>
      </w:r>
    </w:p>
    <w:p>
      <w:pPr>
        <w:spacing w:after="0" w:line="154" w:lineRule="exact"/>
        <w:rPr>
          <w:rFonts w:ascii="Arial" w:cs="Arial" w:eastAsia="Arial" w:hAnsi="Arial"/>
          <w:sz w:val="18"/>
          <w:szCs w:val="18"/>
          <w:b w:val="1"/>
          <w:bCs w:val="1"/>
          <w:color w:val="auto"/>
        </w:rPr>
      </w:pPr>
    </w:p>
    <w:p>
      <w:pPr>
        <w:ind w:left="1080" w:right="1380" w:hanging="370"/>
        <w:spacing w:after="0" w:line="286" w:lineRule="auto"/>
        <w:tabs>
          <w:tab w:leader="none" w:pos="108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their independence.</w:t>
      </w:r>
    </w:p>
    <w:p>
      <w:pPr>
        <w:spacing w:after="0" w:line="125" w:lineRule="exact"/>
        <w:rPr>
          <w:sz w:val="20"/>
          <w:szCs w:val="20"/>
          <w:color w:val="auto"/>
        </w:rPr>
      </w:pPr>
    </w:p>
    <w:p>
      <w:pPr>
        <w:ind w:left="340" w:right="1700"/>
        <w:spacing w:after="0" w:line="308" w:lineRule="auto"/>
        <w:rPr>
          <w:sz w:val="20"/>
          <w:szCs w:val="20"/>
          <w:color w:val="auto"/>
        </w:rPr>
      </w:pPr>
      <w:r>
        <w:rPr>
          <w:rFonts w:ascii="Arial" w:cs="Arial" w:eastAsia="Arial" w:hAnsi="Arial"/>
          <w:sz w:val="17"/>
          <w:szCs w:val="17"/>
          <w:color w:val="auto"/>
        </w:rPr>
        <w:t>In reliance on the review and discussion referred to above, the Committee recommended to the Board of Directors that the audited financial statements be included in Altisource’s annual report on Form 10-K for the year ended December 31, 2010.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Audit Committee:</w:t>
            </w:r>
          </w:p>
        </w:tc>
      </w:tr>
      <w:tr>
        <w:trPr>
          <w:trHeight w:val="216"/>
        </w:trPr>
        <w:tc>
          <w:tcPr>
            <w:tcW w:w="3380" w:type="dxa"/>
            <w:vAlign w:val="bottom"/>
          </w:tcPr>
          <w:p>
            <w:pPr>
              <w:ind w:left="340"/>
              <w:spacing w:after="0"/>
              <w:rPr>
                <w:sz w:val="20"/>
                <w:szCs w:val="20"/>
                <w:color w:val="auto"/>
              </w:rPr>
            </w:pPr>
            <w:r>
              <w:rPr>
                <w:rFonts w:ascii="Arial" w:cs="Arial" w:eastAsia="Arial" w:hAnsi="Arial"/>
                <w:sz w:val="18"/>
                <w:szCs w:val="18"/>
                <w:color w:val="auto"/>
              </w:rPr>
              <w:t>April _____, 2011</w:t>
            </w:r>
          </w:p>
        </w:tc>
        <w:tc>
          <w:tcPr>
            <w:tcW w:w="8040" w:type="dxa"/>
            <w:vAlign w:val="bottom"/>
          </w:tcPr>
          <w:p>
            <w:pPr>
              <w:ind w:left="2300"/>
              <w:spacing w:after="0"/>
              <w:rPr>
                <w:sz w:val="20"/>
                <w:szCs w:val="20"/>
                <w:color w:val="auto"/>
              </w:rPr>
            </w:pPr>
            <w:r>
              <w:rPr>
                <w:rFonts w:ascii="Arial" w:cs="Arial" w:eastAsia="Arial" w:hAnsi="Arial"/>
                <w:sz w:val="18"/>
                <w:szCs w:val="18"/>
                <w:color w:val="auto"/>
              </w:rPr>
              <w:t>Roland Müller-Ineichen, Chairman</w:t>
            </w:r>
          </w:p>
        </w:tc>
      </w:tr>
      <w:tr>
        <w:trPr>
          <w:trHeight w:val="216"/>
        </w:trPr>
        <w:tc>
          <w:tcPr>
            <w:tcW w:w="3380" w:type="dxa"/>
            <w:vAlign w:val="bottom"/>
          </w:tcPr>
          <w:p>
            <w:pPr>
              <w:spacing w:after="0"/>
              <w:rPr>
                <w:sz w:val="18"/>
                <w:szCs w:val="18"/>
                <w:color w:val="auto"/>
              </w:rPr>
            </w:pPr>
          </w:p>
        </w:tc>
        <w:tc>
          <w:tcPr>
            <w:tcW w:w="8040" w:type="dxa"/>
            <w:vAlign w:val="bottom"/>
          </w:tcPr>
          <w:p>
            <w:pPr>
              <w:ind w:left="2300"/>
              <w:spacing w:after="0"/>
              <w:rPr>
                <w:sz w:val="20"/>
                <w:szCs w:val="20"/>
                <w:color w:val="auto"/>
              </w:rPr>
            </w:pPr>
            <w:r>
              <w:rPr>
                <w:rFonts w:ascii="Arial" w:cs="Arial" w:eastAsia="Arial" w:hAnsi="Arial"/>
                <w:sz w:val="18"/>
                <w:szCs w:val="18"/>
                <w:color w:val="auto"/>
              </w:rPr>
              <w:t>Silke Andresen-Kienz, Director</w:t>
            </w:r>
          </w:p>
        </w:tc>
      </w:tr>
      <w:tr>
        <w:trPr>
          <w:trHeight w:val="230"/>
        </w:trPr>
        <w:tc>
          <w:tcPr>
            <w:tcW w:w="3380" w:type="dxa"/>
            <w:vAlign w:val="bottom"/>
          </w:tcPr>
          <w:p>
            <w:pPr>
              <w:spacing w:after="0"/>
              <w:rPr>
                <w:sz w:val="20"/>
                <w:szCs w:val="20"/>
                <w:color w:val="auto"/>
              </w:rPr>
            </w:pPr>
          </w:p>
        </w:tc>
        <w:tc>
          <w:tcPr>
            <w:tcW w:w="8040" w:type="dxa"/>
            <w:vAlign w:val="bottom"/>
          </w:tcPr>
          <w:p>
            <w:pPr>
              <w:ind w:left="2300"/>
              <w:spacing w:after="0"/>
              <w:rPr>
                <w:sz w:val="20"/>
                <w:szCs w:val="20"/>
                <w:color w:val="auto"/>
              </w:rPr>
            </w:pPr>
            <w:r>
              <w:rPr>
                <w:rFonts w:ascii="Arial" w:cs="Arial" w:eastAsia="Arial" w:hAnsi="Arial"/>
                <w:sz w:val="18"/>
                <w:szCs w:val="18"/>
                <w:color w:val="auto"/>
              </w:rPr>
              <w:t>Timo Vättö, Director</w:t>
            </w:r>
          </w:p>
        </w:tc>
      </w:tr>
      <w:tr>
        <w:trPr>
          <w:trHeight w:val="797"/>
        </w:trPr>
        <w:tc>
          <w:tcPr>
            <w:tcW w:w="3380" w:type="dxa"/>
            <w:vAlign w:val="bottom"/>
          </w:tcPr>
          <w:p>
            <w:pPr>
              <w:spacing w:after="0"/>
              <w:rPr>
                <w:sz w:val="24"/>
                <w:szCs w:val="24"/>
                <w:color w:val="auto"/>
              </w:rPr>
            </w:pPr>
          </w:p>
        </w:tc>
        <w:tc>
          <w:tcPr>
            <w:tcW w:w="8040" w:type="dxa"/>
            <w:vAlign w:val="bottom"/>
          </w:tcPr>
          <w:p>
            <w:pPr>
              <w:ind w:left="1720"/>
              <w:spacing w:after="0"/>
              <w:rPr>
                <w:sz w:val="20"/>
                <w:szCs w:val="20"/>
                <w:color w:val="auto"/>
              </w:rPr>
            </w:pPr>
            <w:r>
              <w:rPr>
                <w:rFonts w:ascii="Arial" w:cs="Arial" w:eastAsia="Arial" w:hAnsi="Arial"/>
                <w:sz w:val="18"/>
                <w:szCs w:val="18"/>
                <w:color w:val="auto"/>
              </w:rPr>
              <w:t>33</w:t>
            </w:r>
          </w:p>
        </w:tc>
      </w:tr>
      <w:tr>
        <w:trPr>
          <w:trHeight w:val="226"/>
        </w:trPr>
        <w:tc>
          <w:tcPr>
            <w:tcW w:w="3380" w:type="dxa"/>
            <w:vAlign w:val="bottom"/>
            <w:tcBorders>
              <w:bottom w:val="single" w:sz="8" w:color="808080"/>
            </w:tcBorders>
          </w:tcPr>
          <w:p>
            <w:pPr>
              <w:spacing w:after="0"/>
              <w:rPr>
                <w:sz w:val="19"/>
                <w:szCs w:val="19"/>
                <w:color w:val="auto"/>
              </w:rPr>
            </w:pPr>
          </w:p>
        </w:tc>
        <w:tc>
          <w:tcPr>
            <w:tcW w:w="8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Deloitte &amp; Touche LLP Fees</w:t>
      </w:r>
    </w:p>
    <w:p>
      <w:pPr>
        <w:spacing w:after="0" w:line="202" w:lineRule="exact"/>
        <w:rPr>
          <w:sz w:val="20"/>
          <w:szCs w:val="20"/>
          <w:color w:val="auto"/>
        </w:rPr>
      </w:pPr>
    </w:p>
    <w:p>
      <w:pPr>
        <w:ind w:left="340" w:right="279"/>
        <w:spacing w:after="0" w:line="277" w:lineRule="auto"/>
        <w:rPr>
          <w:sz w:val="20"/>
          <w:szCs w:val="20"/>
          <w:color w:val="auto"/>
        </w:rPr>
      </w:pPr>
      <w:r>
        <w:rPr>
          <w:rFonts w:ascii="Arial" w:cs="Arial" w:eastAsia="Arial" w:hAnsi="Arial"/>
          <w:sz w:val="18"/>
          <w:szCs w:val="18"/>
          <w:color w:val="auto"/>
        </w:rPr>
        <w:t>The following table shows the aggregate fees billed to Altisource for professional services by Deloitte &amp; Touche LLP (“Deloitte”), in fiscal years 2009 and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3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986,105</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3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128,040</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213,689</w:t>
            </w:r>
          </w:p>
        </w:tc>
      </w:tr>
      <w:tr>
        <w:trPr>
          <w:trHeight w:val="27"/>
        </w:trPr>
        <w:tc>
          <w:tcPr>
            <w:tcW w:w="4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3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1,327,834</w:t>
            </w:r>
          </w:p>
        </w:tc>
      </w:tr>
      <w:tr>
        <w:trPr>
          <w:trHeight w:val="20"/>
        </w:trPr>
        <w:tc>
          <w:tcPr>
            <w:tcW w:w="4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79"/>
        <w:spacing w:after="0" w:line="257" w:lineRule="auto"/>
        <w:rPr>
          <w:sz w:val="20"/>
          <w:szCs w:val="20"/>
          <w:color w:val="auto"/>
        </w:rPr>
      </w:pPr>
      <w:r>
        <w:rPr>
          <w:rFonts w:ascii="Arial" w:cs="Arial" w:eastAsia="Arial" w:hAnsi="Arial"/>
          <w:sz w:val="18"/>
          <w:szCs w:val="18"/>
          <w:b w:val="1"/>
          <w:bCs w:val="1"/>
          <w:i w:val="1"/>
          <w:iCs w:val="1"/>
          <w:color w:val="auto"/>
        </w:rPr>
        <w:t xml:space="preserve">Changes in Independent Registered Certified Public Accounting Firm. </w:t>
      </w:r>
      <w:r>
        <w:rPr>
          <w:rFonts w:ascii="Arial" w:cs="Arial" w:eastAsia="Arial" w:hAnsi="Arial"/>
          <w:sz w:val="18"/>
          <w:szCs w:val="18"/>
          <w:color w:val="auto"/>
        </w:rPr>
        <w:t>Prior to Altisource’s separation from Ocwen on August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the independent public accounting firm for Ocwen was PricewaterhouseCoopers LLP (“PwC”). On September 22, 2009, at the initial meeting of the Board of Directors of Altisource following the separation from Ocwen, the Board of Directors engaged Deloitte as Altisource’s independent registered public accounting firm for the year ending December 31, 2009, subject to the completion of their customary client acceptance procedures.</w:t>
      </w:r>
    </w:p>
    <w:p>
      <w:pPr>
        <w:spacing w:after="0" w:line="148" w:lineRule="exact"/>
        <w:rPr>
          <w:sz w:val="20"/>
          <w:szCs w:val="20"/>
          <w:color w:val="auto"/>
        </w:rPr>
      </w:pPr>
    </w:p>
    <w:p>
      <w:pPr>
        <w:ind w:left="340" w:right="239"/>
        <w:spacing w:after="0" w:line="286" w:lineRule="auto"/>
        <w:rPr>
          <w:sz w:val="20"/>
          <w:szCs w:val="20"/>
          <w:color w:val="auto"/>
        </w:rPr>
      </w:pPr>
      <w:r>
        <w:rPr>
          <w:rFonts w:ascii="Arial" w:cs="Arial" w:eastAsia="Arial" w:hAnsi="Arial"/>
          <w:sz w:val="17"/>
          <w:szCs w:val="17"/>
          <w:color w:val="auto"/>
        </w:rPr>
        <w:t>The report of PwC on Ocwen’s consolidated financial statements for each of the two years in the period ended December 31, 2008, which was included in Ocwen’s 2008 Annual Report on Form 10-K, did not contain any adverse opinion or disclaimer of opinion, nor was such report qualified or modified as to uncertainty, audit scope or accounting principle.</w:t>
      </w:r>
    </w:p>
    <w:p>
      <w:pPr>
        <w:spacing w:after="0" w:line="139" w:lineRule="exact"/>
        <w:rPr>
          <w:sz w:val="20"/>
          <w:szCs w:val="20"/>
          <w:color w:val="auto"/>
        </w:rPr>
      </w:pPr>
    </w:p>
    <w:p>
      <w:pPr>
        <w:ind w:left="340" w:right="179"/>
        <w:spacing w:after="0" w:line="276" w:lineRule="auto"/>
        <w:rPr>
          <w:sz w:val="20"/>
          <w:szCs w:val="20"/>
          <w:color w:val="auto"/>
        </w:rPr>
      </w:pPr>
      <w:r>
        <w:rPr>
          <w:rFonts w:ascii="Arial" w:cs="Arial" w:eastAsia="Arial" w:hAnsi="Arial"/>
          <w:sz w:val="17"/>
          <w:szCs w:val="17"/>
          <w:color w:val="auto"/>
        </w:rPr>
        <w:t>During each of the two years in the period ended December 31, 2008 and through August 10, 2009 (the date Altisource separated from Ocwen), there were no (i) disagreements between Ocwen and PwC on any matter of accounting principles or practices, financial statement disclosure, or auditing scope or procedure, which disagreements, if not resolved to the satisfaction of PwC, would have caused PwC to make reference to the subject matter of the disagreements in connection with its reports on the financial statements for such years, and (ii) “reportable events” as defined in Item 304(a)(1)(v) of Regulation S-K.</w:t>
      </w:r>
    </w:p>
    <w:p>
      <w:pPr>
        <w:spacing w:after="0" w:line="132" w:lineRule="exact"/>
        <w:rPr>
          <w:sz w:val="20"/>
          <w:szCs w:val="20"/>
          <w:color w:val="auto"/>
        </w:rPr>
      </w:pPr>
    </w:p>
    <w:p>
      <w:pPr>
        <w:ind w:left="340" w:right="259"/>
        <w:spacing w:after="0" w:line="272" w:lineRule="auto"/>
        <w:rPr>
          <w:sz w:val="20"/>
          <w:szCs w:val="20"/>
          <w:color w:val="auto"/>
        </w:rPr>
      </w:pPr>
      <w:r>
        <w:rPr>
          <w:rFonts w:ascii="Arial" w:cs="Arial" w:eastAsia="Arial" w:hAnsi="Arial"/>
          <w:sz w:val="17"/>
          <w:szCs w:val="17"/>
          <w:color w:val="auto"/>
        </w:rPr>
        <w:t>During each of the two years in the period ended December 31, 2009 and through August 10, 2010, neither the Company nor anyone on its behalf consulted with Deloitte with respect to either (i) the application of accounting principles to a specified transaction, either completed or proposed, or the type of audit opinion that might be rendered on the Company’s consolidated financial statements, and no written report or oral advice was provided by Deloitte to the Company that Deloitte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137" w:lineRule="exact"/>
        <w:rPr>
          <w:sz w:val="20"/>
          <w:szCs w:val="20"/>
          <w:color w:val="auto"/>
        </w:rPr>
      </w:pPr>
    </w:p>
    <w:p>
      <w:pPr>
        <w:ind w:left="340" w:right="239"/>
        <w:spacing w:after="0" w:line="264" w:lineRule="auto"/>
        <w:rPr>
          <w:sz w:val="20"/>
          <w:szCs w:val="20"/>
          <w:color w:val="auto"/>
        </w:rPr>
      </w:pPr>
      <w:r>
        <w:rPr>
          <w:rFonts w:ascii="Arial" w:cs="Arial" w:eastAsia="Arial" w:hAnsi="Arial"/>
          <w:sz w:val="18"/>
          <w:szCs w:val="18"/>
          <w:color w:val="auto"/>
        </w:rPr>
        <w:t>Ocwen requested that PwC furnish Ocwen with a letter addressed to the Securities Exchange Commission stating whether or not PwC agrees with the above statements that are related to PwC. A copy of PwC’s letter, dated September 3, 2009, is attached to that certain Current Report on Form 8-K filed by Ocwen on September 3, 2009.</w:t>
      </w:r>
    </w:p>
    <w:p>
      <w:pPr>
        <w:spacing w:after="0" w:line="154" w:lineRule="exact"/>
        <w:rPr>
          <w:sz w:val="20"/>
          <w:szCs w:val="20"/>
          <w:color w:val="auto"/>
        </w:rPr>
      </w:pPr>
    </w:p>
    <w:p>
      <w:pPr>
        <w:ind w:left="340" w:right="399"/>
        <w:spacing w:after="0" w:line="257"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Altisource’s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for fiscal years 2009 and 2010, for the reviews of the financial statements included in Altisource’s quarterly reports on Form 10-Q during fiscal years 2009 and 2010 and for services that are normally provided by the independent registered certified public accounting firm in connection with statutory and regulatory filings or engagements for the relevant fiscal year.</w:t>
      </w:r>
    </w:p>
    <w:p>
      <w:pPr>
        <w:spacing w:after="0" w:line="148" w:lineRule="exact"/>
        <w:rPr>
          <w:sz w:val="20"/>
          <w:szCs w:val="20"/>
          <w:color w:val="auto"/>
        </w:rPr>
      </w:pPr>
    </w:p>
    <w:p>
      <w:pPr>
        <w:ind w:left="340" w:right="259"/>
        <w:spacing w:after="0" w:line="302" w:lineRule="auto"/>
        <w:rPr>
          <w:sz w:val="20"/>
          <w:szCs w:val="20"/>
          <w:color w:val="auto"/>
        </w:rPr>
      </w:pPr>
      <w:r>
        <w:rPr>
          <w:rFonts w:ascii="Arial" w:cs="Arial" w:eastAsia="Arial" w:hAnsi="Arial"/>
          <w:sz w:val="16"/>
          <w:szCs w:val="16"/>
          <w:b w:val="1"/>
          <w:bCs w:val="1"/>
          <w:i w:val="1"/>
          <w:iCs w:val="1"/>
          <w:color w:val="auto"/>
        </w:rPr>
        <w:t xml:space="preserve">Audit-Related Fees. </w:t>
      </w:r>
      <w:r>
        <w:rPr>
          <w:rFonts w:ascii="Arial" w:cs="Arial" w:eastAsia="Arial" w:hAnsi="Arial"/>
          <w:sz w:val="16"/>
          <w:szCs w:val="16"/>
          <w:color w:val="auto"/>
        </w:rPr>
        <w:t>This category includes the aggregate fees billed for fiscal years 2009 and 2010 for assurance and related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499"/>
        <w:spacing w:after="0" w:line="308"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This category includes the aggregate fees billed for fiscal years 2009 and 2010 for professional services rendered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registered certified public accounting firm for tax compliance, tax planning and tax advice.</w:t>
      </w:r>
    </w:p>
    <w:p>
      <w:pPr>
        <w:spacing w:after="0" w:line="120" w:lineRule="exact"/>
        <w:rPr>
          <w:sz w:val="20"/>
          <w:szCs w:val="20"/>
          <w:color w:val="auto"/>
        </w:rPr>
      </w:pPr>
    </w:p>
    <w:p>
      <w:pPr>
        <w:ind w:left="340" w:right="299"/>
        <w:spacing w:after="0" w:line="264"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for fiscal years 2009 and 2010 for products and services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independent registered certified public accounting firm that are not reported above under “Audit Fees,” “Audit-Related Fees” or “Tax Fees.”</w:t>
      </w:r>
    </w:p>
    <w:p>
      <w:pPr>
        <w:spacing w:after="0" w:line="141" w:lineRule="exact"/>
        <w:rPr>
          <w:sz w:val="20"/>
          <w:szCs w:val="20"/>
          <w:color w:val="auto"/>
        </w:rPr>
      </w:pPr>
    </w:p>
    <w:p>
      <w:pPr>
        <w:ind w:left="340" w:right="519"/>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in fiscal years 2009 and 2010 and determined that such services and fees are compatible with the independence of Deloitte.</w:t>
      </w:r>
    </w:p>
    <w:p>
      <w:pPr>
        <w:spacing w:after="0" w:line="106" w:lineRule="exact"/>
        <w:rPr>
          <w:sz w:val="20"/>
          <w:szCs w:val="20"/>
          <w:color w:val="auto"/>
        </w:rPr>
      </w:pPr>
    </w:p>
    <w:p>
      <w:pPr>
        <w:ind w:left="340" w:right="199"/>
        <w:spacing w:after="0" w:line="297"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2009 and 2010, all fees associated with the independent registered certified public accounting firm’s services were pre-approved by the Audit Committee.</w:t>
      </w:r>
    </w:p>
    <w:p>
      <w:pPr>
        <w:spacing w:after="0" w:line="131" w:lineRule="exact"/>
        <w:rPr>
          <w:sz w:val="20"/>
          <w:szCs w:val="20"/>
          <w:color w:val="auto"/>
        </w:rPr>
      </w:pPr>
    </w:p>
    <w:p>
      <w:pPr>
        <w:ind w:left="340" w:right="959"/>
        <w:spacing w:after="0" w:line="277" w:lineRule="auto"/>
        <w:rPr>
          <w:sz w:val="20"/>
          <w:szCs w:val="20"/>
          <w:color w:val="auto"/>
        </w:rPr>
      </w:pPr>
      <w:r>
        <w:rPr>
          <w:rFonts w:ascii="Arial" w:cs="Arial" w:eastAsia="Arial" w:hAnsi="Arial"/>
          <w:sz w:val="18"/>
          <w:szCs w:val="18"/>
          <w:color w:val="auto"/>
        </w:rPr>
        <w:t>Representatives from Deloitte will be present at the shareholders meeting and will be available to respond to questions from shareholders.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 Pre-Approval Policy</w:t>
      </w:r>
      <w:r>
        <w:rPr>
          <w:rFonts w:ascii="Arial" w:cs="Arial" w:eastAsia="Arial" w:hAnsi="Arial"/>
          <w:sz w:val="18"/>
          <w:szCs w:val="18"/>
          <w:b w:val="1"/>
          <w:bCs w:val="1"/>
          <w:color w:val="auto"/>
        </w:rPr>
        <w:t>.</w:t>
      </w:r>
    </w:p>
    <w:p>
      <w:pPr>
        <w:spacing w:after="0" w:line="189" w:lineRule="exact"/>
        <w:rPr>
          <w:sz w:val="20"/>
          <w:szCs w:val="20"/>
          <w:color w:val="auto"/>
        </w:rPr>
      </w:pPr>
    </w:p>
    <w:p>
      <w:pPr>
        <w:ind w:left="340" w:right="479"/>
        <w:spacing w:after="0" w:line="312" w:lineRule="auto"/>
        <w:rPr>
          <w:sz w:val="20"/>
          <w:szCs w:val="20"/>
          <w:color w:val="auto"/>
        </w:rPr>
      </w:pPr>
      <w:r>
        <w:rPr>
          <w:rFonts w:ascii="Arial" w:cs="Arial" w:eastAsia="Arial" w:hAnsi="Arial"/>
          <w:sz w:val="16"/>
          <w:szCs w:val="16"/>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RECEIPT OF THE DIRECTORS’ REPORT (“</w:t>
      </w:r>
      <w:r>
        <w:rPr>
          <w:rFonts w:ascii="Arial" w:cs="Arial" w:eastAsia="Arial" w:hAnsi="Arial"/>
          <w:sz w:val="18"/>
          <w:szCs w:val="18"/>
          <w:b w:val="1"/>
          <w:bCs w:val="1"/>
          <w:i w:val="1"/>
          <w:iCs w:val="1"/>
          <w:color w:val="auto"/>
        </w:rPr>
        <w:t>RAPPORT DE GESTION</w:t>
      </w:r>
      <w:r>
        <w:rPr>
          <w:rFonts w:ascii="Arial" w:cs="Arial" w:eastAsia="Arial" w:hAnsi="Arial"/>
          <w:sz w:val="18"/>
          <w:szCs w:val="18"/>
          <w:b w:val="1"/>
          <w:bCs w:val="1"/>
          <w:color w:val="auto"/>
        </w:rPr>
        <w:t>”) ON THE LUXEMBOURG</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STATUTORY ACCOUNTS FOR THE YEAR ENDED DECEMBER 31, 2010</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(THE “DIRECTORS’ REPORT”)</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Three)</w:t>
      </w:r>
    </w:p>
    <w:p>
      <w:pPr>
        <w:spacing w:after="0" w:line="184" w:lineRule="exact"/>
        <w:rPr>
          <w:sz w:val="20"/>
          <w:szCs w:val="20"/>
          <w:color w:val="auto"/>
        </w:rPr>
      </w:pPr>
    </w:p>
    <w:p>
      <w:pPr>
        <w:ind w:left="340" w:right="219"/>
        <w:spacing w:after="0" w:line="253" w:lineRule="auto"/>
        <w:rPr>
          <w:sz w:val="20"/>
          <w:szCs w:val="20"/>
          <w:color w:val="auto"/>
        </w:rPr>
      </w:pPr>
      <w:r>
        <w:rPr>
          <w:rFonts w:ascii="Arial" w:cs="Arial" w:eastAsia="Arial" w:hAnsi="Arial"/>
          <w:sz w:val="18"/>
          <w:szCs w:val="18"/>
          <w:color w:val="auto"/>
        </w:rPr>
        <w:t>As further described in Proposal Four below, Luxembourg law requires that we maintain Luxembourg statutory accounts for Altisource. Under Luxembourg law, the Board of Directors has a legal obligation to prepare an annual Directors’ Report that presents the Luxembourg statutory account figures for the relevant fiscal year, provides an explanation as to the results, and makes a proposal to the shareholders of Altisource as to the allocation of such results for such fiscal year. This Directors’ Report must be available to and approved by the shareholders of Altisource at the annual general meeting. Altisource’s Directors’ Report for the year ended December 31, 2010 will be available from April 15, 2011 at Altisource’s registered office. Following shareholder approval of the Directors’ Report, this document will be filed with the Luxembourg trade registry as a public document. If Altisource does not receive shareholder approval of the Directors’ Report, we cannot make this filing with the Luxembourg trade registry that is required by Luxembourg law.</w:t>
      </w:r>
    </w:p>
    <w:p>
      <w:pPr>
        <w:spacing w:after="0" w:line="153" w:lineRule="exact"/>
        <w:rPr>
          <w:sz w:val="20"/>
          <w:szCs w:val="20"/>
          <w:color w:val="auto"/>
        </w:rPr>
      </w:pPr>
    </w:p>
    <w:p>
      <w:pPr>
        <w:jc w:val="center"/>
        <w:ind w:left="640" w:right="128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AND RATIFICATION OF THE DIRECTORS’ REPORT FOR THE YEAR ENDED DECEMBER 31, 2010.</w:t>
      </w: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380"/>
        <w:spacing w:after="0" w:line="263" w:lineRule="auto"/>
        <w:rPr>
          <w:sz w:val="20"/>
          <w:szCs w:val="20"/>
          <w:color w:val="auto"/>
        </w:rPr>
      </w:pPr>
      <w:r>
        <w:rPr>
          <w:rFonts w:ascii="Arial" w:cs="Arial" w:eastAsia="Arial" w:hAnsi="Arial"/>
          <w:sz w:val="18"/>
          <w:szCs w:val="18"/>
          <w:b w:val="1"/>
          <w:bCs w:val="1"/>
          <w:color w:val="auto"/>
        </w:rPr>
        <w:t xml:space="preserve">APPROVAL OF THE LUXEMBOURG STATUTORY ACCOUNTS FOR THE YEAR ENDED DECEMBER 31, 2010 AND ALLOCATION OF THE RESULTS OF THE YEAR ENDED DECEMBER 31, 2010 </w:t>
      </w:r>
      <w:r>
        <w:rPr>
          <w:rFonts w:ascii="Arial" w:cs="Arial" w:eastAsia="Arial" w:hAnsi="Arial"/>
          <w:sz w:val="18"/>
          <w:szCs w:val="18"/>
          <w:color w:val="auto"/>
        </w:rPr>
        <w:t>(Proposal Four)</w:t>
      </w:r>
    </w:p>
    <w:p>
      <w:pPr>
        <w:spacing w:after="0" w:line="377"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Pursuant to Luxembourg law, the Luxembourg statutory accounts must be submitted each year to the general meeting of the shareholders for approval. These Luxembourg statutory accounts are prepared in accordance with Luxembourg GAAP and consist of a balance sheet, a profit and loss account and the notes to the Luxembourg statutory accounts. There is no statement of movements in equity or statement of cash flow included in the Luxembourg statutory accounts under Luxembourg GAAP; consequently, profits earned by the subsidiaries of Altisource are not included in Altisource’s Luxembourg statutory accounts unless such amounts are distributed to Altisource.</w:t>
      </w:r>
    </w:p>
    <w:p>
      <w:pPr>
        <w:spacing w:after="0" w:line="153" w:lineRule="exact"/>
        <w:rPr>
          <w:sz w:val="20"/>
          <w:szCs w:val="20"/>
          <w:color w:val="auto"/>
        </w:rPr>
      </w:pPr>
    </w:p>
    <w:p>
      <w:pPr>
        <w:ind w:left="340" w:right="299"/>
        <w:spacing w:after="0" w:line="254" w:lineRule="auto"/>
        <w:rPr>
          <w:sz w:val="20"/>
          <w:szCs w:val="20"/>
          <w:color w:val="auto"/>
        </w:rPr>
      </w:pPr>
      <w:r>
        <w:rPr>
          <w:rFonts w:ascii="Arial" w:cs="Arial" w:eastAsia="Arial" w:hAnsi="Arial"/>
          <w:sz w:val="18"/>
          <w:szCs w:val="18"/>
          <w:color w:val="auto"/>
        </w:rPr>
        <w:t>The shareholders of Altisource must ratify the allocation of the results of the Luxembourg statutory accounts of Altisource each year. Luxembourg law requires that at least five percent (5%) of the net profits, if any, for the Luxembourg statutory accounts be apportioned to a legal reserve; provided, however that this allocation shall cease to be compulsory under Luxembourg law when the reserve attains 10% of the share capital of Altisource but shall again become compulsory as soon as the reserve amount falls below this threshold. Following shareholder approval of the Luxembourg statutory accounts, the Directors Report described in Proposal Three above will be filed with the Luxembourg trade registry as a public document. If Altisource does not receive shareholder approval of the Luxembourg statutory accounts, we cannot make this filing with the Luxembourg trade registry that is required by Luxembourg law.</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proposes to carry forward the results of Altisource as set forth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fiscal year ended December 31, 2010, the Luxembourg statutory accounts for Altisource show a balance sheet total of US</w:t>
      </w:r>
    </w:p>
    <w:p>
      <w:pPr>
        <w:spacing w:after="0" w:line="46" w:lineRule="exact"/>
        <w:rPr>
          <w:sz w:val="20"/>
          <w:szCs w:val="20"/>
          <w:color w:val="auto"/>
        </w:rPr>
      </w:pPr>
    </w:p>
    <w:p>
      <w:pPr>
        <w:ind w:left="340" w:right="179"/>
        <w:spacing w:after="0" w:line="323" w:lineRule="auto"/>
        <w:rPr>
          <w:sz w:val="20"/>
          <w:szCs w:val="20"/>
          <w:color w:val="auto"/>
        </w:rPr>
      </w:pPr>
      <w:r>
        <w:rPr>
          <w:rFonts w:ascii="Arial" w:cs="Arial" w:eastAsia="Arial" w:hAnsi="Arial"/>
          <w:sz w:val="16"/>
          <w:szCs w:val="16"/>
          <w:color w:val="auto"/>
        </w:rPr>
        <w:t>$40.4 million and a loss for the year of US $1.9 million. As noted earlier, profits earned by subsidiaries of Altisource are not included in the calculation of net profits for Altisource’s Luxembourg statutory accounts unless such profits have been distributed to Altisource.</w:t>
      </w:r>
    </w:p>
    <w:p>
      <w:pPr>
        <w:spacing w:after="0" w:line="98" w:lineRule="exact"/>
        <w:rPr>
          <w:sz w:val="20"/>
          <w:szCs w:val="20"/>
          <w:color w:val="auto"/>
        </w:rPr>
      </w:pPr>
    </w:p>
    <w:p>
      <w:pPr>
        <w:ind w:left="340" w:right="999"/>
        <w:spacing w:after="0" w:line="277" w:lineRule="auto"/>
        <w:rPr>
          <w:sz w:val="20"/>
          <w:szCs w:val="20"/>
          <w:color w:val="auto"/>
        </w:rPr>
      </w:pPr>
      <w:r>
        <w:rPr>
          <w:rFonts w:ascii="Arial" w:cs="Arial" w:eastAsia="Arial" w:hAnsi="Arial"/>
          <w:sz w:val="18"/>
          <w:szCs w:val="18"/>
          <w:color w:val="auto"/>
        </w:rPr>
        <w:t>Altisource’s Luxembourg statutory accounts for the year ended December 31, 2010 will be available from April 15, 2011 at Altisource’s registered office.</w:t>
      </w:r>
    </w:p>
    <w:p>
      <w:pPr>
        <w:spacing w:after="0" w:line="126" w:lineRule="exact"/>
        <w:rPr>
          <w:sz w:val="20"/>
          <w:szCs w:val="20"/>
          <w:color w:val="auto"/>
        </w:rPr>
      </w:pPr>
    </w:p>
    <w:p>
      <w:pPr>
        <w:jc w:val="center"/>
        <w:ind w:left="580" w:right="940"/>
        <w:spacing w:after="0" w:line="261"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THE LUXEMBOURG STATUTORY ACCOUNTS FOR THE YEAR ENDED DECEMBER 31, 2010 AND ALLOCATION OF THE RESULTS OF THE YEAR ENDED DECEMBER 31, 2010.</w:t>
      </w: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DISCHARGE OF EACH OF THE CURRENT AND PAST DIRECTORS OF ALTISOURCE</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PERFORMANCE OF THEIR MANDATE DURING THE</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(Proposal Five)</w:t>
      </w:r>
    </w:p>
    <w:p>
      <w:pPr>
        <w:spacing w:after="0" w:line="184" w:lineRule="exact"/>
        <w:rPr>
          <w:sz w:val="20"/>
          <w:szCs w:val="20"/>
          <w:color w:val="auto"/>
        </w:rPr>
      </w:pPr>
    </w:p>
    <w:p>
      <w:pPr>
        <w:ind w:left="340" w:right="179"/>
        <w:spacing w:after="0" w:line="270" w:lineRule="auto"/>
        <w:rPr>
          <w:sz w:val="20"/>
          <w:szCs w:val="20"/>
          <w:color w:val="auto"/>
        </w:rPr>
      </w:pPr>
      <w:r>
        <w:rPr>
          <w:rFonts w:ascii="Arial" w:cs="Arial" w:eastAsia="Arial" w:hAnsi="Arial"/>
          <w:sz w:val="17"/>
          <w:szCs w:val="17"/>
          <w:color w:val="auto"/>
        </w:rPr>
        <w:t>Pursuant to Luxembourg law, shareholders must approve the individual discharge of all of the current and past Directors for the performance of their mandate during the relevant fiscal year. As required pursuant to Luxembourg law, after the adoption of the Luxembourg statutory accounts (as discussed in Proposal Four above), the shareholders of Altisource shall vote whether to discharge Altisource’s Directors for the performance of their mandate during the relevant fiscal year. If the shareholders grant the discharge of Directors for the relevant fiscal year, Altisource will not be able to initiate a liability claim against such Directors in connection with the performance of their mandate for the relevant fiscal year. However, such discharge will not be valid if the Luxembourg statutory accounts contain an omission or false information concerning Altisource’s position. Furthermore, such discharge will not be valid with respect to any acts taken by a Director which fall outside the scope of Altisource’s Articles of Association unless such actions have been disclosed to the shareholders and approved by them. For fiscal year 2010, Altisource believes none of the Directors have taken any actions outside the scope of Altisource’s Articles of Association.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part or all of the fiscal year ended December 31, 2010, the following persons served as Directors: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William C. Erbey;</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William B. Shepro;</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Roland Müller-Ineichen;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Timo Vättö;</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Robert L. DeNormandie; and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Silke Andresen-Kienz</w:t>
      </w:r>
    </w:p>
    <w:p>
      <w:pPr>
        <w:spacing w:after="0" w:line="180" w:lineRule="exact"/>
        <w:rPr>
          <w:sz w:val="20"/>
          <w:szCs w:val="20"/>
          <w:color w:val="auto"/>
        </w:rPr>
      </w:pPr>
    </w:p>
    <w:p>
      <w:pPr>
        <w:jc w:val="center"/>
        <w:ind w:left="600" w:right="84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DISCHARGE OF EACH OF THE CURRENT AND PAST DIRECTORS OF ALTISOURCE FOR THE PERFORMANCE OF THEIR MANDATE DURING THE YEAR ENDED DECEMBER 31, 2010.</w:t>
      </w:r>
    </w:p>
    <w:p>
      <w:pPr>
        <w:spacing w:after="0" w:line="200" w:lineRule="exact"/>
        <w:rPr>
          <w:sz w:val="20"/>
          <w:szCs w:val="20"/>
          <w:color w:val="auto"/>
        </w:rPr>
      </w:pPr>
    </w:p>
    <w:p>
      <w:pPr>
        <w:spacing w:after="0" w:line="33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“SAY ON PAY”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Six)</w:t>
      </w:r>
    </w:p>
    <w:p>
      <w:pPr>
        <w:spacing w:after="0" w:line="184" w:lineRule="exact"/>
        <w:rPr>
          <w:sz w:val="20"/>
          <w:szCs w:val="20"/>
          <w:color w:val="auto"/>
        </w:rPr>
      </w:pPr>
    </w:p>
    <w:p>
      <w:pPr>
        <w:ind w:left="340" w:right="1039"/>
        <w:spacing w:after="0" w:line="308" w:lineRule="auto"/>
        <w:rPr>
          <w:sz w:val="20"/>
          <w:szCs w:val="20"/>
          <w:color w:val="auto"/>
        </w:rPr>
      </w:pPr>
      <w:r>
        <w:rPr>
          <w:rFonts w:ascii="Arial" w:cs="Arial" w:eastAsia="Arial" w:hAnsi="Arial"/>
          <w:sz w:val="17"/>
          <w:szCs w:val="17"/>
          <w:color w:val="auto"/>
        </w:rPr>
        <w:t>As required pursuant to Section 14A of the Securities Exchange Act, the Company is presenting this proposal, which gives shareholders the opportunity to approve or not approve our pay program for named executive officers.</w:t>
      </w:r>
    </w:p>
    <w:p>
      <w:pPr>
        <w:spacing w:after="0" w:line="106" w:lineRule="exact"/>
        <w:rPr>
          <w:sz w:val="20"/>
          <w:szCs w:val="20"/>
          <w:color w:val="auto"/>
        </w:rPr>
      </w:pPr>
    </w:p>
    <w:p>
      <w:pPr>
        <w:ind w:left="340" w:right="319"/>
        <w:spacing w:after="0" w:line="273" w:lineRule="auto"/>
        <w:rPr>
          <w:sz w:val="20"/>
          <w:szCs w:val="20"/>
          <w:color w:val="auto"/>
        </w:rPr>
      </w:pPr>
      <w:r>
        <w:rPr>
          <w:rFonts w:ascii="Arial" w:cs="Arial" w:eastAsia="Arial" w:hAnsi="Arial"/>
          <w:sz w:val="17"/>
          <w:szCs w:val="17"/>
          <w:color w:val="auto"/>
        </w:rPr>
        <w:t>As described in detail under the heading “Executive Compensation — Compensation Discussion and Analysis,” our executive compensation programs are designed to attract, incent and retain our named executive officers, who are critical to our success. Pursuant to these programs, the Company seeks to reward the named executive officers for achieving strategic business goals. Please read the “Compensation Discussion and Analysis” for additional details about our executive compensation programs, including information about the fiscal year 2010 compensation of our named executive officers. Accordingly, we will ask our shareholders to vote “FOR” the following resolution at the Annual Meeting:</w:t>
      </w:r>
    </w:p>
    <w:p>
      <w:pPr>
        <w:spacing w:after="0" w:line="134" w:lineRule="exact"/>
        <w:rPr>
          <w:sz w:val="20"/>
          <w:szCs w:val="20"/>
          <w:color w:val="auto"/>
        </w:rPr>
      </w:pPr>
    </w:p>
    <w:p>
      <w:pPr>
        <w:ind w:left="720" w:right="419"/>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Company’s shareholders approve, on an advisory basis, the compensation of the named executive officers, as disclosed in the Company’s Proxy Statement for the 2011 Annual Meeting of Shareholders pursuant to the compensation disclosure rules of the SEC, including the Compensation Discussion and Analysis, the Summary Compensation Table and the other related tables and disclosure, and any related material disclosed in this Proxy Statement.”</w:t>
      </w:r>
    </w:p>
    <w:p>
      <w:pPr>
        <w:spacing w:after="0" w:line="128" w:lineRule="exact"/>
        <w:rPr>
          <w:sz w:val="20"/>
          <w:szCs w:val="20"/>
          <w:color w:val="auto"/>
        </w:rPr>
      </w:pPr>
    </w:p>
    <w:p>
      <w:pPr>
        <w:ind w:left="340" w:right="279"/>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130" w:lineRule="exact"/>
        <w:rPr>
          <w:sz w:val="20"/>
          <w:szCs w:val="20"/>
          <w:color w:val="auto"/>
        </w:rPr>
      </w:pPr>
    </w:p>
    <w:p>
      <w:pPr>
        <w:jc w:val="both"/>
        <w:ind w:left="340" w:right="859"/>
        <w:spacing w:after="0" w:line="342" w:lineRule="auto"/>
        <w:rPr>
          <w:sz w:val="20"/>
          <w:szCs w:val="20"/>
          <w:color w:val="auto"/>
        </w:rPr>
      </w:pPr>
      <w:r>
        <w:rPr>
          <w:rFonts w:ascii="Arial" w:cs="Arial" w:eastAsia="Arial" w:hAnsi="Arial"/>
          <w:sz w:val="16"/>
          <w:szCs w:val="16"/>
          <w:color w:val="auto"/>
        </w:rPr>
        <w:t>You may vote for or against the approval of the compensation of the Company’s named executive officers as disclosed in the Compensation Discussion and Analysis, the compensation tables and the related disclosure contained in the Proxy Statement.</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ADVISORY VOTE ON FREQUENCY OF EXECUTIVE COMPENSATION VOTE</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Seven)</w:t>
      </w:r>
    </w:p>
    <w:p>
      <w:pPr>
        <w:spacing w:after="0" w:line="184" w:lineRule="exact"/>
        <w:rPr>
          <w:sz w:val="20"/>
          <w:szCs w:val="20"/>
          <w:color w:val="auto"/>
        </w:rPr>
      </w:pPr>
    </w:p>
    <w:p>
      <w:pPr>
        <w:ind w:left="340" w:right="299"/>
        <w:spacing w:after="0" w:line="264" w:lineRule="auto"/>
        <w:rPr>
          <w:sz w:val="20"/>
          <w:szCs w:val="20"/>
          <w:color w:val="auto"/>
        </w:rPr>
      </w:pPr>
      <w:r>
        <w:rPr>
          <w:rFonts w:ascii="Arial" w:cs="Arial" w:eastAsia="Arial" w:hAnsi="Arial"/>
          <w:sz w:val="18"/>
          <w:szCs w:val="18"/>
          <w:color w:val="auto"/>
        </w:rPr>
        <w:t>As required pursuant to Section 14A of the Securities Exchange Act, the Company is presenting this proposal which gives you as a shareholder the opportunity to inform the Company as to how often you wish the Company to include a proposal, similar to Proposal Six, in our Proxy Statement.</w:t>
      </w:r>
    </w:p>
    <w:p>
      <w:pPr>
        <w:spacing w:after="0" w:line="141" w:lineRule="exact"/>
        <w:rPr>
          <w:sz w:val="20"/>
          <w:szCs w:val="20"/>
          <w:color w:val="auto"/>
        </w:rPr>
      </w:pPr>
    </w:p>
    <w:p>
      <w:pPr>
        <w:ind w:left="340" w:right="279"/>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130" w:lineRule="exact"/>
        <w:rPr>
          <w:sz w:val="20"/>
          <w:szCs w:val="20"/>
          <w:color w:val="auto"/>
        </w:rPr>
      </w:pPr>
    </w:p>
    <w:p>
      <w:pPr>
        <w:ind w:left="340" w:right="199"/>
        <w:spacing w:after="0" w:line="277" w:lineRule="auto"/>
        <w:rPr>
          <w:sz w:val="20"/>
          <w:szCs w:val="20"/>
          <w:color w:val="auto"/>
        </w:rPr>
      </w:pPr>
      <w:r>
        <w:rPr>
          <w:rFonts w:ascii="Arial" w:cs="Arial" w:eastAsia="Arial" w:hAnsi="Arial"/>
          <w:sz w:val="18"/>
          <w:szCs w:val="18"/>
          <w:color w:val="auto"/>
        </w:rPr>
        <w:t>You may vote to include an advisory vote on the compensation of the Company’s named executive officers pursuant to Section 14A of the Securities Exchange Act every one (1), two (2) or three (3) years or you may abstain.</w:t>
      </w:r>
    </w:p>
    <w:p>
      <w:pPr>
        <w:spacing w:after="0" w:line="139" w:lineRule="exact"/>
        <w:rPr>
          <w:sz w:val="20"/>
          <w:szCs w:val="20"/>
          <w:color w:val="auto"/>
        </w:rPr>
      </w:pPr>
    </w:p>
    <w:p>
      <w:pPr>
        <w:jc w:val="center"/>
        <w:ind w:left="620" w:right="760"/>
        <w:spacing w:after="0" w:line="261" w:lineRule="auto"/>
        <w:rPr>
          <w:sz w:val="20"/>
          <w:szCs w:val="20"/>
          <w:color w:val="auto"/>
        </w:rPr>
      </w:pPr>
      <w:r>
        <w:rPr>
          <w:rFonts w:ascii="Arial" w:cs="Arial" w:eastAsia="Arial" w:hAnsi="Arial"/>
          <w:sz w:val="18"/>
          <w:szCs w:val="18"/>
          <w:b w:val="1"/>
          <w:bCs w:val="1"/>
          <w:color w:val="auto"/>
        </w:rPr>
        <w:t>OUR BOARD OF DIRECTORS UNANIMOUSLY RECOMMENDS THAT YOU VOTE “FOR” THE OPTION OF “EVERY THREE (3) YEARS” AS THE FREQUENCY WITH WHICH SHAREHOLDERS ARE PROVIDED AN ADVISORY VOTE ON THE COMPENSATION OF NAMED EXECUTIVE OFFICERS, AS DISCLOSED IN THIS PROXY STATEMENT.</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ACCORDINGLY, SIGNED PROXIES RETURNED WITHOUT SPECIFIC VOTING DIRECTIONS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WILL BE VOTED FOR A FREQUENCY OF THREE YEARS.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APPROVAL OF CHANGE IN DIRECTORS’ COMPENSATION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Eight)</w:t>
      </w:r>
    </w:p>
    <w:p>
      <w:pPr>
        <w:spacing w:after="0" w:line="184" w:lineRule="exact"/>
        <w:rPr>
          <w:sz w:val="20"/>
          <w:szCs w:val="20"/>
          <w:color w:val="auto"/>
        </w:rPr>
      </w:pPr>
    </w:p>
    <w:p>
      <w:pPr>
        <w:ind w:left="340" w:right="419"/>
        <w:spacing w:after="0" w:line="276" w:lineRule="auto"/>
        <w:rPr>
          <w:sz w:val="20"/>
          <w:szCs w:val="20"/>
          <w:color w:val="auto"/>
        </w:rPr>
      </w:pPr>
      <w:r>
        <w:rPr>
          <w:rFonts w:ascii="Arial" w:cs="Arial" w:eastAsia="Arial" w:hAnsi="Arial"/>
          <w:sz w:val="17"/>
          <w:szCs w:val="17"/>
          <w:color w:val="auto"/>
        </w:rPr>
        <w:t>The Compensation Committee of our Board of Directors has recommended a change in Directors’ compensation for our non-management members of our Board of Directors. As discussed in the “Board of Directors Compensation” section of this proxy statement, the Compensation Committee wishes to establish Director pay levels that are consistent with those of our peer group companies to ensure we can attract and retain the best possible candidates for our Board of Directors. Luxembourg law requires the Company to submit this proposed change in Directors’ compensation to our shareholders.</w:t>
      </w:r>
    </w:p>
    <w:p>
      <w:pPr>
        <w:spacing w:after="0" w:line="132" w:lineRule="exact"/>
        <w:rPr>
          <w:sz w:val="20"/>
          <w:szCs w:val="20"/>
          <w:color w:val="auto"/>
        </w:rPr>
      </w:pPr>
    </w:p>
    <w:p>
      <w:pPr>
        <w:ind w:left="340" w:right="479"/>
        <w:spacing w:after="0" w:line="277" w:lineRule="auto"/>
        <w:rPr>
          <w:sz w:val="20"/>
          <w:szCs w:val="20"/>
          <w:color w:val="auto"/>
        </w:rPr>
      </w:pPr>
      <w:r>
        <w:rPr>
          <w:rFonts w:ascii="Arial" w:cs="Arial" w:eastAsia="Arial" w:hAnsi="Arial"/>
          <w:sz w:val="18"/>
          <w:szCs w:val="18"/>
          <w:color w:val="auto"/>
        </w:rPr>
        <w:t>We are proposing that cash compensation to our non-management Directors be increased by increasing our annual cash retainer by $9,000 from $40,000 to $49,000.</w:t>
      </w:r>
    </w:p>
    <w:p>
      <w:pPr>
        <w:spacing w:after="0" w:line="130" w:lineRule="exact"/>
        <w:rPr>
          <w:sz w:val="20"/>
          <w:szCs w:val="20"/>
          <w:color w:val="auto"/>
        </w:rPr>
      </w:pPr>
    </w:p>
    <w:p>
      <w:pPr>
        <w:ind w:left="340" w:right="419"/>
        <w:spacing w:after="0" w:line="264" w:lineRule="auto"/>
        <w:rPr>
          <w:sz w:val="20"/>
          <w:szCs w:val="20"/>
          <w:color w:val="auto"/>
        </w:rPr>
      </w:pPr>
      <w:r>
        <w:rPr>
          <w:rFonts w:ascii="Arial" w:cs="Arial" w:eastAsia="Arial" w:hAnsi="Arial"/>
          <w:sz w:val="18"/>
          <w:szCs w:val="18"/>
          <w:color w:val="auto"/>
        </w:rPr>
        <w:t>We are also proposing a one-time award of 500 shares of Common Stock to newly elected non-management Directors that will vest 25% each year on the date of our Annual General Meeting. This one-time award will also be provided to all non-management Directors elected at the 2011 Annual General Meeting.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proposing that all other Directors’ compensation amounts remain unchanged.</w:t>
      </w:r>
    </w:p>
    <w:p>
      <w:pPr>
        <w:spacing w:after="0" w:line="18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THAT YOU VOTE “FOR” THE APPROVAL OF A CHANGE IN DIRECTORS’ COMPENSATION</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BUSINESS RELATIONSHIPS AND RELATED PARTY TRANSACTIONS</w:t>
      </w:r>
    </w:p>
    <w:p>
      <w:pPr>
        <w:spacing w:after="0" w:line="202" w:lineRule="exact"/>
        <w:rPr>
          <w:sz w:val="20"/>
          <w:szCs w:val="20"/>
          <w:color w:val="auto"/>
        </w:rPr>
      </w:pPr>
    </w:p>
    <w:p>
      <w:pPr>
        <w:ind w:left="340" w:right="239"/>
        <w:spacing w:after="0" w:line="297" w:lineRule="auto"/>
        <w:rPr>
          <w:sz w:val="20"/>
          <w:szCs w:val="20"/>
          <w:color w:val="auto"/>
        </w:rPr>
      </w:pPr>
      <w:r>
        <w:rPr>
          <w:rFonts w:ascii="Arial" w:cs="Arial" w:eastAsia="Arial" w:hAnsi="Arial"/>
          <w:sz w:val="16"/>
          <w:szCs w:val="16"/>
          <w:color w:val="auto"/>
        </w:rPr>
        <w:t xml:space="preserve">The Board has adopted a policy and procedure for review, approval and monitoring of transactions involving Altisource and related persons (Directors and executive officers or their immediate family members or shareholders owning five percent (5%) or greater of the Company’s outstanding stock)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This policy and procedure is not limited to related person transactions that meet the threshold for disclosure under the relevant Securities and Exchange Commission, as it broadly covers any situation in which a conflict of interest may arise.</w:t>
      </w:r>
    </w:p>
    <w:p>
      <w:pPr>
        <w:spacing w:after="0" w:line="118" w:lineRule="exact"/>
        <w:rPr>
          <w:sz w:val="20"/>
          <w:szCs w:val="20"/>
          <w:color w:val="auto"/>
        </w:rPr>
      </w:pPr>
    </w:p>
    <w:p>
      <w:pPr>
        <w:ind w:left="340" w:right="319"/>
        <w:spacing w:after="0" w:line="284"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if any such situation requires approval of the Board.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Altisource; (ii) alternatives to the related person transaction;</w:t>
      </w:r>
    </w:p>
    <w:p>
      <w:pPr>
        <w:spacing w:after="0" w:line="5" w:lineRule="exact"/>
        <w:rPr>
          <w:sz w:val="20"/>
          <w:szCs w:val="20"/>
          <w:color w:val="auto"/>
        </w:rPr>
      </w:pPr>
    </w:p>
    <w:p>
      <w:pPr>
        <w:ind w:left="340" w:right="199" w:hanging="8"/>
        <w:spacing w:after="0" w:line="273"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136" w:lineRule="exact"/>
        <w:rPr>
          <w:sz w:val="20"/>
          <w:szCs w:val="20"/>
          <w:color w:val="auto"/>
        </w:rPr>
      </w:pPr>
    </w:p>
    <w:p>
      <w:pPr>
        <w:ind w:left="340" w:right="639"/>
        <w:spacing w:after="0" w:line="277" w:lineRule="auto"/>
        <w:rPr>
          <w:sz w:val="20"/>
          <w:szCs w:val="20"/>
          <w:color w:val="auto"/>
        </w:rPr>
      </w:pPr>
      <w:r>
        <w:rPr>
          <w:rFonts w:ascii="Arial" w:cs="Arial" w:eastAsia="Arial" w:hAnsi="Arial"/>
          <w:sz w:val="18"/>
          <w:szCs w:val="18"/>
          <w:color w:val="auto"/>
        </w:rPr>
        <w:t>As of December 31, 2010, our Chairman owns or controls more than 10% of Ocwen’s Common Stock and 25% of our Common Stock. Therefore, transactions between the Company and Ocwen are related party transactions.</w:t>
      </w:r>
    </w:p>
    <w:p>
      <w:pPr>
        <w:spacing w:after="0" w:line="143" w:lineRule="exact"/>
        <w:rPr>
          <w:sz w:val="20"/>
          <w:szCs w:val="20"/>
          <w:color w:val="auto"/>
        </w:rPr>
      </w:pPr>
    </w:p>
    <w:p>
      <w:pPr>
        <w:ind w:left="340" w:right="339"/>
        <w:spacing w:after="0" w:line="291" w:lineRule="auto"/>
        <w:rPr>
          <w:sz w:val="20"/>
          <w:szCs w:val="20"/>
          <w:color w:val="auto"/>
        </w:rPr>
      </w:pPr>
      <w:r>
        <w:rPr>
          <w:rFonts w:ascii="Arial" w:cs="Arial" w:eastAsia="Arial" w:hAnsi="Arial"/>
          <w:sz w:val="16"/>
          <w:szCs w:val="16"/>
          <w:color w:val="auto"/>
        </w:rPr>
        <w:t>For the year ended December 31, 2010, we generated approximately 51% of our revenues from Ocwen. These revenues were generated from services provided to Ocwen or sales derived from Ocwen’s loan servicing portfolio. Services provided to Ocwen included residential property valuation, real estate sales, trustee management services, property inspection and preservation, closing and title services, charge-off second mortgage collections, core technology back office support and multiple business technologies including our REALSuite of products. Additionally, Altisource billed Ocwen $1.8 million, and Ocwen billed Altisource $1.1 million for services provided under a Transition Services Agreement. Altisource’s relationship with Ocwen was contemplated at the time of the separation and was implemented prior to the adoption of the related party transaction policy and procedure discussed above.</w:t>
      </w:r>
    </w:p>
    <w:p>
      <w:pPr>
        <w:spacing w:after="0" w:line="127" w:lineRule="exact"/>
        <w:rPr>
          <w:sz w:val="20"/>
          <w:szCs w:val="20"/>
          <w:color w:val="auto"/>
        </w:rPr>
      </w:pPr>
    </w:p>
    <w:p>
      <w:pPr>
        <w:ind w:left="340" w:right="399"/>
        <w:spacing w:after="0" w:line="277" w:lineRule="auto"/>
        <w:rPr>
          <w:sz w:val="20"/>
          <w:szCs w:val="20"/>
          <w:color w:val="auto"/>
        </w:rPr>
      </w:pPr>
      <w:r>
        <w:rPr>
          <w:rFonts w:ascii="Arial" w:cs="Arial" w:eastAsia="Arial" w:hAnsi="Arial"/>
          <w:sz w:val="18"/>
          <w:szCs w:val="18"/>
          <w:color w:val="auto"/>
        </w:rPr>
        <w:t>For further information with regard to related party transactions between the Company and Ocwen, please see the Company’s Form 10-K filed on February 18, 2011.</w:t>
      </w:r>
    </w:p>
    <w:p>
      <w:pPr>
        <w:spacing w:after="0" w:line="1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SHAREHOLDER PROPOSALS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proposal which a shareholder desires to have included in our proxy materials relating to our next Annual Meeting of</w:t>
      </w:r>
    </w:p>
    <w:p>
      <w:pPr>
        <w:spacing w:after="0" w:line="23" w:lineRule="exact"/>
        <w:rPr>
          <w:sz w:val="20"/>
          <w:szCs w:val="20"/>
          <w:color w:val="auto"/>
        </w:rPr>
      </w:pPr>
    </w:p>
    <w:p>
      <w:pPr>
        <w:ind w:left="340" w:right="479"/>
        <w:spacing w:after="0" w:line="254" w:lineRule="auto"/>
        <w:rPr>
          <w:sz w:val="20"/>
          <w:szCs w:val="20"/>
          <w:color w:val="auto"/>
        </w:rPr>
      </w:pPr>
      <w:r>
        <w:rPr>
          <w:rFonts w:ascii="Arial" w:cs="Arial" w:eastAsia="Arial" w:hAnsi="Arial"/>
          <w:sz w:val="18"/>
          <w:szCs w:val="18"/>
          <w:color w:val="auto"/>
        </w:rPr>
        <w:t>Shareholders, which is scheduled to be held on May 16, 2012, must be received at our executive offices no later than , 2011. All shareholder proposals for the 2012 Annual Meeting should be directed to our Corporate Secretary at Altisource Portfolio Solutions S.A., 291, route d’Arlon, L-1150 Luxembourg City, Grand Duchy of Luxembourg. We recommend that you send any shareholder proposal by certified mail, return-receipt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-444500</wp:posOffset>
            </wp:positionV>
            <wp:extent cx="571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29" w:lineRule="exact"/>
        <w:rPr>
          <w:sz w:val="20"/>
          <w:szCs w:val="20"/>
          <w:color w:val="auto"/>
        </w:rPr>
      </w:pPr>
    </w:p>
    <w:p>
      <w:pPr>
        <w:ind w:left="340" w:right="399"/>
        <w:spacing w:after="0" w:line="342" w:lineRule="auto"/>
        <w:rPr>
          <w:sz w:val="20"/>
          <w:szCs w:val="20"/>
          <w:color w:val="auto"/>
        </w:rPr>
      </w:pPr>
      <w:r>
        <w:rPr>
          <w:rFonts w:ascii="Arial" w:cs="Arial" w:eastAsia="Arial" w:hAnsi="Arial"/>
          <w:sz w:val="16"/>
          <w:szCs w:val="16"/>
          <w:color w:val="auto"/>
        </w:rPr>
        <w:t>For any proposal that is not submitted for inclusion in the 2012 proxy statement, but is instead sought to be presented directly at the 2012 Annual Meeting, Securities and Exchange Commission rules permit management to vote proxies in its discretion if we:</w:t>
      </w:r>
    </w:p>
    <w:p>
      <w:pPr>
        <w:spacing w:after="0" w:line="83" w:lineRule="exact"/>
        <w:rPr>
          <w:sz w:val="20"/>
          <w:szCs w:val="20"/>
          <w:color w:val="auto"/>
        </w:rPr>
      </w:pPr>
    </w:p>
    <w:p>
      <w:pPr>
        <w:ind w:left="720" w:right="659" w:hanging="388"/>
        <w:spacing w:after="0" w:line="308"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receive notice of the proposal before the close of business on February 13, 2012 and advise shareholders in the 2012 proxy statement about the nature of the matter and how management intends to vote on such matter, or</w:t>
      </w:r>
    </w:p>
    <w:p>
      <w:pPr>
        <w:spacing w:after="0" w:line="119" w:lineRule="exact"/>
        <w:rPr>
          <w:rFonts w:ascii="Arial" w:cs="Arial" w:eastAsia="Arial" w:hAnsi="Arial"/>
          <w:sz w:val="17"/>
          <w:szCs w:val="17"/>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13, 2012.</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Notice of intent to present a proposal at the 2012 Annual Meeting should be directed to our Corporate Secretary at Altisource Portfolio Solutions S.A., 291, route d’Arlon, L-1150 Luxembourg City, Grand Duchy of Luxembourg.</w:t>
      </w:r>
    </w:p>
    <w:p>
      <w:pPr>
        <w:spacing w:after="0" w:line="143" w:lineRule="exact"/>
        <w:rPr>
          <w:sz w:val="20"/>
          <w:szCs w:val="20"/>
          <w:color w:val="auto"/>
        </w:rPr>
      </w:pPr>
    </w:p>
    <w:p>
      <w:pPr>
        <w:ind w:left="340" w:right="279"/>
        <w:spacing w:after="0" w:line="264" w:lineRule="auto"/>
        <w:rPr>
          <w:sz w:val="20"/>
          <w:szCs w:val="20"/>
          <w:color w:val="auto"/>
        </w:rPr>
      </w:pPr>
      <w:r>
        <w:rPr>
          <w:rFonts w:ascii="Arial" w:cs="Arial" w:eastAsia="Arial" w:hAnsi="Arial"/>
          <w:sz w:val="18"/>
          <w:szCs w:val="18"/>
          <w:color w:val="auto"/>
        </w:rPr>
        <w:t>We did not receive notice of any shareholder proposals relating to the 2011 Annual Meeting. At the 2011 Annual Meeting, our management may exercise discretionary authority when voting on any properly presented shareholder proposal that is not included as an agenda item in this proxy statement.</w:t>
      </w:r>
    </w:p>
    <w:p>
      <w:pPr>
        <w:spacing w:after="0" w:line="13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ANNUAL REPORTS</w:t>
      </w:r>
    </w:p>
    <w:p>
      <w:pPr>
        <w:spacing w:after="0" w:line="189" w:lineRule="exact"/>
        <w:rPr>
          <w:sz w:val="20"/>
          <w:szCs w:val="20"/>
          <w:color w:val="auto"/>
        </w:rPr>
      </w:pPr>
    </w:p>
    <w:p>
      <w:pPr>
        <w:ind w:left="340" w:right="259"/>
        <w:spacing w:after="0" w:line="342" w:lineRule="auto"/>
        <w:rPr>
          <w:sz w:val="20"/>
          <w:szCs w:val="20"/>
          <w:color w:val="auto"/>
        </w:rPr>
      </w:pPr>
      <w:r>
        <w:rPr>
          <w:rFonts w:ascii="Arial" w:cs="Arial" w:eastAsia="Arial" w:hAnsi="Arial"/>
          <w:sz w:val="16"/>
          <w:szCs w:val="16"/>
          <w:color w:val="auto"/>
        </w:rPr>
        <w:t xml:space="preserve">A copy of our annual report to shareholders on Form 10-K for the year ended December 31, 2010 was made available to shareholders on or about February 18, 2011. The annual report can be found on our website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w:t>
      </w:r>
    </w:p>
    <w:p>
      <w:pPr>
        <w:spacing w:after="0" w:line="97" w:lineRule="exact"/>
        <w:rPr>
          <w:sz w:val="20"/>
          <w:szCs w:val="20"/>
          <w:color w:val="auto"/>
        </w:rPr>
      </w:pPr>
    </w:p>
    <w:p>
      <w:pPr>
        <w:ind w:left="340" w:right="319"/>
        <w:spacing w:after="0" w:line="302" w:lineRule="auto"/>
        <w:rPr>
          <w:sz w:val="20"/>
          <w:szCs w:val="20"/>
          <w:color w:val="auto"/>
        </w:rPr>
      </w:pPr>
      <w:r>
        <w:rPr>
          <w:rFonts w:ascii="Arial" w:cs="Arial" w:eastAsia="Arial" w:hAnsi="Arial"/>
          <w:sz w:val="16"/>
          <w:szCs w:val="16"/>
          <w:color w:val="auto"/>
        </w:rPr>
        <w:t>We will furnish without charge to each person whose proxy is solicited and to each beneficial owner entitled to vote, on written request, a copy of our annual report on Form 10-K for the year ended December 31, 2010, required to be filed by us with the Securities and Exchange Commission under the Securities Exchange Act of 1934, as amended. Such requests should be directed to Investor Relations, Altisource Portfolio Solutions S.A., 291, route d’Arlon, L-1150 Luxembourg City, Grand Duchy of Luxembourg.</w:t>
      </w:r>
    </w:p>
    <w:p>
      <w:pPr>
        <w:spacing w:after="0" w:line="11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ind w:left="340" w:right="199"/>
        <w:spacing w:after="0" w:line="302"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the annual report for 2010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27" w:lineRule="exact"/>
        <w:rPr>
          <w:sz w:val="20"/>
          <w:szCs w:val="20"/>
          <w:color w:val="auto"/>
        </w:rPr>
      </w:pPr>
    </w:p>
    <w:p>
      <w:pPr>
        <w:ind w:left="340" w:right="219"/>
        <w:spacing w:after="0" w:line="284"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ratification of the selection of the independent auditor, (3) for the approval of the Directors’ report (“</w:t>
      </w:r>
      <w:r>
        <w:rPr>
          <w:rFonts w:ascii="Arial" w:cs="Arial" w:eastAsia="Arial" w:hAnsi="Arial"/>
          <w:sz w:val="16"/>
          <w:szCs w:val="16"/>
          <w:i w:val="1"/>
          <w:iCs w:val="1"/>
          <w:color w:val="auto"/>
        </w:rPr>
        <w:t>rapport de gestion</w:t>
      </w:r>
      <w:r>
        <w:rPr>
          <w:rFonts w:ascii="Arial" w:cs="Arial" w:eastAsia="Arial" w:hAnsi="Arial"/>
          <w:sz w:val="16"/>
          <w:szCs w:val="16"/>
          <w:color w:val="auto"/>
        </w:rPr>
        <w:t>”) on the Luxembourg statutory accounts for the year ended December 31, 2010, (4) for the approval of the Luxembourg statutory accounts for the year ended December 31, 2010 and to allocate the results of the year ended December 31, 2010, (5) for approval of the discharge of all of the current and past Directors of Altisource for the performance of their mandate during the year ended December 31, 2010, (6) for approval of executive compensation as disclosed in the proxy statement;</w:t>
      </w:r>
    </w:p>
    <w:p>
      <w:pPr>
        <w:spacing w:after="0" w:line="3" w:lineRule="exact"/>
        <w:rPr>
          <w:sz w:val="20"/>
          <w:szCs w:val="20"/>
          <w:color w:val="auto"/>
        </w:rPr>
      </w:pPr>
    </w:p>
    <w:p>
      <w:pPr>
        <w:ind w:left="340" w:right="179" w:hanging="8"/>
        <w:spacing w:after="0" w:line="255" w:lineRule="auto"/>
        <w:tabs>
          <w:tab w:leader="none" w:pos="5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three years to be the frequency that an advisory vote on executive compensation be presented to the shareholders and (8) for the approval of the change in Directors’ compensation. Should any matter not described above be properly presented at the meeting, the persons named in the proxy form will vote in accordance with their judgment.</w:t>
      </w:r>
    </w:p>
    <w:p>
      <w:pPr>
        <w:spacing w:after="0" w:line="150" w:lineRule="exact"/>
        <w:rPr>
          <w:sz w:val="20"/>
          <w:szCs w:val="20"/>
          <w:color w:val="auto"/>
        </w:rPr>
      </w:pPr>
    </w:p>
    <w:p>
      <w:pPr>
        <w:ind w:left="340" w:right="179"/>
        <w:spacing w:after="0" w:line="271" w:lineRule="auto"/>
        <w:rPr>
          <w:sz w:val="20"/>
          <w:szCs w:val="20"/>
          <w:color w:val="auto"/>
        </w:rPr>
      </w:pPr>
      <w:r>
        <w:rPr>
          <w:rFonts w:ascii="Arial" w:cs="Arial" w:eastAsia="Arial" w:hAnsi="Arial"/>
          <w:sz w:val="17"/>
          <w:szCs w:val="17"/>
          <w:color w:val="auto"/>
        </w:rPr>
        <w:t>If you are the beneficial owner, but not the record holder, of shares of our Common Stock and have requested a copy of this proxy statement, your broker, bank or other nominee may only deliver one (1) copy of this proxy statement and our 2010 annual report to multiple shareholders who share an address unless that nominee has received contrary instructions from one (1) or more of the shareholders. Shareholders at an address to which a single copy of this proxy statement and our 2010 annual report was sent may request a separate copy by contacting Investor Relations, Altisource Portfolio Solutions S.A., 291, route d’Arlon, L-1150 Luxembourg City, Grand Duchy of Luxembourg.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138" w:lineRule="exact"/>
        <w:rPr>
          <w:sz w:val="20"/>
          <w:szCs w:val="20"/>
          <w:color w:val="auto"/>
        </w:rPr>
      </w:pPr>
    </w:p>
    <w:p>
      <w:pPr>
        <w:ind w:left="340" w:right="199"/>
        <w:spacing w:after="0" w:line="293" w:lineRule="auto"/>
        <w:rPr>
          <w:sz w:val="20"/>
          <w:szCs w:val="20"/>
          <w:color w:val="auto"/>
        </w:rPr>
      </w:pPr>
      <w:r>
        <w:rPr>
          <w:rFonts w:ascii="Arial" w:cs="Arial" w:eastAsia="Arial" w:hAnsi="Arial"/>
          <w:sz w:val="16"/>
          <w:szCs w:val="16"/>
          <w:color w:val="auto"/>
        </w:rPr>
        <w:t xml:space="preserve">This proxy statement and our 2010 annual report may be viewed online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In addition, this proxy statement and our 2010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ALTISOURCE PORTFOLIO SOLUTIONS S.A.</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 PROXY SERVICES</w:t>
      </w:r>
    </w:p>
    <w:p>
      <w:pPr>
        <w:ind w:left="520"/>
        <w:spacing w:after="0" w:line="234" w:lineRule="auto"/>
        <w:rPr>
          <w:sz w:val="20"/>
          <w:szCs w:val="20"/>
          <w:color w:val="auto"/>
        </w:rPr>
      </w:pPr>
      <w:r>
        <w:rPr>
          <w:rFonts w:ascii="Arial" w:cs="Arial" w:eastAsia="Arial" w:hAnsi="Arial"/>
          <w:sz w:val="18"/>
          <w:szCs w:val="18"/>
          <w:b w:val="1"/>
          <w:bCs w:val="1"/>
          <w:i w:val="1"/>
          <w:iCs w:val="1"/>
          <w:color w:val="auto"/>
        </w:rPr>
        <w:t>P.O.BOX 9142</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FARMINGDALE, NY 11735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19" w:lineRule="exact"/>
        <w:rPr>
          <w:sz w:val="20"/>
          <w:szCs w:val="20"/>
          <w:color w:val="auto"/>
        </w:rPr>
      </w:pPr>
    </w:p>
    <w:p>
      <w:pPr>
        <w:jc w:val="both"/>
        <w:ind w:right="159"/>
        <w:spacing w:after="0" w:line="245"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9" w:lineRule="exact"/>
        <w:rPr>
          <w:sz w:val="20"/>
          <w:szCs w:val="20"/>
          <w:color w:val="auto"/>
        </w:rPr>
      </w:pPr>
    </w:p>
    <w:p>
      <w:pPr>
        <w:jc w:val="both"/>
        <w:ind w:right="159"/>
        <w:spacing w:after="0" w:line="244" w:lineRule="auto"/>
        <w:rPr>
          <w:sz w:val="20"/>
          <w:szCs w:val="20"/>
          <w:color w:val="auto"/>
        </w:rPr>
      </w:pPr>
      <w:r>
        <w:rPr>
          <w:rFonts w:ascii="Arial" w:cs="Arial" w:eastAsia="Arial" w:hAnsi="Arial"/>
          <w:sz w:val="14"/>
          <w:szCs w:val="14"/>
          <w:color w:val="auto"/>
        </w:rPr>
        <w:t>If you would like to reduce the costs incurred by Altisource Portfolio Solutions S.A.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jc w:val="both"/>
        <w:ind w:right="179"/>
        <w:spacing w:after="0" w:line="24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9" w:lineRule="exact"/>
        <w:rPr>
          <w:sz w:val="20"/>
          <w:szCs w:val="20"/>
          <w:color w:val="auto"/>
        </w:rPr>
      </w:pPr>
    </w:p>
    <w:p>
      <w:pPr>
        <w:jc w:val="both"/>
        <w:ind w:right="159"/>
        <w:spacing w:after="0" w:line="25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580" w:space="720"/>
            <w:col w:w="4919"/>
          </w:cols>
          <w:pgMar w:left="240" w:top="4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 VOTE, MARK BLOCKS BELOW IN BLUE OR BLACK INK AS FOLLOWS:</w:t>
      </w:r>
    </w:p>
    <w:p>
      <w:pPr>
        <w:jc w:val="right"/>
        <w:ind w:right="159"/>
        <w:spacing w:after="0"/>
        <w:tabs>
          <w:tab w:leader="none" w:pos="2620" w:val="left"/>
        </w:tabs>
        <w:rPr>
          <w:sz w:val="20"/>
          <w:szCs w:val="20"/>
          <w:color w:val="auto"/>
        </w:rPr>
      </w:pPr>
      <w:r>
        <w:rPr>
          <w:rFonts w:ascii="Arial" w:cs="Arial" w:eastAsia="Arial" w:hAnsi="Arial"/>
          <w:sz w:val="13"/>
          <w:szCs w:val="13"/>
          <w:color w:val="auto"/>
        </w:rPr>
        <w:t>M32049-P07803</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1747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jc w:val="right"/>
        <w:ind w:right="159"/>
        <w:spacing w:after="0" w:line="216" w:lineRule="auto"/>
        <w:rPr>
          <w:sz w:val="20"/>
          <w:szCs w:val="20"/>
          <w:color w:val="auto"/>
        </w:rPr>
      </w:pPr>
      <w:r>
        <w:rPr>
          <w:rFonts w:ascii="Arial" w:cs="Arial" w:eastAsia="Arial" w:hAnsi="Arial"/>
          <w:sz w:val="13"/>
          <w:szCs w:val="13"/>
          <w:color w:val="auto"/>
        </w:rPr>
        <w:t>DETACH AND RETURN THIS PORTION ONLY</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138430</wp:posOffset>
            </wp:positionV>
            <wp:extent cx="6298565" cy="4446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8565" cy="444627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p>
      <w:pPr>
        <w:spacing w:after="0" w:line="279"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3040" w:type="dxa"/>
            <w:vAlign w:val="bottom"/>
          </w:tcPr>
          <w:p>
            <w:pPr>
              <w:spacing w:after="0"/>
              <w:rPr>
                <w:sz w:val="20"/>
                <w:szCs w:val="20"/>
                <w:color w:val="auto"/>
              </w:rPr>
            </w:pPr>
            <w:r>
              <w:rPr>
                <w:rFonts w:ascii="Arial" w:cs="Arial" w:eastAsia="Arial" w:hAnsi="Arial"/>
                <w:sz w:val="13"/>
                <w:szCs w:val="13"/>
                <w:b w:val="1"/>
                <w:bCs w:val="1"/>
                <w:color w:val="auto"/>
              </w:rPr>
              <w:t>ALTISOURCE PORTFOLIO SOLUTIONS S.A.</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For All</w:t>
            </w:r>
          </w:p>
        </w:tc>
        <w:tc>
          <w:tcPr>
            <w:tcW w:w="0" w:type="dxa"/>
            <w:vAlign w:val="bottom"/>
          </w:tcPr>
          <w:p>
            <w:pPr>
              <w:spacing w:after="0"/>
              <w:rPr>
                <w:sz w:val="1"/>
                <w:szCs w:val="1"/>
                <w:color w:val="auto"/>
              </w:rPr>
            </w:pPr>
          </w:p>
        </w:tc>
      </w:tr>
      <w:tr>
        <w:trPr>
          <w:trHeight w:val="168"/>
        </w:trPr>
        <w:tc>
          <w:tcPr>
            <w:tcW w:w="30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The Board of Directors recommends you vote</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Except</w:t>
            </w:r>
          </w:p>
        </w:tc>
        <w:tc>
          <w:tcPr>
            <w:tcW w:w="0" w:type="dxa"/>
            <w:vAlign w:val="bottom"/>
          </w:tcPr>
          <w:p>
            <w:pPr>
              <w:spacing w:after="0"/>
              <w:rPr>
                <w:sz w:val="1"/>
                <w:szCs w:val="1"/>
                <w:color w:val="auto"/>
              </w:rPr>
            </w:pPr>
          </w:p>
        </w:tc>
      </w:tr>
      <w:tr>
        <w:trPr>
          <w:trHeight w:val="102"/>
        </w:trPr>
        <w:tc>
          <w:tcPr>
            <w:tcW w:w="30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100"/>
              <w:spacing w:after="0"/>
              <w:rPr>
                <w:sz w:val="20"/>
                <w:szCs w:val="20"/>
                <w:color w:val="auto"/>
              </w:rPr>
            </w:pPr>
            <w:r>
              <w:rPr>
                <w:rFonts w:ascii="Arial" w:cs="Arial" w:eastAsia="Arial" w:hAnsi="Arial"/>
                <w:sz w:val="13"/>
                <w:szCs w:val="13"/>
                <w:b w:val="1"/>
                <w:bCs w:val="1"/>
                <w:color w:val="auto"/>
              </w:rPr>
              <w:t>FOR the following:</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both"/>
        <w:ind w:right="859"/>
        <w:spacing w:after="0" w:line="225" w:lineRule="auto"/>
        <w:rPr>
          <w:sz w:val="20"/>
          <w:szCs w:val="20"/>
          <w:color w:val="auto"/>
        </w:rPr>
      </w:pPr>
      <w:r>
        <w:rPr>
          <w:rFonts w:ascii="Arial" w:cs="Arial" w:eastAsia="Arial" w:hAnsi="Arial"/>
          <w:sz w:val="13"/>
          <w:szCs w:val="13"/>
          <w:color w:val="auto"/>
        </w:rPr>
        <w:t>To withhold authority to vote for any individual nominee(s), mark “For All Except” and write the number(s) of the nominee(s) on the line below.</w:t>
      </w:r>
    </w:p>
    <w:p>
      <w:pPr>
        <w:spacing w:after="0" w:line="246" w:lineRule="exact"/>
        <w:rPr>
          <w:sz w:val="20"/>
          <w:szCs w:val="20"/>
          <w:color w:val="auto"/>
        </w:rPr>
      </w:pPr>
    </w:p>
    <w:p>
      <w:pPr>
        <w:sectPr>
          <w:pgSz w:w="11900" w:h="16838" w:orient="portrait"/>
          <w:cols w:equalWidth="0" w:num="2">
            <w:col w:w="5180" w:space="380"/>
            <w:col w:w="4659"/>
          </w:cols>
          <w:pgMar w:left="240" w:top="419" w:right="1440" w:bottom="1440" w:gutter="0" w:footer="0" w:header="0"/>
          <w:type w:val="continuous"/>
        </w:sectPr>
      </w:pPr>
    </w:p>
    <w:p>
      <w:pPr>
        <w:spacing w:after="0" w:line="8" w:lineRule="exact"/>
        <w:rPr>
          <w:sz w:val="20"/>
          <w:szCs w:val="20"/>
          <w:color w:val="auto"/>
        </w:rPr>
      </w:pPr>
    </w:p>
    <w:p>
      <w:pPr>
        <w:ind w:left="780" w:hanging="232"/>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50" w:lineRule="exact"/>
        <w:rPr>
          <w:rFonts w:ascii="Arial" w:cs="Arial" w:eastAsia="Arial" w:hAnsi="Arial"/>
          <w:sz w:val="13"/>
          <w:szCs w:val="13"/>
          <w:color w:val="auto"/>
        </w:rPr>
      </w:pPr>
    </w:p>
    <w:p>
      <w:pPr>
        <w:ind w:left="66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122" w:lineRule="exact"/>
        <w:rPr>
          <w:rFonts w:ascii="Arial" w:cs="Arial" w:eastAsia="Arial" w:hAnsi="Arial"/>
          <w:sz w:val="13"/>
          <w:szCs w:val="13"/>
          <w:color w:val="auto"/>
        </w:rPr>
      </w:pPr>
    </w:p>
    <w:p>
      <w:pPr>
        <w:ind w:left="880" w:hanging="210"/>
        <w:spacing w:after="0"/>
        <w:tabs>
          <w:tab w:leader="none" w:pos="8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William C. Erbey</w:t>
      </w:r>
    </w:p>
    <w:p>
      <w:pPr>
        <w:ind w:left="880" w:hanging="210"/>
        <w:spacing w:after="0" w:line="216" w:lineRule="auto"/>
        <w:tabs>
          <w:tab w:leader="none" w:pos="8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William B. Shepro</w:t>
      </w:r>
    </w:p>
    <w:p>
      <w:pPr>
        <w:ind w:left="880" w:hanging="210"/>
        <w:spacing w:after="0" w:line="216" w:lineRule="auto"/>
        <w:tabs>
          <w:tab w:leader="none" w:pos="8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Roland Müller-Ineichen</w:t>
      </w:r>
    </w:p>
    <w:p>
      <w:pPr>
        <w:ind w:left="880" w:hanging="210"/>
        <w:spacing w:after="0" w:line="216" w:lineRule="auto"/>
        <w:tabs>
          <w:tab w:leader="none" w:pos="8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Timo Vättö</w:t>
      </w:r>
    </w:p>
    <w:p>
      <w:pPr>
        <w:ind w:left="880" w:hanging="210"/>
        <w:spacing w:after="0"/>
        <w:tabs>
          <w:tab w:leader="none" w:pos="8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W. Michael Linn</w:t>
      </w:r>
    </w:p>
    <w:p>
      <w:pPr>
        <w:spacing w:after="0" w:line="105" w:lineRule="exact"/>
        <w:rPr>
          <w:sz w:val="20"/>
          <w:szCs w:val="20"/>
          <w:color w:val="auto"/>
        </w:rPr>
      </w:pPr>
    </w:p>
    <w:p>
      <w:pPr>
        <w:ind w:left="580"/>
        <w:spacing w:after="0" w:line="246" w:lineRule="auto"/>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112" w:lineRule="exact"/>
        <w:rPr>
          <w:sz w:val="20"/>
          <w:szCs w:val="20"/>
          <w:color w:val="auto"/>
        </w:rPr>
      </w:pPr>
    </w:p>
    <w:p>
      <w:pPr>
        <w:ind w:left="740" w:hanging="154"/>
        <w:spacing w:after="0"/>
        <w:tabs>
          <w:tab w:leader="none" w:pos="7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Proposal to ratify the appointment of Deloitte</w:t>
      </w:r>
    </w:p>
    <w:p>
      <w:pPr>
        <w:jc w:val="both"/>
        <w:ind w:left="740" w:right="20" w:firstLine="8"/>
        <w:spacing w:after="0" w:line="223" w:lineRule="auto"/>
        <w:tabs>
          <w:tab w:leader="none" w:pos="895" w:val="left"/>
        </w:tabs>
        <w:numPr>
          <w:ilvl w:val="1"/>
          <w:numId w:val="32"/>
        </w:numPr>
        <w:rPr>
          <w:rFonts w:ascii="Arial" w:cs="Arial" w:eastAsia="Arial" w:hAnsi="Arial"/>
          <w:sz w:val="13"/>
          <w:szCs w:val="13"/>
          <w:color w:val="auto"/>
        </w:rPr>
      </w:pPr>
      <w:r>
        <w:rPr>
          <w:rFonts w:ascii="Arial" w:cs="Arial" w:eastAsia="Arial" w:hAnsi="Arial"/>
          <w:sz w:val="13"/>
          <w:szCs w:val="13"/>
          <w:color w:val="auto"/>
        </w:rPr>
        <w:t>Touche LLP and Deloitte S.A. (together “Deloitte”) as our independent registered certified public accounting firm for the fiscal year ending December 31, 2011</w:t>
      </w:r>
    </w:p>
    <w:p>
      <w:pPr>
        <w:spacing w:after="0" w:line="20" w:lineRule="exact"/>
        <w:rPr>
          <w:sz w:val="20"/>
          <w:szCs w:val="20"/>
          <w:color w:val="auto"/>
        </w:rPr>
      </w:pPr>
      <w:r>
        <w:rPr>
          <w:sz w:val="20"/>
          <w:szCs w:val="20"/>
          <w:color w:val="auto"/>
        </w:rPr>
        <w:br w:type="column"/>
      </w:r>
    </w:p>
    <w:p>
      <w:pPr>
        <w:ind w:left="100"/>
        <w:spacing w:after="0"/>
        <w:tabs>
          <w:tab w:leader="none" w:pos="680" w:val="left"/>
          <w:tab w:leader="none" w:pos="13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80" w:val="left"/>
          <w:tab w:leader="none" w:pos="112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63" w:lineRule="exact"/>
        <w:rPr>
          <w:sz w:val="20"/>
          <w:szCs w:val="20"/>
          <w:color w:val="auto"/>
        </w:rPr>
      </w:pPr>
    </w:p>
    <w:p>
      <w:pPr>
        <w:ind w:left="60"/>
        <w:spacing w:after="0"/>
        <w:tabs>
          <w:tab w:leader="none" w:pos="680" w:val="left"/>
          <w:tab w:leader="none" w:pos="13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ind w:left="2"/>
              <w:spacing w:after="0"/>
              <w:rPr>
                <w:sz w:val="20"/>
                <w:szCs w:val="20"/>
                <w:color w:val="auto"/>
              </w:rPr>
            </w:pPr>
            <w:r>
              <w:rPr>
                <w:rFonts w:ascii="Arial" w:cs="Arial" w:eastAsia="Arial" w:hAnsi="Arial"/>
                <w:sz w:val="13"/>
                <w:szCs w:val="13"/>
                <w:b w:val="1"/>
                <w:bCs w:val="1"/>
                <w:color w:val="auto"/>
                <w:w w:val="96"/>
              </w:rPr>
              <w:t>Abstain</w:t>
            </w:r>
          </w:p>
        </w:tc>
      </w:tr>
      <w:tr>
        <w:trPr>
          <w:trHeight w:val="143"/>
        </w:trPr>
        <w:tc>
          <w:tcPr>
            <w:tcW w:w="2860" w:type="dxa"/>
            <w:vAlign w:val="bottom"/>
            <w:gridSpan w:val="5"/>
          </w:tcPr>
          <w:p>
            <w:pPr>
              <w:spacing w:after="0" w:line="144" w:lineRule="exact"/>
              <w:rPr>
                <w:sz w:val="20"/>
                <w:szCs w:val="20"/>
                <w:color w:val="auto"/>
              </w:rPr>
            </w:pPr>
            <w:r>
              <w:rPr>
                <w:rFonts w:ascii="Arial" w:cs="Arial" w:eastAsia="Arial" w:hAnsi="Arial"/>
                <w:sz w:val="13"/>
                <w:szCs w:val="13"/>
                <w:color w:val="auto"/>
              </w:rPr>
              <w:t>5. Proposal to discharge each of the current and</w:t>
            </w:r>
          </w:p>
        </w:tc>
        <w:tc>
          <w:tcPr>
            <w:tcW w:w="520" w:type="dxa"/>
            <w:vAlign w:val="bottom"/>
          </w:tcPr>
          <w:p>
            <w:pPr>
              <w:jc w:val="center"/>
              <w:spacing w:after="0" w:line="144" w:lineRule="exact"/>
              <w:rPr>
                <w:sz w:val="20"/>
                <w:szCs w:val="20"/>
                <w:color w:val="auto"/>
              </w:rPr>
            </w:pPr>
            <w:r>
              <w:rPr>
                <w:rFonts w:ascii="Arial" w:cs="Arial" w:eastAsia="Arial" w:hAnsi="Arial"/>
                <w:sz w:val="16"/>
                <w:szCs w:val="16"/>
                <w:color w:val="auto"/>
                <w:w w:val="89"/>
              </w:rPr>
              <w:t>o</w:t>
            </w:r>
          </w:p>
        </w:tc>
        <w:tc>
          <w:tcPr>
            <w:tcW w:w="720" w:type="dxa"/>
            <w:vAlign w:val="bottom"/>
          </w:tcPr>
          <w:p>
            <w:pPr>
              <w:jc w:val="center"/>
              <w:ind w:left="2"/>
              <w:spacing w:after="0" w:line="144" w:lineRule="exact"/>
              <w:rPr>
                <w:sz w:val="20"/>
                <w:szCs w:val="20"/>
                <w:color w:val="auto"/>
              </w:rPr>
            </w:pPr>
            <w:r>
              <w:rPr>
                <w:rFonts w:ascii="Arial" w:cs="Arial" w:eastAsia="Arial" w:hAnsi="Arial"/>
                <w:sz w:val="16"/>
                <w:szCs w:val="16"/>
                <w:color w:val="auto"/>
                <w:w w:val="89"/>
              </w:rPr>
              <w:t>o</w:t>
            </w:r>
          </w:p>
        </w:tc>
        <w:tc>
          <w:tcPr>
            <w:tcW w:w="540" w:type="dxa"/>
            <w:vAlign w:val="bottom"/>
          </w:tcPr>
          <w:p>
            <w:pPr>
              <w:jc w:val="center"/>
              <w:ind w:left="2"/>
              <w:spacing w:after="0" w:line="144" w:lineRule="exact"/>
              <w:rPr>
                <w:sz w:val="20"/>
                <w:szCs w:val="20"/>
                <w:color w:val="auto"/>
              </w:rPr>
            </w:pPr>
            <w:r>
              <w:rPr>
                <w:rFonts w:ascii="Arial" w:cs="Arial" w:eastAsia="Arial" w:hAnsi="Arial"/>
                <w:sz w:val="16"/>
                <w:szCs w:val="16"/>
                <w:color w:val="auto"/>
              </w:rPr>
              <w:t>o</w:t>
            </w:r>
          </w:p>
        </w:tc>
      </w:tr>
      <w:tr>
        <w:trPr>
          <w:trHeight w:val="135"/>
        </w:trPr>
        <w:tc>
          <w:tcPr>
            <w:tcW w:w="2860" w:type="dxa"/>
            <w:vAlign w:val="bottom"/>
            <w:gridSpan w:val="5"/>
          </w:tcPr>
          <w:p>
            <w:pPr>
              <w:ind w:left="160"/>
              <w:spacing w:after="0" w:line="135" w:lineRule="exact"/>
              <w:rPr>
                <w:sz w:val="20"/>
                <w:szCs w:val="20"/>
                <w:color w:val="auto"/>
              </w:rPr>
            </w:pPr>
            <w:r>
              <w:rPr>
                <w:rFonts w:ascii="Arial" w:cs="Arial" w:eastAsia="Arial" w:hAnsi="Arial"/>
                <w:sz w:val="13"/>
                <w:szCs w:val="13"/>
                <w:color w:val="auto"/>
              </w:rPr>
              <w:t>past   Directors   of   Altisource   Portfolio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860" w:type="dxa"/>
            <w:vAlign w:val="bottom"/>
            <w:gridSpan w:val="5"/>
          </w:tcPr>
          <w:p>
            <w:pPr>
              <w:ind w:left="160"/>
              <w:spacing w:after="0" w:line="135" w:lineRule="exact"/>
              <w:rPr>
                <w:sz w:val="20"/>
                <w:szCs w:val="20"/>
                <w:color w:val="auto"/>
              </w:rPr>
            </w:pPr>
            <w:r>
              <w:rPr>
                <w:rFonts w:ascii="Arial" w:cs="Arial" w:eastAsia="Arial" w:hAnsi="Arial"/>
                <w:sz w:val="13"/>
                <w:szCs w:val="13"/>
                <w:color w:val="auto"/>
              </w:rPr>
              <w:t>Solutions S.A. for the performance of their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780" w:type="dxa"/>
            <w:vAlign w:val="bottom"/>
          </w:tcPr>
          <w:p>
            <w:pPr>
              <w:ind w:left="160"/>
              <w:spacing w:after="0" w:line="135" w:lineRule="exact"/>
              <w:rPr>
                <w:sz w:val="20"/>
                <w:szCs w:val="20"/>
                <w:color w:val="auto"/>
              </w:rPr>
            </w:pPr>
            <w:r>
              <w:rPr>
                <w:rFonts w:ascii="Arial" w:cs="Arial" w:eastAsia="Arial" w:hAnsi="Arial"/>
                <w:sz w:val="13"/>
                <w:szCs w:val="13"/>
                <w:color w:val="auto"/>
              </w:rPr>
              <w:t>mandate</w:t>
            </w:r>
          </w:p>
        </w:tc>
        <w:tc>
          <w:tcPr>
            <w:tcW w:w="600" w:type="dxa"/>
            <w:vAlign w:val="bottom"/>
          </w:tcPr>
          <w:p>
            <w:pPr>
              <w:ind w:left="100"/>
              <w:spacing w:after="0" w:line="135" w:lineRule="exact"/>
              <w:rPr>
                <w:sz w:val="20"/>
                <w:szCs w:val="20"/>
                <w:color w:val="auto"/>
              </w:rPr>
            </w:pPr>
            <w:r>
              <w:rPr>
                <w:rFonts w:ascii="Arial" w:cs="Arial" w:eastAsia="Arial" w:hAnsi="Arial"/>
                <w:sz w:val="13"/>
                <w:szCs w:val="13"/>
                <w:color w:val="auto"/>
              </w:rPr>
              <w:t>during</w:t>
            </w:r>
          </w:p>
        </w:tc>
        <w:tc>
          <w:tcPr>
            <w:tcW w:w="380" w:type="dxa"/>
            <w:vAlign w:val="bottom"/>
          </w:tcPr>
          <w:p>
            <w:pPr>
              <w:ind w:left="100"/>
              <w:spacing w:after="0" w:line="135" w:lineRule="exact"/>
              <w:rPr>
                <w:sz w:val="20"/>
                <w:szCs w:val="20"/>
                <w:color w:val="auto"/>
              </w:rPr>
            </w:pPr>
            <w:r>
              <w:rPr>
                <w:rFonts w:ascii="Arial" w:cs="Arial" w:eastAsia="Arial" w:hAnsi="Arial"/>
                <w:sz w:val="13"/>
                <w:szCs w:val="13"/>
                <w:color w:val="auto"/>
              </w:rPr>
              <w:t>the</w:t>
            </w:r>
          </w:p>
        </w:tc>
        <w:tc>
          <w:tcPr>
            <w:tcW w:w="480" w:type="dxa"/>
            <w:vAlign w:val="bottom"/>
          </w:tcPr>
          <w:p>
            <w:pPr>
              <w:ind w:left="120"/>
              <w:spacing w:after="0" w:line="135" w:lineRule="exact"/>
              <w:rPr>
                <w:sz w:val="20"/>
                <w:szCs w:val="20"/>
                <w:color w:val="auto"/>
              </w:rPr>
            </w:pPr>
            <w:r>
              <w:rPr>
                <w:rFonts w:ascii="Arial" w:cs="Arial" w:eastAsia="Arial" w:hAnsi="Arial"/>
                <w:sz w:val="13"/>
                <w:szCs w:val="13"/>
                <w:color w:val="auto"/>
              </w:rPr>
              <w:t>year</w:t>
            </w:r>
          </w:p>
        </w:tc>
        <w:tc>
          <w:tcPr>
            <w:tcW w:w="620" w:type="dxa"/>
            <w:vAlign w:val="bottom"/>
          </w:tcPr>
          <w:p>
            <w:pPr>
              <w:ind w:left="120"/>
              <w:spacing w:after="0" w:line="135" w:lineRule="exact"/>
              <w:rPr>
                <w:sz w:val="20"/>
                <w:szCs w:val="20"/>
                <w:color w:val="auto"/>
              </w:rPr>
            </w:pPr>
            <w:r>
              <w:rPr>
                <w:rFonts w:ascii="Arial" w:cs="Arial" w:eastAsia="Arial" w:hAnsi="Arial"/>
                <w:sz w:val="13"/>
                <w:szCs w:val="13"/>
                <w:color w:val="auto"/>
              </w:rPr>
              <w:t>ended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2"/>
        </w:trPr>
        <w:tc>
          <w:tcPr>
            <w:tcW w:w="1380" w:type="dxa"/>
            <w:vAlign w:val="bottom"/>
            <w:gridSpan w:val="2"/>
          </w:tcPr>
          <w:p>
            <w:pPr>
              <w:ind w:left="160"/>
              <w:spacing w:after="0"/>
              <w:rPr>
                <w:sz w:val="20"/>
                <w:szCs w:val="20"/>
                <w:color w:val="auto"/>
              </w:rPr>
            </w:pPr>
            <w:r>
              <w:rPr>
                <w:rFonts w:ascii="Arial" w:cs="Arial" w:eastAsia="Arial" w:hAnsi="Arial"/>
                <w:sz w:val="13"/>
                <w:szCs w:val="13"/>
                <w:color w:val="auto"/>
              </w:rPr>
              <w:t>December 31, 2010</w:t>
            </w: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340"/>
        </w:trPr>
        <w:tc>
          <w:tcPr>
            <w:tcW w:w="2860" w:type="dxa"/>
            <w:vAlign w:val="bottom"/>
            <w:gridSpan w:val="5"/>
          </w:tcPr>
          <w:p>
            <w:pPr>
              <w:spacing w:after="0"/>
              <w:rPr>
                <w:sz w:val="20"/>
                <w:szCs w:val="20"/>
                <w:color w:val="auto"/>
              </w:rPr>
            </w:pPr>
            <w:r>
              <w:rPr>
                <w:rFonts w:ascii="Arial" w:cs="Arial" w:eastAsia="Arial" w:hAnsi="Arial"/>
                <w:sz w:val="13"/>
                <w:szCs w:val="13"/>
                <w:color w:val="auto"/>
              </w:rPr>
              <w:t>6. An advisory vote on executive compensation</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720" w:type="dxa"/>
            <w:vAlign w:val="bottom"/>
          </w:tcPr>
          <w:p>
            <w:pPr>
              <w:jc w:val="center"/>
              <w:ind w:left="2"/>
              <w:spacing w:after="0"/>
              <w:rPr>
                <w:sz w:val="20"/>
                <w:szCs w:val="20"/>
                <w:color w:val="auto"/>
              </w:rPr>
            </w:pPr>
            <w:r>
              <w:rPr>
                <w:rFonts w:ascii="Arial" w:cs="Arial" w:eastAsia="Arial" w:hAnsi="Arial"/>
                <w:sz w:val="18"/>
                <w:szCs w:val="18"/>
                <w:color w:val="auto"/>
                <w:w w:val="79"/>
              </w:rPr>
              <w:t>o</w:t>
            </w:r>
          </w:p>
        </w:tc>
        <w:tc>
          <w:tcPr>
            <w:tcW w:w="540" w:type="dxa"/>
            <w:vAlign w:val="bottom"/>
          </w:tcPr>
          <w:p>
            <w:pPr>
              <w:jc w:val="center"/>
              <w:ind w:left="2"/>
              <w:spacing w:after="0"/>
              <w:rPr>
                <w:sz w:val="20"/>
                <w:szCs w:val="20"/>
                <w:color w:val="auto"/>
              </w:rPr>
            </w:pPr>
            <w:r>
              <w:rPr>
                <w:rFonts w:ascii="Arial" w:cs="Arial" w:eastAsia="Arial" w:hAnsi="Arial"/>
                <w:sz w:val="18"/>
                <w:szCs w:val="18"/>
                <w:color w:val="auto"/>
                <w:w w:val="99"/>
              </w:rPr>
              <w:t>o</w:t>
            </w:r>
          </w:p>
        </w:tc>
      </w:tr>
    </w:tbl>
    <w:p>
      <w:pPr>
        <w:spacing w:after="0" w:line="98" w:lineRule="exact"/>
        <w:rPr>
          <w:sz w:val="20"/>
          <w:szCs w:val="20"/>
          <w:color w:val="auto"/>
        </w:rPr>
      </w:pPr>
    </w:p>
    <w:p>
      <w:pPr>
        <w:sectPr>
          <w:pgSz w:w="11900" w:h="16838" w:orient="portrait"/>
          <w:cols w:equalWidth="0" w:num="3">
            <w:col w:w="3280" w:space="300"/>
            <w:col w:w="1600" w:space="320"/>
            <w:col w:w="4719"/>
          </w:cols>
          <w:pgMar w:left="240" w:top="419" w:right="1440" w:bottom="1440" w:gutter="0" w:footer="0" w:header="0"/>
          <w:type w:val="continuous"/>
        </w:sectPr>
      </w:pP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40" w:type="dxa"/>
            <w:vAlign w:val="bottom"/>
          </w:tcPr>
          <w:p>
            <w:pPr>
              <w:jc w:val="right"/>
              <w:spacing w:after="0"/>
              <w:rPr>
                <w:sz w:val="20"/>
                <w:szCs w:val="20"/>
                <w:color w:val="auto"/>
              </w:rPr>
            </w:pPr>
            <w:r>
              <w:rPr>
                <w:rFonts w:ascii="Arial" w:cs="Arial" w:eastAsia="Arial" w:hAnsi="Arial"/>
                <w:sz w:val="13"/>
                <w:szCs w:val="13"/>
                <w:color w:val="auto"/>
                <w:w w:val="91"/>
              </w:rPr>
              <w:t>3.</w:t>
            </w:r>
          </w:p>
        </w:tc>
        <w:tc>
          <w:tcPr>
            <w:tcW w:w="2740" w:type="dxa"/>
            <w:vAlign w:val="bottom"/>
          </w:tcPr>
          <w:p>
            <w:pPr>
              <w:jc w:val="right"/>
              <w:ind w:right="137"/>
              <w:spacing w:after="0"/>
              <w:rPr>
                <w:sz w:val="20"/>
                <w:szCs w:val="20"/>
                <w:color w:val="auto"/>
              </w:rPr>
            </w:pPr>
            <w:r>
              <w:rPr>
                <w:rFonts w:ascii="Arial" w:cs="Arial" w:eastAsia="Arial" w:hAnsi="Arial"/>
                <w:sz w:val="13"/>
                <w:szCs w:val="13"/>
                <w:color w:val="auto"/>
                <w:w w:val="99"/>
              </w:rPr>
              <w:t>Proposal to approve and ratify the Directors’</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o</w:t>
            </w:r>
          </w:p>
        </w:tc>
      </w:tr>
      <w:tr>
        <w:trPr>
          <w:trHeight w:val="135"/>
        </w:trPr>
        <w:tc>
          <w:tcPr>
            <w:tcW w:w="140" w:type="dxa"/>
            <w:vAlign w:val="bottom"/>
          </w:tcPr>
          <w:p>
            <w:pPr>
              <w:spacing w:after="0"/>
              <w:rPr>
                <w:sz w:val="11"/>
                <w:szCs w:val="11"/>
                <w:color w:val="auto"/>
              </w:rPr>
            </w:pPr>
          </w:p>
        </w:tc>
        <w:tc>
          <w:tcPr>
            <w:tcW w:w="2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report  for  the  year  ended  December  31,</w:t>
            </w:r>
          </w:p>
        </w:tc>
        <w:tc>
          <w:tcPr>
            <w:tcW w:w="260" w:type="dxa"/>
            <w:vAlign w:val="bottom"/>
          </w:tcPr>
          <w:p>
            <w:pPr>
              <w:spacing w:after="0"/>
              <w:rPr>
                <w:sz w:val="11"/>
                <w:szCs w:val="11"/>
                <w:color w:val="auto"/>
              </w:rPr>
            </w:pPr>
          </w:p>
        </w:tc>
      </w:tr>
      <w:tr>
        <w:trPr>
          <w:trHeight w:val="152"/>
        </w:trPr>
        <w:tc>
          <w:tcPr>
            <w:tcW w:w="140" w:type="dxa"/>
            <w:vAlign w:val="bottom"/>
          </w:tcPr>
          <w:p>
            <w:pPr>
              <w:spacing w:after="0"/>
              <w:rPr>
                <w:sz w:val="13"/>
                <w:szCs w:val="13"/>
                <w:color w:val="auto"/>
              </w:rPr>
            </w:pPr>
          </w:p>
        </w:tc>
        <w:tc>
          <w:tcPr>
            <w:tcW w:w="2740" w:type="dxa"/>
            <w:vAlign w:val="bottom"/>
          </w:tcPr>
          <w:p>
            <w:pPr>
              <w:jc w:val="right"/>
              <w:ind w:right="2377"/>
              <w:spacing w:after="0"/>
              <w:rPr>
                <w:sz w:val="20"/>
                <w:szCs w:val="20"/>
                <w:color w:val="auto"/>
              </w:rPr>
            </w:pPr>
            <w:r>
              <w:rPr>
                <w:rFonts w:ascii="Arial" w:cs="Arial" w:eastAsia="Arial" w:hAnsi="Arial"/>
                <w:sz w:val="13"/>
                <w:szCs w:val="13"/>
                <w:color w:val="auto"/>
                <w:w w:val="96"/>
              </w:rPr>
              <w:t>2010</w:t>
            </w:r>
          </w:p>
        </w:tc>
        <w:tc>
          <w:tcPr>
            <w:tcW w:w="260" w:type="dxa"/>
            <w:vAlign w:val="bottom"/>
          </w:tcPr>
          <w:p>
            <w:pPr>
              <w:spacing w:after="0"/>
              <w:rPr>
                <w:sz w:val="13"/>
                <w:szCs w:val="13"/>
                <w:color w:val="auto"/>
              </w:rPr>
            </w:pPr>
          </w:p>
        </w:tc>
      </w:tr>
      <w:tr>
        <w:trPr>
          <w:trHeight w:val="253"/>
        </w:trPr>
        <w:tc>
          <w:tcPr>
            <w:tcW w:w="140" w:type="dxa"/>
            <w:vAlign w:val="bottom"/>
          </w:tcPr>
          <w:p>
            <w:pPr>
              <w:jc w:val="right"/>
              <w:spacing w:after="0"/>
              <w:rPr>
                <w:sz w:val="20"/>
                <w:szCs w:val="20"/>
                <w:color w:val="auto"/>
              </w:rPr>
            </w:pPr>
            <w:r>
              <w:rPr>
                <w:rFonts w:ascii="Arial" w:cs="Arial" w:eastAsia="Arial" w:hAnsi="Arial"/>
                <w:sz w:val="13"/>
                <w:szCs w:val="13"/>
                <w:color w:val="auto"/>
                <w:w w:val="91"/>
              </w:rPr>
              <w:t>4.</w:t>
            </w:r>
          </w:p>
        </w:tc>
        <w:tc>
          <w:tcPr>
            <w:tcW w:w="2740" w:type="dxa"/>
            <w:vAlign w:val="bottom"/>
          </w:tcPr>
          <w:p>
            <w:pPr>
              <w:jc w:val="right"/>
              <w:ind w:right="117"/>
              <w:spacing w:after="0"/>
              <w:rPr>
                <w:sz w:val="20"/>
                <w:szCs w:val="20"/>
                <w:color w:val="auto"/>
              </w:rPr>
            </w:pPr>
            <w:r>
              <w:rPr>
                <w:rFonts w:ascii="Arial" w:cs="Arial" w:eastAsia="Arial" w:hAnsi="Arial"/>
                <w:sz w:val="13"/>
                <w:szCs w:val="13"/>
                <w:color w:val="auto"/>
              </w:rPr>
              <w:t>Proposal  to  approve  the  Luxembourg</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o</w:t>
            </w:r>
          </w:p>
        </w:tc>
      </w:tr>
    </w:tbl>
    <w:p>
      <w:pPr>
        <w:jc w:val="both"/>
        <w:ind w:left="740" w:right="640"/>
        <w:spacing w:after="0" w:line="223" w:lineRule="auto"/>
        <w:rPr>
          <w:sz w:val="20"/>
          <w:szCs w:val="20"/>
          <w:color w:val="auto"/>
        </w:rPr>
      </w:pPr>
      <w:r>
        <w:rPr>
          <w:rFonts w:ascii="Arial" w:cs="Arial" w:eastAsia="Arial" w:hAnsi="Arial"/>
          <w:sz w:val="13"/>
          <w:szCs w:val="13"/>
          <w:color w:val="auto"/>
        </w:rPr>
        <w:t>statutory accounts for the year ended December 31, 2010 and to allocate the results of the year ended December 31, 2010</w:t>
      </w:r>
    </w:p>
    <w:p>
      <w:pPr>
        <w:spacing w:after="0" w:line="120" w:lineRule="exact"/>
        <w:rPr>
          <w:sz w:val="20"/>
          <w:szCs w:val="20"/>
          <w:color w:val="auto"/>
        </w:rPr>
      </w:pPr>
    </w:p>
    <w:p>
      <w:pPr>
        <w:ind w:left="580"/>
        <w:spacing w:after="0" w:line="230" w:lineRule="auto"/>
        <w:rPr>
          <w:sz w:val="20"/>
          <w:szCs w:val="20"/>
          <w:color w:val="auto"/>
        </w:rPr>
      </w:pPr>
      <w:r>
        <w:rPr>
          <w:rFonts w:ascii="Arial" w:cs="Arial" w:eastAsia="Arial" w:hAnsi="Arial"/>
          <w:sz w:val="13"/>
          <w:szCs w:val="13"/>
          <w:color w:val="auto"/>
        </w:rPr>
        <w:t>For address changes and/or comments, please check this box and write them on the back where indicated.</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3"/>
                <w:szCs w:val="13"/>
                <w:color w:val="auto"/>
              </w:rPr>
              <w:t>Please indicate if you plan to attend this</w:t>
            </w:r>
          </w:p>
        </w:tc>
        <w:tc>
          <w:tcPr>
            <w:tcW w:w="600" w:type="dxa"/>
            <w:vAlign w:val="bottom"/>
          </w:tcPr>
          <w:p>
            <w:pPr>
              <w:jc w:val="center"/>
              <w:ind w:left="323"/>
              <w:spacing w:after="0"/>
              <w:rPr>
                <w:sz w:val="20"/>
                <w:szCs w:val="20"/>
                <w:color w:val="auto"/>
              </w:rPr>
            </w:pPr>
            <w:r>
              <w:rPr>
                <w:rFonts w:ascii="Arial" w:cs="Arial" w:eastAsia="Arial" w:hAnsi="Arial"/>
                <w:sz w:val="18"/>
                <w:szCs w:val="18"/>
                <w:color w:val="auto"/>
                <w:w w:val="79"/>
              </w:rPr>
              <w:t>o</w:t>
            </w:r>
          </w:p>
        </w:tc>
      </w:tr>
      <w:tr>
        <w:trPr>
          <w:trHeight w:val="152"/>
        </w:trPr>
        <w:tc>
          <w:tcPr>
            <w:tcW w:w="2600" w:type="dxa"/>
            <w:vAlign w:val="bottom"/>
          </w:tcPr>
          <w:p>
            <w:pPr>
              <w:spacing w:after="0"/>
              <w:rPr>
                <w:sz w:val="20"/>
                <w:szCs w:val="20"/>
                <w:color w:val="auto"/>
              </w:rPr>
            </w:pPr>
            <w:r>
              <w:rPr>
                <w:rFonts w:ascii="Arial" w:cs="Arial" w:eastAsia="Arial" w:hAnsi="Arial"/>
                <w:sz w:val="13"/>
                <w:szCs w:val="13"/>
                <w:color w:val="auto"/>
              </w:rPr>
              <w:t>meeting.</w:t>
            </w:r>
          </w:p>
        </w:tc>
        <w:tc>
          <w:tcPr>
            <w:tcW w:w="600" w:type="dxa"/>
            <w:vAlign w:val="bottom"/>
          </w:tcPr>
          <w:p>
            <w:pPr>
              <w:spacing w:after="0"/>
              <w:rPr>
                <w:sz w:val="13"/>
                <w:szCs w:val="13"/>
                <w:color w:val="auto"/>
              </w:rPr>
            </w:pPr>
          </w:p>
        </w:tc>
      </w:tr>
      <w:tr>
        <w:trPr>
          <w:trHeight w:val="270"/>
        </w:trPr>
        <w:tc>
          <w:tcPr>
            <w:tcW w:w="2600" w:type="dxa"/>
            <w:vAlign w:val="bottom"/>
          </w:tcPr>
          <w:p>
            <w:pPr>
              <w:spacing w:after="0"/>
              <w:rPr>
                <w:sz w:val="23"/>
                <w:szCs w:val="23"/>
                <w:color w:val="auto"/>
              </w:rPr>
            </w:pPr>
          </w:p>
        </w:tc>
        <w:tc>
          <w:tcPr>
            <w:tcW w:w="600" w:type="dxa"/>
            <w:vAlign w:val="bottom"/>
          </w:tcPr>
          <w:p>
            <w:pPr>
              <w:jc w:val="center"/>
              <w:ind w:left="323"/>
              <w:spacing w:after="0"/>
              <w:rPr>
                <w:sz w:val="20"/>
                <w:szCs w:val="20"/>
                <w:color w:val="auto"/>
              </w:rPr>
            </w:pPr>
            <w:r>
              <w:rPr>
                <w:rFonts w:ascii="Arial" w:cs="Arial" w:eastAsia="Arial" w:hAnsi="Arial"/>
                <w:sz w:val="13"/>
                <w:szCs w:val="13"/>
                <w:b w:val="1"/>
                <w:bCs w:val="1"/>
                <w:color w:val="auto"/>
                <w:w w:val="86"/>
              </w:rPr>
              <w:t>Yes</w:t>
            </w: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379"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o</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20"/>
                <w:szCs w:val="20"/>
                <w:color w:val="auto"/>
              </w:rPr>
            </w:pPr>
            <w:r>
              <w:rPr>
                <w:rFonts w:ascii="Arial" w:cs="Arial" w:eastAsia="Arial" w:hAnsi="Arial"/>
                <w:sz w:val="13"/>
                <w:szCs w:val="13"/>
                <w:b w:val="1"/>
                <w:bCs w:val="1"/>
                <w:color w:val="auto"/>
              </w:rPr>
              <w:t>The</w:t>
            </w:r>
          </w:p>
        </w:tc>
        <w:tc>
          <w:tcPr>
            <w:tcW w:w="680" w:type="dxa"/>
            <w:vAlign w:val="bottom"/>
          </w:tcPr>
          <w:p>
            <w:pPr>
              <w:ind w:left="120"/>
              <w:spacing w:after="0"/>
              <w:rPr>
                <w:sz w:val="20"/>
                <w:szCs w:val="20"/>
                <w:color w:val="auto"/>
              </w:rPr>
            </w:pPr>
            <w:r>
              <w:rPr>
                <w:rFonts w:ascii="Arial" w:cs="Arial" w:eastAsia="Arial" w:hAnsi="Arial"/>
                <w:sz w:val="13"/>
                <w:szCs w:val="13"/>
                <w:b w:val="1"/>
                <w:bCs w:val="1"/>
                <w:color w:val="auto"/>
              </w:rPr>
              <w:t>Board</w:t>
            </w:r>
          </w:p>
        </w:tc>
        <w:tc>
          <w:tcPr>
            <w:tcW w:w="320" w:type="dxa"/>
            <w:vAlign w:val="bottom"/>
          </w:tcPr>
          <w:p>
            <w:pPr>
              <w:ind w:left="60"/>
              <w:spacing w:after="0"/>
              <w:rPr>
                <w:sz w:val="20"/>
                <w:szCs w:val="20"/>
                <w:color w:val="auto"/>
              </w:rPr>
            </w:pPr>
            <w:r>
              <w:rPr>
                <w:rFonts w:ascii="Arial" w:cs="Arial" w:eastAsia="Arial" w:hAnsi="Arial"/>
                <w:sz w:val="13"/>
                <w:szCs w:val="13"/>
                <w:b w:val="1"/>
                <w:bCs w:val="1"/>
                <w:color w:val="auto"/>
              </w:rPr>
              <w:t>of</w:t>
            </w:r>
          </w:p>
        </w:tc>
        <w:tc>
          <w:tcPr>
            <w:tcW w:w="800" w:type="dxa"/>
            <w:vAlign w:val="bottom"/>
          </w:tcPr>
          <w:p>
            <w:pPr>
              <w:ind w:left="120"/>
              <w:spacing w:after="0"/>
              <w:rPr>
                <w:sz w:val="20"/>
                <w:szCs w:val="20"/>
                <w:color w:val="auto"/>
              </w:rPr>
            </w:pPr>
            <w:r>
              <w:rPr>
                <w:rFonts w:ascii="Arial" w:cs="Arial" w:eastAsia="Arial" w:hAnsi="Arial"/>
                <w:sz w:val="13"/>
                <w:szCs w:val="13"/>
                <w:b w:val="1"/>
                <w:bCs w:val="1"/>
                <w:color w:val="auto"/>
              </w:rPr>
              <w:t>Directors</w:t>
            </w:r>
          </w:p>
        </w:tc>
        <w:tc>
          <w:tcPr>
            <w:tcW w:w="720" w:type="dxa"/>
            <w:vAlign w:val="bottom"/>
          </w:tcPr>
          <w:p>
            <w:pPr>
              <w:jc w:val="center"/>
              <w:ind w:right="43"/>
              <w:spacing w:after="0"/>
              <w:rPr>
                <w:sz w:val="20"/>
                <w:szCs w:val="20"/>
                <w:color w:val="auto"/>
              </w:rPr>
            </w:pPr>
            <w:r>
              <w:rPr>
                <w:rFonts w:ascii="Arial" w:cs="Arial" w:eastAsia="Arial" w:hAnsi="Arial"/>
                <w:sz w:val="13"/>
                <w:szCs w:val="13"/>
                <w:b w:val="1"/>
                <w:bCs w:val="1"/>
                <w:color w:val="auto"/>
                <w:w w:val="92"/>
              </w:rPr>
              <w:t>1 Year</w:t>
            </w:r>
          </w:p>
        </w:tc>
        <w:tc>
          <w:tcPr>
            <w:tcW w:w="560" w:type="dxa"/>
            <w:vAlign w:val="bottom"/>
          </w:tcPr>
          <w:p>
            <w:pPr>
              <w:jc w:val="center"/>
              <w:ind w:right="3"/>
              <w:spacing w:after="0"/>
              <w:rPr>
                <w:sz w:val="20"/>
                <w:szCs w:val="20"/>
                <w:color w:val="auto"/>
              </w:rPr>
            </w:pPr>
            <w:r>
              <w:rPr>
                <w:rFonts w:ascii="Arial" w:cs="Arial" w:eastAsia="Arial" w:hAnsi="Arial"/>
                <w:sz w:val="13"/>
                <w:szCs w:val="13"/>
                <w:b w:val="1"/>
                <w:bCs w:val="1"/>
                <w:color w:val="auto"/>
                <w:w w:val="95"/>
              </w:rPr>
              <w:t>2 Years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3 Years</w:t>
            </w:r>
          </w:p>
        </w:tc>
        <w:tc>
          <w:tcPr>
            <w:tcW w:w="540" w:type="dxa"/>
            <w:vAlign w:val="bottom"/>
          </w:tcPr>
          <w:p>
            <w:pPr>
              <w:jc w:val="center"/>
              <w:ind w:left="3"/>
              <w:spacing w:after="0"/>
              <w:rPr>
                <w:sz w:val="20"/>
                <w:szCs w:val="20"/>
                <w:color w:val="auto"/>
              </w:rPr>
            </w:pPr>
            <w:r>
              <w:rPr>
                <w:rFonts w:ascii="Arial" w:cs="Arial" w:eastAsia="Arial" w:hAnsi="Arial"/>
                <w:sz w:val="13"/>
                <w:szCs w:val="13"/>
                <w:b w:val="1"/>
                <w:bCs w:val="1"/>
                <w:color w:val="auto"/>
                <w:w w:val="96"/>
              </w:rPr>
              <w:t>Abstain</w:t>
            </w:r>
          </w:p>
        </w:tc>
      </w:tr>
      <w:tr>
        <w:trPr>
          <w:trHeight w:val="135"/>
        </w:trPr>
        <w:tc>
          <w:tcPr>
            <w:tcW w:w="21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recommends that you vote FOR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1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“Three  Years”  on  the  following</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8"/>
        </w:trPr>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proposal:</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53"/>
        </w:trPr>
        <w:tc>
          <w:tcPr>
            <w:tcW w:w="2160" w:type="dxa"/>
            <w:vAlign w:val="bottom"/>
            <w:gridSpan w:val="4"/>
          </w:tcPr>
          <w:p>
            <w:pPr>
              <w:spacing w:after="0"/>
              <w:rPr>
                <w:sz w:val="20"/>
                <w:szCs w:val="20"/>
                <w:color w:val="auto"/>
              </w:rPr>
            </w:pPr>
            <w:r>
              <w:rPr>
                <w:rFonts w:ascii="Arial" w:cs="Arial" w:eastAsia="Arial" w:hAnsi="Arial"/>
                <w:sz w:val="13"/>
                <w:szCs w:val="13"/>
                <w:color w:val="auto"/>
              </w:rPr>
              <w:t>7. An advisory vote on the frequency</w:t>
            </w:r>
          </w:p>
        </w:tc>
        <w:tc>
          <w:tcPr>
            <w:tcW w:w="720" w:type="dxa"/>
            <w:vAlign w:val="bottom"/>
          </w:tcPr>
          <w:p>
            <w:pPr>
              <w:jc w:val="center"/>
              <w:ind w:right="43"/>
              <w:spacing w:after="0"/>
              <w:rPr>
                <w:sz w:val="20"/>
                <w:szCs w:val="20"/>
                <w:color w:val="auto"/>
              </w:rPr>
            </w:pPr>
            <w:r>
              <w:rPr>
                <w:rFonts w:ascii="Arial" w:cs="Arial" w:eastAsia="Arial" w:hAnsi="Arial"/>
                <w:sz w:val="18"/>
                <w:szCs w:val="18"/>
                <w:color w:val="auto"/>
                <w:w w:val="79"/>
              </w:rPr>
              <w:t>o</w:t>
            </w:r>
          </w:p>
        </w:tc>
        <w:tc>
          <w:tcPr>
            <w:tcW w:w="560" w:type="dxa"/>
            <w:vAlign w:val="bottom"/>
          </w:tcPr>
          <w:p>
            <w:pPr>
              <w:jc w:val="center"/>
              <w:ind w:right="3"/>
              <w:spacing w:after="0"/>
              <w:rPr>
                <w:sz w:val="20"/>
                <w:szCs w:val="20"/>
                <w:color w:val="auto"/>
              </w:rPr>
            </w:pPr>
            <w:r>
              <w:rPr>
                <w:rFonts w:ascii="Arial" w:cs="Arial" w:eastAsia="Arial" w:hAnsi="Arial"/>
                <w:sz w:val="18"/>
                <w:szCs w:val="18"/>
                <w:color w:val="auto"/>
                <w:w w:val="79"/>
              </w:rPr>
              <w:t>o</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540" w:type="dxa"/>
            <w:vAlign w:val="bottom"/>
          </w:tcPr>
          <w:p>
            <w:pPr>
              <w:jc w:val="center"/>
              <w:ind w:left="3"/>
              <w:spacing w:after="0"/>
              <w:rPr>
                <w:sz w:val="20"/>
                <w:szCs w:val="20"/>
                <w:color w:val="auto"/>
              </w:rPr>
            </w:pPr>
            <w:r>
              <w:rPr>
                <w:rFonts w:ascii="Arial" w:cs="Arial" w:eastAsia="Arial" w:hAnsi="Arial"/>
                <w:sz w:val="18"/>
                <w:szCs w:val="18"/>
                <w:color w:val="auto"/>
                <w:w w:val="99"/>
              </w:rPr>
              <w:t>o</w:t>
            </w:r>
          </w:p>
        </w:tc>
      </w:tr>
      <w:tr>
        <w:trPr>
          <w:trHeight w:val="135"/>
        </w:trPr>
        <w:tc>
          <w:tcPr>
            <w:tcW w:w="2160" w:type="dxa"/>
            <w:vAlign w:val="bottom"/>
            <w:gridSpan w:val="4"/>
          </w:tcPr>
          <w:p>
            <w:pPr>
              <w:ind w:left="160"/>
              <w:spacing w:after="0" w:line="135" w:lineRule="exact"/>
              <w:rPr>
                <w:sz w:val="20"/>
                <w:szCs w:val="20"/>
                <w:color w:val="auto"/>
              </w:rPr>
            </w:pPr>
            <w:r>
              <w:rPr>
                <w:rFonts w:ascii="Arial" w:cs="Arial" w:eastAsia="Arial" w:hAnsi="Arial"/>
                <w:sz w:val="13"/>
                <w:szCs w:val="13"/>
                <w:color w:val="auto"/>
              </w:rPr>
              <w:t>of holding an advisory vote on</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2"/>
        </w:trPr>
        <w:tc>
          <w:tcPr>
            <w:tcW w:w="2160" w:type="dxa"/>
            <w:vAlign w:val="bottom"/>
            <w:gridSpan w:val="4"/>
          </w:tcPr>
          <w:p>
            <w:pPr>
              <w:ind w:left="160"/>
              <w:spacing w:after="0"/>
              <w:rPr>
                <w:sz w:val="20"/>
                <w:szCs w:val="20"/>
                <w:color w:val="auto"/>
              </w:rPr>
            </w:pPr>
            <w:r>
              <w:rPr>
                <w:rFonts w:ascii="Arial" w:cs="Arial" w:eastAsia="Arial" w:hAnsi="Arial"/>
                <w:sz w:val="13"/>
                <w:szCs w:val="13"/>
                <w:color w:val="auto"/>
              </w:rPr>
              <w:t>executive compensation</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70"/>
        </w:trPr>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jc w:val="center"/>
              <w:ind w:right="3"/>
              <w:spacing w:after="0"/>
              <w:rPr>
                <w:sz w:val="20"/>
                <w:szCs w:val="20"/>
                <w:color w:val="auto"/>
              </w:rPr>
            </w:pPr>
            <w:r>
              <w:rPr>
                <w:rFonts w:ascii="Arial" w:cs="Arial" w:eastAsia="Arial" w:hAnsi="Arial"/>
                <w:sz w:val="13"/>
                <w:szCs w:val="13"/>
                <w:b w:val="1"/>
                <w:bCs w:val="1"/>
                <w:color w:val="auto"/>
                <w:w w:val="95"/>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ind w:left="3"/>
              <w:spacing w:after="0"/>
              <w:rPr>
                <w:sz w:val="20"/>
                <w:szCs w:val="20"/>
                <w:color w:val="auto"/>
              </w:rPr>
            </w:pPr>
            <w:r>
              <w:rPr>
                <w:rFonts w:ascii="Arial" w:cs="Arial" w:eastAsia="Arial" w:hAnsi="Arial"/>
                <w:sz w:val="13"/>
                <w:szCs w:val="13"/>
                <w:b w:val="1"/>
                <w:bCs w:val="1"/>
                <w:color w:val="auto"/>
                <w:w w:val="96"/>
              </w:rPr>
              <w:t>Abstain</w:t>
            </w:r>
          </w:p>
        </w:tc>
      </w:tr>
      <w:tr>
        <w:trPr>
          <w:trHeight w:val="253"/>
        </w:trPr>
        <w:tc>
          <w:tcPr>
            <w:tcW w:w="2880" w:type="dxa"/>
            <w:vAlign w:val="bottom"/>
            <w:gridSpan w:val="5"/>
          </w:tcPr>
          <w:p>
            <w:pPr>
              <w:spacing w:after="0"/>
              <w:rPr>
                <w:sz w:val="20"/>
                <w:szCs w:val="20"/>
                <w:color w:val="auto"/>
              </w:rPr>
            </w:pPr>
            <w:r>
              <w:rPr>
                <w:rFonts w:ascii="Arial" w:cs="Arial" w:eastAsia="Arial" w:hAnsi="Arial"/>
                <w:sz w:val="13"/>
                <w:szCs w:val="13"/>
                <w:color w:val="auto"/>
              </w:rPr>
              <w:t>8. Proposal to approve a change in Directors’</w:t>
            </w:r>
          </w:p>
        </w:tc>
        <w:tc>
          <w:tcPr>
            <w:tcW w:w="560" w:type="dxa"/>
            <w:vAlign w:val="bottom"/>
          </w:tcPr>
          <w:p>
            <w:pPr>
              <w:jc w:val="center"/>
              <w:ind w:right="3"/>
              <w:spacing w:after="0"/>
              <w:rPr>
                <w:sz w:val="20"/>
                <w:szCs w:val="20"/>
                <w:color w:val="auto"/>
              </w:rPr>
            </w:pPr>
            <w:r>
              <w:rPr>
                <w:rFonts w:ascii="Arial" w:cs="Arial" w:eastAsia="Arial" w:hAnsi="Arial"/>
                <w:sz w:val="18"/>
                <w:szCs w:val="18"/>
                <w:color w:val="auto"/>
                <w:w w:val="79"/>
              </w:rPr>
              <w:t>o</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540" w:type="dxa"/>
            <w:vAlign w:val="bottom"/>
          </w:tcPr>
          <w:p>
            <w:pPr>
              <w:jc w:val="center"/>
              <w:ind w:left="3"/>
              <w:spacing w:after="0"/>
              <w:rPr>
                <w:sz w:val="20"/>
                <w:szCs w:val="20"/>
                <w:color w:val="auto"/>
              </w:rPr>
            </w:pPr>
            <w:r>
              <w:rPr>
                <w:rFonts w:ascii="Arial" w:cs="Arial" w:eastAsia="Arial" w:hAnsi="Arial"/>
                <w:sz w:val="18"/>
                <w:szCs w:val="18"/>
                <w:color w:val="auto"/>
                <w:w w:val="99"/>
              </w:rPr>
              <w:t>o</w:t>
            </w:r>
          </w:p>
        </w:tc>
      </w:tr>
      <w:tr>
        <w:trPr>
          <w:trHeight w:val="152"/>
        </w:trPr>
        <w:tc>
          <w:tcPr>
            <w:tcW w:w="1040" w:type="dxa"/>
            <w:vAlign w:val="bottom"/>
            <w:gridSpan w:val="2"/>
          </w:tcPr>
          <w:p>
            <w:pPr>
              <w:ind w:left="160"/>
              <w:spacing w:after="0"/>
              <w:rPr>
                <w:sz w:val="20"/>
                <w:szCs w:val="20"/>
                <w:color w:val="auto"/>
              </w:rPr>
            </w:pPr>
            <w:r>
              <w:rPr>
                <w:rFonts w:ascii="Arial" w:cs="Arial" w:eastAsia="Arial" w:hAnsi="Arial"/>
                <w:sz w:val="13"/>
                <w:szCs w:val="13"/>
                <w:color w:val="auto"/>
              </w:rPr>
              <w:t>Compensation</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spacing w:after="0" w:line="102" w:lineRule="exact"/>
        <w:rPr>
          <w:sz w:val="20"/>
          <w:szCs w:val="20"/>
          <w:color w:val="auto"/>
        </w:rPr>
      </w:pPr>
    </w:p>
    <w:p>
      <w:pPr>
        <w:ind w:right="69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w:t>
      </w:r>
      <w:r>
        <w:rPr>
          <w:rFonts w:ascii="Arial" w:cs="Arial" w:eastAsia="Arial" w:hAnsi="Arial"/>
          <w:sz w:val="13"/>
          <w:szCs w:val="13"/>
          <w:b w:val="1"/>
          <w:bCs w:val="1"/>
          <w:color w:val="auto"/>
        </w:rPr>
        <w:t xml:space="preserve"> </w:t>
      </w:r>
      <w:r>
        <w:rPr>
          <w:rFonts w:ascii="Arial" w:cs="Arial" w:eastAsia="Arial" w:hAnsi="Arial"/>
          <w:sz w:val="13"/>
          <w:szCs w:val="13"/>
          <w:color w:val="auto"/>
        </w:rPr>
        <w:t>or any adjournment thereof.</w:t>
      </w:r>
    </w:p>
    <w:p>
      <w:pPr>
        <w:spacing w:after="0" w:line="329" w:lineRule="exact"/>
        <w:rPr>
          <w:sz w:val="20"/>
          <w:szCs w:val="20"/>
          <w:color w:val="auto"/>
        </w:rPr>
      </w:pPr>
    </w:p>
    <w:p>
      <w:pPr>
        <w:sectPr>
          <w:pgSz w:w="11900" w:h="16838" w:orient="portrait"/>
          <w:cols w:equalWidth="0" w:num="3">
            <w:col w:w="3920" w:space="320"/>
            <w:col w:w="760" w:space="500"/>
            <w:col w:w="4719"/>
          </w:cols>
          <w:pgMar w:left="240" w:top="419" w:right="1440"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Please sign exactly as your name(s) appear(s) hereon. When signing as attorney,</w:t>
      </w:r>
    </w:p>
    <w:p>
      <w:pPr>
        <w:ind w:left="540"/>
        <w:spacing w:after="0" w:line="216" w:lineRule="auto"/>
        <w:rPr>
          <w:sz w:val="20"/>
          <w:szCs w:val="20"/>
          <w:color w:val="auto"/>
        </w:rPr>
      </w:pPr>
      <w:r>
        <w:rPr>
          <w:rFonts w:ascii="Arial" w:cs="Arial" w:eastAsia="Arial" w:hAnsi="Arial"/>
          <w:sz w:val="13"/>
          <w:szCs w:val="13"/>
          <w:color w:val="auto"/>
        </w:rPr>
        <w:t>executor, administrator, or other fiduciary, please give full title as such. Joint owners</w:t>
      </w:r>
    </w:p>
    <w:p>
      <w:pPr>
        <w:ind w:left="540"/>
        <w:spacing w:after="0" w:line="217" w:lineRule="auto"/>
        <w:rPr>
          <w:sz w:val="20"/>
          <w:szCs w:val="20"/>
          <w:color w:val="auto"/>
        </w:rPr>
      </w:pPr>
      <w:r>
        <w:rPr>
          <w:rFonts w:ascii="Arial" w:cs="Arial" w:eastAsia="Arial" w:hAnsi="Arial"/>
          <w:sz w:val="13"/>
          <w:szCs w:val="13"/>
          <w:color w:val="auto"/>
        </w:rPr>
        <w:t>should each sign personally. All holders must sign. If a corporation or partnership,</w:t>
      </w:r>
    </w:p>
    <w:p>
      <w:pPr>
        <w:ind w:left="540"/>
        <w:spacing w:after="0"/>
        <w:rPr>
          <w:sz w:val="20"/>
          <w:szCs w:val="20"/>
          <w:color w:val="auto"/>
        </w:rPr>
      </w:pPr>
      <w:r>
        <w:rPr>
          <w:rFonts w:ascii="Arial" w:cs="Arial" w:eastAsia="Arial" w:hAnsi="Arial"/>
          <w:sz w:val="13"/>
          <w:szCs w:val="13"/>
          <w:color w:val="auto"/>
        </w:rPr>
        <w:t>please sign in full corporate or partnership name, by authorized officer.</w:t>
      </w:r>
    </w:p>
    <w:p>
      <w:pPr>
        <w:spacing w:after="0" w:line="200" w:lineRule="exact"/>
        <w:rPr>
          <w:sz w:val="20"/>
          <w:szCs w:val="20"/>
          <w:color w:val="auto"/>
        </w:rPr>
      </w:pPr>
    </w:p>
    <w:p>
      <w:pPr>
        <w:spacing w:after="0" w:line="258" w:lineRule="exact"/>
        <w:rPr>
          <w:sz w:val="20"/>
          <w:szCs w:val="20"/>
          <w:color w:val="auto"/>
        </w:rPr>
      </w:pPr>
    </w:p>
    <w:p>
      <w:pPr>
        <w:ind w:left="540"/>
        <w:spacing w:after="0"/>
        <w:tabs>
          <w:tab w:leader="none" w:pos="3020" w:val="left"/>
          <w:tab w:leader="none" w:pos="6040" w:val="left"/>
          <w:tab w:leader="none" w:pos="83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M32050-P07803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137160</wp:posOffset>
            </wp:positionV>
            <wp:extent cx="6393180" cy="5552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93180" cy="55524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left="740" w:right="1720"/>
        <w:spacing w:after="0" w:line="571" w:lineRule="auto"/>
        <w:rPr>
          <w:sz w:val="20"/>
          <w:szCs w:val="20"/>
          <w:color w:val="auto"/>
        </w:rPr>
      </w:pPr>
      <w:r>
        <w:rPr>
          <w:rFonts w:ascii="Arial" w:cs="Arial" w:eastAsia="Arial" w:hAnsi="Arial"/>
          <w:sz w:val="18"/>
          <w:szCs w:val="18"/>
          <w:b w:val="1"/>
          <w:bCs w:val="1"/>
          <w:color w:val="auto"/>
        </w:rPr>
        <w:t>ALTISOURCE PORTFOLIO SOLUTIONS S.A. 291, route d’Arlon, L-1150 Luxembourg City, Grand Duchy of Luxembourg REVOCABLE PROXY</w:t>
      </w:r>
    </w:p>
    <w:p>
      <w:pPr>
        <w:spacing w:after="0" w:line="20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b w:val="1"/>
          <w:bCs w:val="1"/>
          <w:color w:val="auto"/>
        </w:rPr>
        <w:t>THIS PROXY IS SOLICITED ON BEHALF OF THE BOARD OF DIRECTORS OF ALTISOURCE PORTFOLIO SOLUTIONS S.A. FOR USE ONLY AT THE ANNUAL MEETING OF SHAREHOLDERS TO BE HELD ON MAY 18, 2011, AND AT ANY ADJOURNMENT THEREOF.</w:t>
      </w:r>
    </w:p>
    <w:p>
      <w:pPr>
        <w:spacing w:after="0" w:line="151" w:lineRule="exact"/>
        <w:rPr>
          <w:sz w:val="20"/>
          <w:szCs w:val="20"/>
          <w:color w:val="auto"/>
        </w:rPr>
      </w:pPr>
    </w:p>
    <w:p>
      <w:pPr>
        <w:jc w:val="both"/>
        <w:ind w:left="500"/>
        <w:spacing w:after="0" w:line="237" w:lineRule="auto"/>
        <w:rPr>
          <w:sz w:val="20"/>
          <w:szCs w:val="20"/>
          <w:color w:val="auto"/>
        </w:rPr>
      </w:pPr>
      <w:r>
        <w:rPr>
          <w:rFonts w:ascii="Arial" w:cs="Arial" w:eastAsia="Arial" w:hAnsi="Arial"/>
          <w:sz w:val="18"/>
          <w:szCs w:val="18"/>
          <w:color w:val="auto"/>
        </w:rPr>
        <w:t>The undersigned hereby appoints William C. Erbey, William B. Shepro and Kevin J. Wilcox, or any of them, as proxy, with full powers of substitution, and hereby authorizes them to represent and vote, as designated on the reverse side, all the shares of common stock (“Common Stock”) of Altisource Portfolio Solutions S.A. (the “Company”) held of record by the undersigned on March 15, 2011 at the Annual Meeting of Shareholders to be held at the offices of the Company located at 291, route d’Arlon, L-1150 Luxembourg City, Grand Duchy of Luxembourg on Wednesday, May 18, 2011, at 10:00 a.m., Central European Time and at any adjournment thereof. Shares of Common Stock of the Company will be voted as specified.</w:t>
      </w:r>
    </w:p>
    <w:p>
      <w:pPr>
        <w:spacing w:after="0" w:line="176" w:lineRule="exact"/>
        <w:rPr>
          <w:sz w:val="20"/>
          <w:szCs w:val="20"/>
          <w:color w:val="auto"/>
        </w:rPr>
      </w:pPr>
    </w:p>
    <w:p>
      <w:pPr>
        <w:jc w:val="both"/>
        <w:ind w:left="500"/>
        <w:spacing w:after="0" w:line="236" w:lineRule="auto"/>
        <w:rPr>
          <w:sz w:val="20"/>
          <w:szCs w:val="20"/>
          <w:color w:val="auto"/>
        </w:rPr>
      </w:pPr>
      <w:r>
        <w:rPr>
          <w:rFonts w:ascii="Arial" w:cs="Arial" w:eastAsia="Arial" w:hAnsi="Arial"/>
          <w:sz w:val="18"/>
          <w:szCs w:val="18"/>
          <w:color w:val="auto"/>
        </w:rPr>
        <w:t>If you execute and return this proxy without specific voting instructions, this proxy will be voted FOR the election of each of the Board of Directors’ nominees to the Board of Directors, FOR the ratification of the appointment of Deloitte &amp; Touche LLP and Deloitte S. A. (together “Deloitte”) as the independent registered certified public accounting firm, FOR the proposal to approve the Directors’ report (“rapports de gestion”) on the Luxembourg statutory accounts for the year ended December 31, 2010, FOR the proposal to approve the Luxembourg statutory accounts for the year ended December 31, 2010 and to allocate the results of the year ended December 31, 2010, FOR the proposal to approve the discharge of each of the current and past Directors of the Company for the performance of their mandate during the year ended December 31, 2010, FOR an advisory vote on executive compensation, FOR “Three Years” to be the frequency of holding an advisory vote on executive compensation and FOR the approval of a change in Directors’ compensation. You may revoke this proxy at any time prior to the time it is voted at the Annual Meeting.</w:t>
      </w:r>
    </w:p>
    <w:p>
      <w:pPr>
        <w:spacing w:after="0" w:line="166" w:lineRule="exact"/>
        <w:rPr>
          <w:sz w:val="20"/>
          <w:szCs w:val="20"/>
          <w:color w:val="auto"/>
        </w:rPr>
      </w:pPr>
    </w:p>
    <w:p>
      <w:pPr>
        <w:jc w:val="both"/>
        <w:ind w:left="500" w:right="20"/>
        <w:spacing w:after="0"/>
        <w:rPr>
          <w:sz w:val="20"/>
          <w:szCs w:val="20"/>
          <w:color w:val="auto"/>
        </w:rPr>
      </w:pPr>
      <w:r>
        <w:rPr>
          <w:rFonts w:ascii="Arial" w:cs="Arial" w:eastAsia="Arial" w:hAnsi="Arial"/>
          <w:sz w:val="18"/>
          <w:szCs w:val="18"/>
          <w:color w:val="auto"/>
        </w:rPr>
        <w:t>The undersigned hereby acknowledges receipt of the Notice of Annual Meeting of Shareholders of Altisource Portfolio Solutions S.A. to be held on May 18, 2011, or any adjournment thereof, a Proxy Statement for the Annual Meeting and the 2010 Annual Report to Shareholders of the Company prior to the signing of this proxy.</w:t>
      </w:r>
    </w:p>
    <w:p>
      <w:pPr>
        <w:spacing w:after="0" w:line="200" w:lineRule="exact"/>
        <w:rPr>
          <w:sz w:val="20"/>
          <w:szCs w:val="20"/>
          <w:color w:val="auto"/>
        </w:rPr>
      </w:pPr>
    </w:p>
    <w:p>
      <w:pPr>
        <w:spacing w:after="0" w:line="400"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323"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59"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0240"/>
      </w:cols>
      <w:pgMar w:left="240" w:top="419"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o"/>
      <w:numFmt w:val="bullet"/>
      <w:start w:val="1"/>
    </w:lvl>
    <w:lvl w:ilvl="1">
      <w:lvlJc w:val="left"/>
      <w:lvlText w:val="(%2)"/>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4"/>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3"/>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0"/>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Roman"/>
      <w:start w:val="3"/>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7"/>
    </w:lvl>
  </w:abstractNum>
  <w:abstractNum w:abstractNumId="30">
    <w:nsid w:val="737B8DDC"/>
    <w:multiLevelType w:val="hybridMultilevel"/>
    <w:lvl w:ilvl="0">
      <w:lvlJc w:val="left"/>
      <w:lvlText w:val="%1."/>
      <w:numFmt w:val="decimal"/>
      <w:start w:val="1"/>
    </w:lvl>
    <w:lvl w:ilvl="1">
      <w:lvlJc w:val="left"/>
      <w:lvlText w:val="%2)"/>
      <w:numFmt w:val="decimal"/>
      <w:start w:val="1"/>
    </w:lvl>
  </w:abstractNum>
  <w:abstractNum w:abstractNumId="31">
    <w:nsid w:val="6CEAF087"/>
    <w:multiLevelType w:val="hybridMultilevel"/>
    <w:lvl w:ilvl="0">
      <w:lvlJc w:val="left"/>
      <w:lvlText w:val="%1."/>
      <w:numFmt w:val="decimal"/>
      <w:start w:val="2"/>
    </w:lvl>
    <w:lvl w:ilvl="1">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2019-12-11T07:25:12Z</dcterms:created>
  <dcterms:modified xsi:type="dcterms:W3CDTF">2019-12-11T07:25:12Z</dcterms:modified>
</cp:coreProperties>
</file>