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-199390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86" w:lineRule="exact"/>
        <w:rPr>
          <w:sz w:val="24"/>
          <w:szCs w:val="24"/>
          <w:color w:val="auto"/>
        </w:rPr>
      </w:pPr>
    </w:p>
    <w:p>
      <w:pPr>
        <w:ind w:left="960" w:hanging="587"/>
        <w:spacing w:after="0"/>
        <w:tabs>
          <w:tab w:leader="none" w:pos="9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-248285</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 the quarterly period ended March 31, 2016</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380" w:right="1300" w:hanging="3967"/>
        <w:spacing w:after="0" w:line="291" w:lineRule="auto"/>
        <w:tabs>
          <w:tab w:leader="none" w:pos="957"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128905</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ALTISOURCE PORTFOLIO SOLUTIONS S.A.</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163830</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p>
      <w:pPr>
        <w:spacing w:after="0" w:line="200" w:lineRule="exact"/>
        <w:rPr>
          <w:sz w:val="24"/>
          <w:szCs w:val="24"/>
          <w:color w:val="auto"/>
        </w:rPr>
      </w:pPr>
    </w:p>
    <w:p>
      <w:pPr>
        <w:spacing w:after="0" w:line="215"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3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98-0554932</w:t>
      </w:r>
    </w:p>
    <w:p>
      <w:pPr>
        <w:spacing w:after="0" w:line="90" w:lineRule="exact"/>
        <w:rPr>
          <w:sz w:val="24"/>
          <w:szCs w:val="24"/>
          <w:color w:val="auto"/>
        </w:rPr>
      </w:pPr>
    </w:p>
    <w:p>
      <w:pPr>
        <w:sectPr>
          <w:pgSz w:w="11900" w:h="16838" w:orient="portrait"/>
          <w:cols w:equalWidth="0" w:num="2">
            <w:col w:w="7400" w:space="720"/>
            <w:col w:w="3300"/>
          </w:cols>
          <w:pgMar w:left="240" w:top="513" w:right="2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20" w:space="720"/>
            <w:col w:w="4180"/>
          </w:cols>
          <w:pgMar w:left="240" w:top="513"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 avenue Monterey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L-2163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ind w:left="5500" w:hanging="431"/>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24 69 79 00</w:t>
      </w:r>
    </w:p>
    <w:p>
      <w:pPr>
        <w:spacing w:after="0" w:line="27" w:lineRule="exact"/>
        <w:rPr>
          <w:rFonts w:ascii="Arial" w:cs="Arial" w:eastAsia="Arial" w:hAnsi="Arial"/>
          <w:sz w:val="18"/>
          <w:szCs w:val="18"/>
          <w:b w:val="1"/>
          <w:bCs w:val="1"/>
          <w:color w:val="auto"/>
        </w:rPr>
      </w:pPr>
    </w:p>
    <w:p>
      <w:pPr>
        <w:ind w:left="4660"/>
        <w:spacing w:after="0"/>
        <w:rPr>
          <w:rFonts w:ascii="Arial" w:cs="Arial" w:eastAsia="Arial" w:hAnsi="Arial"/>
          <w:sz w:val="18"/>
          <w:szCs w:val="18"/>
          <w:b w:val="1"/>
          <w:bCs w:val="1"/>
          <w:color w:val="auto"/>
        </w:rPr>
      </w:pPr>
      <w:r>
        <w:rPr>
          <w:rFonts w:ascii="Arial" w:cs="Arial" w:eastAsia="Arial" w:hAnsi="Arial"/>
          <w:sz w:val="16"/>
          <w:szCs w:val="16"/>
          <w:color w:val="auto"/>
        </w:rPr>
        <w:t>(Registrant’s telephone number)</w:t>
      </w:r>
    </w:p>
    <w:p>
      <w:pPr>
        <w:spacing w:after="0" w:line="211" w:lineRule="exact"/>
        <w:rPr>
          <w:sz w:val="24"/>
          <w:szCs w:val="24"/>
          <w:color w:val="auto"/>
        </w:rPr>
      </w:pPr>
    </w:p>
    <w:p>
      <w:pPr>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54"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p>
    <w:p>
      <w:pPr>
        <w:spacing w:after="0" w:line="1"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Arial" w:cs="Arial" w:eastAsia="Arial" w:hAnsi="Arial"/>
          <w:sz w:val="16"/>
          <w:szCs w:val="16"/>
          <w:b w:val="1"/>
          <w:bCs w:val="1"/>
          <w:color w:val="auto"/>
        </w:rPr>
        <w:t>o</w:t>
      </w:r>
    </w:p>
    <w:p>
      <w:pPr>
        <w:spacing w:after="0" w:line="186"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513" w:right="239" w:bottom="1440" w:gutter="0" w:footer="0" w:header="0"/>
          <w:type w:val="continuous"/>
        </w:sectPr>
      </w:pPr>
    </w:p>
    <w:p>
      <w:pPr>
        <w:spacing w:after="0" w:line="89" w:lineRule="exact"/>
        <w:rPr>
          <w:sz w:val="24"/>
          <w:szCs w:val="24"/>
          <w:color w:val="auto"/>
        </w:rPr>
      </w:pPr>
    </w:p>
    <w:p>
      <w:pPr>
        <w:ind w:left="1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96" w:lineRule="exact"/>
        <w:rPr>
          <w:sz w:val="24"/>
          <w:szCs w:val="24"/>
          <w:color w:val="auto"/>
        </w:rPr>
      </w:pPr>
    </w:p>
    <w:p>
      <w:pPr>
        <w:sectPr>
          <w:pgSz w:w="11900" w:h="16838" w:orient="portrait"/>
          <w:cols w:equalWidth="0" w:num="2">
            <w:col w:w="7520" w:space="720"/>
            <w:col w:w="3180"/>
          </w:cols>
          <w:pgMar w:left="240" w:top="513" w:right="239" w:bottom="1440" w:gutter="0" w:footer="0" w:header="0"/>
          <w:type w:val="continuous"/>
        </w:sectPr>
      </w:pPr>
    </w:p>
    <w:p>
      <w:pPr>
        <w:ind w:left="16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200" w:lineRule="exact"/>
        <w:rPr>
          <w:sz w:val="24"/>
          <w:szCs w:val="24"/>
          <w:color w:val="auto"/>
        </w:rPr>
      </w:pPr>
    </w:p>
    <w:p>
      <w:pPr>
        <w:sectPr>
          <w:pgSz w:w="11900" w:h="16838" w:orient="portrait"/>
          <w:cols w:equalWidth="0" w:num="2">
            <w:col w:w="7520" w:space="720"/>
            <w:col w:w="3180"/>
          </w:cols>
          <w:pgMar w:left="240" w:top="513" w:right="239" w:bottom="1440" w:gutter="0" w:footer="0" w:header="0"/>
          <w:type w:val="continuous"/>
        </w:sectPr>
      </w:pP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As of April 22, 2016, there were 18,479,374 outstanding shares of the registrant’s shares of beneficial interest (excluding 6,933,374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195580</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109855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2380" w:type="dxa"/>
            <w:vAlign w:val="bottom"/>
            <w:tcBorders>
              <w:bottom w:val="single" w:sz="8" w:color="0000EE"/>
            </w:tcBorders>
            <w:gridSpan w:val="10"/>
          </w:tcPr>
          <w:p>
            <w:pPr>
              <w:spacing w:after="0" w:line="189"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PART I — Financial Information</w:t>
              </w:r>
            </w:hyperlink>
          </w:p>
        </w:tc>
        <w:tc>
          <w:tcPr>
            <w:tcW w:w="7960" w:type="dxa"/>
            <w:vAlign w:val="bottom"/>
            <w:gridSpan w:val="14"/>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85"/>
        </w:trPr>
        <w:tc>
          <w:tcPr>
            <w:tcW w:w="920" w:type="dxa"/>
            <w:vAlign w:val="bottom"/>
          </w:tcPr>
          <w:p>
            <w:pPr>
              <w:spacing w:after="0"/>
              <w:rPr>
                <w:sz w:val="24"/>
                <w:szCs w:val="24"/>
                <w:color w:val="auto"/>
              </w:rPr>
            </w:pPr>
          </w:p>
        </w:tc>
        <w:tc>
          <w:tcPr>
            <w:tcW w:w="460" w:type="dxa"/>
            <w:vAlign w:val="bottom"/>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340" w:type="dxa"/>
            <w:vAlign w:val="bottom"/>
            <w:gridSpan w:val="3"/>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3">
              <w:r>
                <w:rPr>
                  <w:rFonts w:ascii="Arial" w:cs="Arial" w:eastAsia="Arial" w:hAnsi="Arial"/>
                  <w:sz w:val="18"/>
                  <w:szCs w:val="18"/>
                  <w:color w:val="0000EE"/>
                </w:rPr>
                <w:t>Interim Condensed Consolidated Financial Statements (Unaudited)</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700" w:type="dxa"/>
            <w:vAlign w:val="bottom"/>
            <w:tcBorders>
              <w:top w:val="single" w:sz="8" w:color="0000EE"/>
            </w:tcBorders>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3560" w:type="dxa"/>
            <w:vAlign w:val="bottom"/>
            <w:gridSpan w:val="3"/>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 xml:space="preserve">Condensed Consolidated Statements of Operations </w:t>
              </w:r>
            </w:hyperlink>
            <w:r>
              <w:rPr>
                <w:rFonts w:ascii="Arial" w:cs="Arial" w:eastAsia="Arial" w:hAnsi="Arial"/>
                <w:sz w:val="18"/>
                <w:szCs w:val="18"/>
                <w:color w:val="0000FF"/>
              </w:rPr>
              <w:t>and</w:t>
            </w:r>
            <w:r>
              <w:rPr>
                <w:rFonts w:ascii="Arial" w:cs="Arial" w:eastAsia="Arial" w:hAnsi="Arial"/>
                <w:sz w:val="18"/>
                <w:szCs w:val="18"/>
                <w:color w:val="0000EE"/>
              </w:rPr>
              <w:t xml:space="preserve"> </w:t>
            </w:r>
            <w:r>
              <w:rPr>
                <w:rFonts w:ascii="Arial" w:cs="Arial" w:eastAsia="Arial" w:hAnsi="Arial"/>
                <w:sz w:val="18"/>
                <w:szCs w:val="18"/>
                <w:color w:val="0000FF"/>
              </w:rPr>
              <w:t>Comprehensive Income</w:t>
            </w:r>
          </w:p>
        </w:tc>
        <w:tc>
          <w:tcPr>
            <w:tcW w:w="102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FF"/>
            </w:tcBorders>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00" w:type="dxa"/>
            <w:vAlign w:val="bottom"/>
            <w:gridSpan w:val="9"/>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Equity</w:t>
              </w:r>
            </w:hyperlink>
          </w:p>
        </w:tc>
        <w:tc>
          <w:tcPr>
            <w:tcW w:w="2020" w:type="dxa"/>
            <w:vAlign w:val="bottom"/>
            <w:gridSpan w:val="5"/>
          </w:tcPr>
          <w:p>
            <w:pPr>
              <w:spacing w:after="0"/>
              <w:rPr>
                <w:sz w:val="21"/>
                <w:szCs w:val="21"/>
                <w:color w:val="auto"/>
              </w:rPr>
            </w:pPr>
          </w:p>
        </w:tc>
        <w:tc>
          <w:tcPr>
            <w:tcW w:w="2540" w:type="dxa"/>
            <w:vAlign w:val="bottom"/>
            <w:gridSpan w:val="2"/>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2</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Item 3</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Item 4</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1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PART II — Other Information</w:t>
              </w:r>
            </w:hyperlink>
          </w:p>
        </w:tc>
        <w:tc>
          <w:tcPr>
            <w:tcW w:w="8160" w:type="dxa"/>
            <w:vAlign w:val="bottom"/>
            <w:gridSpan w:val="15"/>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Item 1</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00" w:type="dxa"/>
            <w:vAlign w:val="bottom"/>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1A</w:t>
              </w:r>
            </w:hyperlink>
          </w:p>
        </w:tc>
        <w:tc>
          <w:tcPr>
            <w:tcW w:w="8620" w:type="dxa"/>
            <w:vAlign w:val="bottom"/>
            <w:gridSpan w:val="18"/>
          </w:tcPr>
          <w:p>
            <w:pPr>
              <w:ind w:left="220"/>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Item 2</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60" w:type="dxa"/>
            <w:vAlign w:val="bottom"/>
            <w:gridSpan w:val="2"/>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Item 6</w:t>
              </w:r>
            </w:hyperlink>
          </w:p>
        </w:tc>
        <w:tc>
          <w:tcPr>
            <w:tcW w:w="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720" w:type="dxa"/>
            <w:vAlign w:val="bottom"/>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723"/>
        </w:trPr>
        <w:tc>
          <w:tcPr>
            <w:tcW w:w="9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gridSpan w:val="11"/>
          </w:tcPr>
          <w:p>
            <w:pPr>
              <w:ind w:left="39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3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159,705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179,327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Available for sale securities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30,417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26,721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21,751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306,101</w:t>
            </w:r>
          </w:p>
        </w:tc>
      </w:tr>
      <w:tr>
        <w:trPr>
          <w:trHeight w:val="243"/>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82,801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82,801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184,792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3,619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13,153</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715,594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721,798</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0"/>
        </w:trPr>
        <w:tc>
          <w:tcPr>
            <w:tcW w:w="8340" w:type="dxa"/>
            <w:vAlign w:val="bottom"/>
            <w:tcBorders>
              <w:bottom w:val="single" w:sz="8" w:color="CCEEFF"/>
            </w:tcBorders>
            <w:shd w:val="clear" w:color="auto" w:fill="CCEEFF"/>
          </w:tcPr>
          <w:p>
            <w:pPr>
              <w:ind w:left="4620"/>
              <w:spacing w:after="0"/>
              <w:rPr>
                <w:sz w:val="20"/>
                <w:szCs w:val="20"/>
                <w:color w:val="auto"/>
              </w:rPr>
            </w:pPr>
            <w:r>
              <w:rPr>
                <w:rFonts w:ascii="Arial" w:cs="Arial" w:eastAsia="Arial" w:hAnsi="Arial"/>
                <w:sz w:val="18"/>
                <w:szCs w:val="18"/>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91,871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5,945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18,276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16,266</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129,142</w:t>
            </w:r>
          </w:p>
        </w:tc>
      </w:tr>
      <w:tr>
        <w:trPr>
          <w:trHeight w:val="243"/>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522,233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14,821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18,153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contingencies and regulatory matters (Note 22)</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Common stock ($1.00 par value; 25,413 shares authorized and issued and 18,603 outstanding as of March 31,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2016; 25,413 shares authorized and issued and 19,021 outstanding as of December 31, 2015)</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98,198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96,321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385,452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369,270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Treasury stock, at cost (6,810 shares as of March 31, 2016 and 6,392 shares as of December 31, 2015)</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(440,026)</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Altisource equity</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50,978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1,292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52,270</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715,594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721,798</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48"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250,132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240,482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168,863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172,826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81,269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67,656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52,406</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than temporary impairment loss on securities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21,085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18,494</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18,855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20,172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20,040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securities, net of income tax expense of $289 and $0</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8"/>
                <w:szCs w:val="18"/>
                <w:color w:val="auto"/>
              </w:rPr>
              <w:t>Comprehensive income attributable to Altisource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19,193</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3080"/>
              <w:spacing w:after="0"/>
              <w:rPr>
                <w:sz w:val="20"/>
                <w:szCs w:val="20"/>
                <w:color w:val="auto"/>
              </w:rPr>
            </w:pPr>
            <w:r>
              <w:rPr>
                <w:rFonts w:ascii="Arial" w:cs="Arial" w:eastAsia="Arial" w:hAnsi="Arial"/>
                <w:sz w:val="18"/>
                <w:szCs w:val="18"/>
                <w:i w:val="1"/>
                <w:iCs w:val="1"/>
                <w:color w:val="auto"/>
                <w:w w:val="96"/>
              </w:rPr>
              <w:t>See accompanying notes to condensed consolidated financial statements</w:t>
            </w:r>
            <w:r>
              <w:rPr>
                <w:rFonts w:ascii="Arial" w:cs="Arial" w:eastAsia="Arial" w:hAnsi="Arial"/>
                <w:sz w:val="18"/>
                <w:szCs w:val="18"/>
                <w:color w:val="auto"/>
                <w:w w:val="96"/>
              </w:rPr>
              <w:t>.</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Altisource Equity</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3"/>
                <w:szCs w:val="13"/>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08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stock,</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208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04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41,443</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29"/>
        </w:trPr>
        <w:tc>
          <w:tcPr>
            <w:tcW w:w="2420" w:type="dxa"/>
            <w:vAlign w:val="bottom"/>
          </w:tcPr>
          <w:p>
            <w:pPr>
              <w:ind w:left="200"/>
              <w:spacing w:after="0"/>
              <w:rPr>
                <w:sz w:val="20"/>
                <w:szCs w:val="20"/>
                <w:color w:val="auto"/>
              </w:rPr>
            </w:pPr>
            <w:r>
              <w:rPr>
                <w:rFonts w:ascii="Arial" w:cs="Arial" w:eastAsia="Arial" w:hAnsi="Arial"/>
                <w:sz w:val="18"/>
                <w:szCs w:val="18"/>
                <w:color w:val="auto"/>
                <w:w w:val="91"/>
              </w:rPr>
              <w:t>Other comprehensive income,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60"/>
              <w:spacing w:after="0"/>
              <w:rPr>
                <w:sz w:val="20"/>
                <w:szCs w:val="20"/>
                <w:color w:val="auto"/>
              </w:rPr>
            </w:pPr>
            <w:r>
              <w:rPr>
                <w:rFonts w:ascii="Arial" w:cs="Arial" w:eastAsia="Arial" w:hAnsi="Arial"/>
                <w:sz w:val="18"/>
                <w:szCs w:val="18"/>
                <w:color w:val="auto"/>
              </w:rPr>
              <w:t>net of tax</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Distributions to non-controlling</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holders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expense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420" w:type="dxa"/>
            <w:vAlign w:val="bottom"/>
          </w:tcPr>
          <w:p>
            <w:pPr>
              <w:ind w:left="40"/>
              <w:spacing w:after="0"/>
              <w:rPr>
                <w:sz w:val="20"/>
                <w:szCs w:val="20"/>
                <w:color w:val="auto"/>
              </w:rPr>
            </w:pPr>
            <w:r>
              <w:rPr>
                <w:rFonts w:ascii="Arial" w:cs="Arial" w:eastAsia="Arial" w:hAnsi="Arial"/>
                <w:sz w:val="18"/>
                <w:szCs w:val="18"/>
                <w:color w:val="auto"/>
              </w:rPr>
              <w:t>Balance, March 31, 2015</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91,952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369,964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(446,550)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41,881</w:t>
            </w:r>
          </w:p>
        </w:tc>
        <w:tc>
          <w:tcPr>
            <w:tcW w:w="0" w:type="dxa"/>
            <w:vAlign w:val="bottom"/>
          </w:tcPr>
          <w:p>
            <w:pPr>
              <w:spacing w:after="0"/>
              <w:rPr>
                <w:sz w:val="1"/>
                <w:szCs w:val="1"/>
                <w:color w:val="auto"/>
              </w:rPr>
            </w:pPr>
          </w:p>
        </w:tc>
      </w:tr>
      <w:tr>
        <w:trPr>
          <w:trHeight w:val="230"/>
        </w:trPr>
        <w:tc>
          <w:tcPr>
            <w:tcW w:w="24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96,321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369,270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(440,026)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52,270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18,494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18,892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Other comprehensive income,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of tax</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7"/>
              </w:rPr>
              <w:t>Distributions to non-controlling</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interest holders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(11,691)</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2016</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98,198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385,452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61,965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48"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r>
      <w:tr>
        <w:trPr>
          <w:trHeight w:val="258"/>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43"/>
        </w:trPr>
        <w:tc>
          <w:tcPr>
            <w:tcW w:w="8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18,892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4,408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8,826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than temporary impairment loss on HLSS securities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3,285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the fair value of acquisition related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disposal of 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2,413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(27,559)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29,034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premises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 of available for sale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(29,966)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(35,397)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(33,901)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(5,899)</w:t>
            </w:r>
          </w:p>
        </w:tc>
      </w:tr>
      <w:tr>
        <w:trPr>
          <w:trHeight w:val="169"/>
        </w:trPr>
        <w:tc>
          <w:tcPr>
            <w:tcW w:w="85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(55,738)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179,327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161,361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8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159,705</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105,623</w:t>
            </w:r>
          </w:p>
        </w:tc>
      </w:tr>
      <w:tr>
        <w:trPr>
          <w:trHeight w:val="203"/>
        </w:trPr>
        <w:tc>
          <w:tcPr>
            <w:tcW w:w="8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paid,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1,520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payables for purchases of premises and equipment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5" w:right="239" w:bottom="105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057"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Portfolio Solutions S.A., together with its subsidiaries (which may be referred to as “Altisource,” the “Company,” “we,” “us” or “our”), is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incorporated under the laws of Luxembourg and are publicly traded on the NASDAQ Global Select Market under the symbol “ASPS.”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 our operations through three reportable segments: Mortgage Services, Financial Services and Technology Services. In addition, we report our corporate related expenditures and eliminations separately (see Note 23 for a description of our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 Certain prior year amounts have been reclassified to conform to current year presentation.</w:t>
      </w:r>
    </w:p>
    <w:p>
      <w:pPr>
        <w:spacing w:after="0" w:line="18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Altisource consolidates three cooperative entities which are managed by the Mortgage Partnership of America, L.L.C. (“MPA”), a wholly-owned subsidiary of Altisource, Best Partners Mortgage Cooperative, Inc., doing business as the Lenders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mortgage cooperative (“Lenders One”), Best Partners Mortgage Brokers Cooperative, Inc., doing business as the Wholesale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mortgage cooperative (“Wholesale One”) and Best Partners Residential Investor Cooperative, Inc., doing business as the Residential Investor One™ cooperative (“Residential Investor One”). MPA provides services to Lenders One under a management agreement that ends on December 31, 2025 and to Wholesale One and Residential Investor One under management agreements that end on July 8, 2039 (with automatic renewals for three successive five-year periods) and March 12, 2040 (with automatic renewals for three successive five-year periods), respectively.</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management agreements between MPA and Lenders One, Wholesale One and Residential Investor One, pursuant to which MPA is the management company, represent variable interests in variable interest entities. MPA is the primary beneficiary of Lenders One, Wholesale One and Residential Investor One as it has the power to direct the activities that most significantly impact each of these cooperatives’ economic performance and the right to receive benefits from each of these cooperatives. As a result, Lenders One, Wholesale One and Residential Investor One are presented in the accompanying condensed consolidated financial statements on a consolidated basis with the interests of the members reflected as non-controlling interests. As of March 31, 2016, Lenders One had total assets of $2.1 million and total liabilities of $1.0 million. As of December 31, 2015, Lenders One had total assets of $4.9 million and total liabilities of $3.7 million. As of March 31, 2016 and December 31, 2015, Wholesale One and Residential Investor One each had less than $0.1 million in total assets and less than $0.1 million in total liabilities.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2015, as filed with the SEC on March 15,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On January 1, 2016, Financial Accounting Standards Board (“FASB”) Accounting Standards Update (“ASU”) No. 2015-03, </w:t>
      </w:r>
      <w:r>
        <w:rPr>
          <w:rFonts w:ascii="Arial" w:cs="Arial" w:eastAsia="Arial" w:hAnsi="Arial"/>
          <w:sz w:val="16"/>
          <w:szCs w:val="16"/>
          <w:i w:val="1"/>
          <w:iCs w:val="1"/>
          <w:color w:val="auto"/>
        </w:rPr>
        <w:t>Interest-Imputation of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(Subtopic 835-30): Simplifying the Presentation of Debt Issuance Costs, </w:t>
      </w:r>
      <w:r>
        <w:rPr>
          <w:rFonts w:ascii="Arial" w:cs="Arial" w:eastAsia="Arial" w:hAnsi="Arial"/>
          <w:sz w:val="16"/>
          <w:szCs w:val="16"/>
          <w:color w:val="auto"/>
        </w:rPr>
        <w:t>became effective. As a result of this accounting change, the Company now presents</w:t>
      </w:r>
      <w:r>
        <w:rPr>
          <w:rFonts w:ascii="Arial" w:cs="Arial" w:eastAsia="Arial" w:hAnsi="Arial"/>
          <w:sz w:val="16"/>
          <w:szCs w:val="16"/>
          <w:i w:val="1"/>
          <w:iCs w:val="1"/>
          <w:color w:val="auto"/>
        </w:rPr>
        <w:t xml:space="preserve"> </w:t>
      </w:r>
      <w:r>
        <w:rPr>
          <w:rFonts w:ascii="Arial" w:cs="Arial" w:eastAsia="Arial" w:hAnsi="Arial"/>
          <w:sz w:val="16"/>
          <w:szCs w:val="16"/>
          <w:color w:val="auto"/>
        </w:rPr>
        <w:t>debt issuance costs, net as a direct deduction from the related debt (see Note 12). Prior to January 1, 2016, debt issuance costs, net were included in other assets. We adopted the standard retrospectively; accordingly, prior period amounts were reclassified to conform to the current presentation.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May 2014,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This standard establishes a single comprehensive model for entities to use in accounting for revenue arising from contracts with customers and supersedes most current revenue recognition guidance. The core principle of the new standard is an entity should recognize revenue to depict the transfer of promised goods or services to customers in an amount that reflects the consideration to which the entity expects to be entitled in exchange for those goods or services. In August 2015, in response to stakeholders’ requests to defer the effective date of ASU 2014-09 and in consideration of feedback received through extensive outreach with preparers, practitioners and users of financial statements, the FASB deferred the effective date for all entities by one year. This new standard will be effective for annual reporting periods beginning after December 15, 2017, including interim periods within that reporting period. Early adoption is permitted, although not prior to annual reporting periods beginning after December 15, 2016. The Company is currently evaluating the impact this new guidance may have on its results of operations and financial position.</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January 2016, FASB issued ASU No. 2016-01, </w:t>
      </w:r>
      <w:r>
        <w:rPr>
          <w:rFonts w:ascii="Arial" w:cs="Arial" w:eastAsia="Arial" w:hAnsi="Arial"/>
          <w:sz w:val="17"/>
          <w:szCs w:val="17"/>
          <w:i w:val="1"/>
          <w:iCs w:val="1"/>
          <w:color w:val="auto"/>
        </w:rPr>
        <w:t>Financial Instruments - Overall (Subtopic 825-10):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Liabilities</w:t>
      </w:r>
      <w:r>
        <w:rPr>
          <w:rFonts w:ascii="Arial" w:cs="Arial" w:eastAsia="Arial" w:hAnsi="Arial"/>
          <w:sz w:val="17"/>
          <w:szCs w:val="17"/>
          <w:color w:val="auto"/>
        </w:rPr>
        <w:t>. This standard will require equity investments (except those accounted for under the equity method of accounting or those that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of the investee) to be measured at fair value with changes in fair value recognized in net income. The standard also simplifies the impairment assessment of equity investments without readily determinable fair values by requiring a qualitative assessment to identify impairment. When a qualitative assessment indicates that impairment exists, an entity is required to measure the investment at fair value. It also amends certain financial statement presentation and disclosure requirements associated with the fair value of financial instruments. This standard will be effective for annual periods beginning after December 31, 2017, including interim periods within that reporting period. Early adoption is not permitted. The Company is currently evaluating the impact this new guidance may have on its results of operations and financial position.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2016,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new standard introduces a new lessee model that brings substantially all leases on the balance sheet. The standard will require companies to recognize lease assets and lease liabilities on their balance sheets and disclose key information about leasing arrangements in their financial statements. This standard will be effective for annual periods beginning after December 15, 2018, including interim periods within that reporting period. Early application of this standard is permitted. The Company is currently evaluating the impact this new guidance may have on its results of operations and financial position.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2016, FASB issued ASU No. 2016-08, </w:t>
      </w:r>
      <w:r>
        <w:rPr>
          <w:rFonts w:ascii="Arial" w:cs="Arial" w:eastAsia="Arial" w:hAnsi="Arial"/>
          <w:sz w:val="18"/>
          <w:szCs w:val="18"/>
          <w:i w:val="1"/>
          <w:iCs w:val="1"/>
          <w:color w:val="auto"/>
        </w:rPr>
        <w:t>Revenue from Contracts with Customers (Topic 606): Principal versus Agent Considerations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Gross versus Net)</w:t>
      </w:r>
      <w:r>
        <w:rPr>
          <w:rFonts w:ascii="Arial" w:cs="Arial" w:eastAsia="Arial" w:hAnsi="Arial"/>
          <w:sz w:val="18"/>
          <w:szCs w:val="18"/>
          <w:color w:val="auto"/>
        </w:rPr>
        <w:t>. This new standard clarifies guidance on principal versus agent considerations in connection with revenue recognition.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party is involved in providing goods or services to a customer, an entity is required to determine whether the nature of its promise is to provide the specified good or service itself (that is,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entity is a principal) or to arrange for that good or service to be provided by the other party (that is, the entity is an agent). An entity is a principal if it controls the specified good or service before that good or service is transferred to a customer. The guidance includes indicators to assist an entity in determining whether it controls a specified good or service before it is transferred to the customer. This new standard will be effective for annual reporting periods beginning after December 15, 2017, including interim periods within that reporting period. Early adoption is permitted, although not prior to annual reporting periods beginning after December 15, 2016. The Company is currently evaluating the impact this new guidance may have on its results of operations and financial position.</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2016, FASB issued ASU No.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This new standard simplifies several aspects of the accounting for share-based payment transactions, including the income tax consequences,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awards as either equity or liabilities and classification on the statement of cash flows. The standard will require companies to recognize all award-related excess tax benefits and tax deficiencies in their income statements, classify any excess tax benefits as an operating activity in their statements of cash flows, provide companies with the option of estimating forfeitures or recognizing forfeitures as they occur, modify the statutory tax withholding requirements and classify cash paid by employers when directly withholding shares for tax withholding purposes as an investing activity in their statements of cash flows. This standard will be effective for annual periods beginning after December 15, 2016, including interim periods within that reporting period. Early application of this standard is permitted. The Company is currently evaluating the impact this new guidance may have on its results of operations and financial position.</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April 2016, FASB issued ASU No. 2016-10, </w:t>
      </w:r>
      <w:r>
        <w:rPr>
          <w:rFonts w:ascii="Arial" w:cs="Arial" w:eastAsia="Arial" w:hAnsi="Arial"/>
          <w:sz w:val="17"/>
          <w:szCs w:val="17"/>
          <w:i w:val="1"/>
          <w:iCs w:val="1"/>
          <w:color w:val="auto"/>
        </w:rPr>
        <w:t>Revenue from Contracts with Customers (Topic 606): Identifying Performance Obligations and Licensing</w:t>
      </w:r>
      <w:r>
        <w:rPr>
          <w:rFonts w:ascii="Arial" w:cs="Arial" w:eastAsia="Arial" w:hAnsi="Arial"/>
          <w:sz w:val="17"/>
          <w:szCs w:val="17"/>
          <w:color w:val="auto"/>
        </w:rPr>
        <w:t>. This new standard provides guidance on identifying performance obligations in a contract with a customer and clarifying several licensing considerations, including whether an entity’s promise to grant a license provides a customer with either a right to use the entity’s intellectual property (which is satisfied at a point in time) or a right to access the entity’s intellectual property (which is satisfied over time) and guidance on sales-based and usage-based royalties. This new standard will be effective for annual reporting periods beginning after December 15, 2017, including interim periods within that reporting period. Early adoption is permitted, although not prior to annual reporting periods beginning after December 15, 2016. The Company is currently evaluating the impact this new guidance may have on its results of operations and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Ocwen Financial Corporation together with its subsidiaries (“Ocwen”) is our largest customer. Ocwen purchases certain mortgage services and technology services from us under the terms of master services agreements and amendments to master services agreements (collectively, the “Service Agreements”) with terms extending through August 2025. Certain of the Service Agreements, among other things, contain a “most favored nation” provision and the parties to the Service Agreements have the right to renegotiate pricing. Certain agreements also prohibit Ocwen from establishing fee-based businesses that would directly or indirectly compete with Altisource’s services with respect to the Homeward Residential, Inc. and Residential Capital, LLC portfolios. In addition, Ocwen purchases certain origination services from Altisource under an agreement that extends through January 2017.</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Ocwen primarily consists of revenue earned directly from Ocwen and revenue earned from the loans serviced by Ocwen when Ocwen designates us as the service provider. Revenue from Ocwen as a percentage of segment and consolidated revenue was as follows for the three months ended March 31:</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20" w:type="dxa"/>
            <w:vAlign w:val="bottom"/>
            <w:gridSpan w:val="2"/>
          </w:tcPr>
          <w:p>
            <w:pPr>
              <w:ind w:left="8880"/>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41"/>
              <w:spacing w:after="0"/>
              <w:rPr>
                <w:sz w:val="20"/>
                <w:szCs w:val="20"/>
                <w:color w:val="auto"/>
              </w:rPr>
            </w:pPr>
            <w:r>
              <w:rPr>
                <w:rFonts w:ascii="Arial" w:cs="Arial" w:eastAsia="Arial" w:hAnsi="Arial"/>
                <w:sz w:val="14"/>
                <w:szCs w:val="14"/>
                <w:b w:val="1"/>
                <w:bCs w:val="1"/>
                <w:color w:val="auto"/>
              </w:rPr>
              <w:t>2015</w:t>
            </w:r>
          </w:p>
        </w:tc>
      </w:tr>
      <w:tr>
        <w:trPr>
          <w:trHeight w:val="243"/>
        </w:trPr>
        <w:tc>
          <w:tcPr>
            <w:tcW w:w="826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50"/>
        </w:trPr>
        <w:tc>
          <w:tcPr>
            <w:tcW w:w="9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Services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43"/>
        </w:trPr>
        <w:tc>
          <w:tcPr>
            <w:tcW w:w="9320" w:type="dxa"/>
            <w:vAlign w:val="bottom"/>
            <w:gridSpan w:val="2"/>
          </w:tcPr>
          <w:p>
            <w:pPr>
              <w:ind w:left="40"/>
              <w:spacing w:after="0"/>
              <w:rPr>
                <w:sz w:val="20"/>
                <w:szCs w:val="20"/>
                <w:color w:val="auto"/>
              </w:rPr>
            </w:pPr>
            <w:r>
              <w:rPr>
                <w:rFonts w:ascii="Arial" w:cs="Arial" w:eastAsia="Arial" w:hAnsi="Arial"/>
                <w:sz w:val="18"/>
                <w:szCs w:val="18"/>
                <w:color w:val="auto"/>
              </w:rPr>
              <w:t>Financial Services</w:t>
            </w: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
        </w:trPr>
        <w:tc>
          <w:tcPr>
            <w:tcW w:w="8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43"/>
        </w:trPr>
        <w:tc>
          <w:tcPr>
            <w:tcW w:w="9320" w:type="dxa"/>
            <w:vAlign w:val="bottom"/>
            <w:gridSpan w:val="2"/>
          </w:tcPr>
          <w:p>
            <w:pPr>
              <w:ind w:left="40"/>
              <w:spacing w:after="0"/>
              <w:rPr>
                <w:sz w:val="20"/>
                <w:szCs w:val="20"/>
                <w:color w:val="auto"/>
              </w:rPr>
            </w:pPr>
            <w:r>
              <w:rPr>
                <w:rFonts w:ascii="Arial" w:cs="Arial" w:eastAsia="Arial" w:hAnsi="Arial"/>
                <w:sz w:val="18"/>
                <w:szCs w:val="18"/>
                <w:color w:val="auto"/>
              </w:rPr>
              <w:t>Consolidated revenue</w:t>
            </w:r>
          </w:p>
        </w:tc>
        <w:tc>
          <w:tcPr>
            <w:tcW w:w="46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w:t>
            </w: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months ended March 31, 2016 and 2015, we generated revenue from Ocwen of $140.1 million and $141.4 million, respectively. Services provided to Ocwen during such periods and reported in the Mortgage Services segment included real estate asset management and sales, residential property valuation, trustee management services, property inspection and preservation and insurance services. Services provided to Ocwen and reported in the Financial Services segment included mortgage charge-off collections. Services provided to Ocwen and reported in the Technology Services segment included information technology infrastructure management and software applications. As of March 31, 2016, accounts receivable from Ocwen totaled $29.1 million, $16.5 million of which was billed and $12.7 million of which was unbilled. As of December 31, 2015, accounts receivable from Ocwen totaled $38.2 million, $20.4 million of which was billed and $17.8 million of which was unbilled.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earn additional revenue related to the portfolios serviced by Ocwen when a party other than Ocwen selects Altisource as the service provider. For the three months ended March 31, 2016 and 2015, we recognized revenue of $46.6 million and $53.5 million, respectively, related to the portfolios serviced by Ocwen when a party other than Ocwen selected Altisource as the service provider. These amounts are not included in deriving revenue from Ocwen as a percentage of revenue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TRANSACTIONS WITH RELATED PARTIES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Through January 16, 2015, William C. Erbey served as our Chairman as well as the Executive Chairman of Ocwen and Chairman of each of Home Loan Servicing Solutions, Ltd. (“HLSS”), Altisource Residential Corporation (“Residential”) and Altisource Asset Management Corporation (“AAMC”). Effective January 16, 2015, Mr. Erbey stepped down as the Executive Chairman of Ocwen and Chairman of each of Altisource, HLSS, Residential and AAMC and is no longer a member of the Board of Directors for any of these companies. Consequently, these companies are no longer related parties of Altisource, as defined by FASB ASC Topic 850, </w:t>
      </w:r>
      <w:r>
        <w:rPr>
          <w:rFonts w:ascii="Arial" w:cs="Arial" w:eastAsia="Arial" w:hAnsi="Arial"/>
          <w:sz w:val="17"/>
          <w:szCs w:val="17"/>
          <w:i w:val="1"/>
          <w:iCs w:val="1"/>
          <w:color w:val="auto"/>
        </w:rPr>
        <w:t>Related Party Disclosures</w:t>
      </w:r>
      <w:r>
        <w:rPr>
          <w:rFonts w:ascii="Arial" w:cs="Arial" w:eastAsia="Arial" w:hAnsi="Arial"/>
          <w:sz w:val="17"/>
          <w:szCs w:val="17"/>
          <w:color w:val="auto"/>
        </w:rPr>
        <w:t>. The disclosures in this note are limited to the periods that each of Ocwen, HLSS, Residential and AAMC were related parties of Altisource and are not necessarily reflective of current activities with these former related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period from January 1, 2015 through January 16, 2015, we estimated that we generated revenue from Ocwen of $22.9 million. Services provided to Ocwen during such periods included real estate asset management and sales, residential property valuation, trustee management services, property inspection and preservation, insurance services, charge-off mortgage collections, information technology infrastructure management and software applications.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revenue we earn from Ocwen under the Service Agreements at rates we believe to be comparable market rates as we believe they are consistent with the fees we charge to other customers and/or fees charged by our competitors for comparable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Selling, General and Administrative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times, we have used Ocwen’s contractors and/or employees to support Altisource related services. Ocwen generally billed us for these contractors and/or employees based on their fully-allocated cost. Additionally, through March 31, 2015, we purchased certain data relating to Ocwen’s servicing portfolio in connection with a Data Access and Services Agreement. Based upon our previously provided notice, the Data Access and Services Agreement was terminated effective March 31, 2015. For the period from January 1, 2015 through January 16, 2015, we estimated that we incurred $1.9 million of expenses related to these items. These amounts are reflected as a component of cost of revenue in the condensed consolidated statements of operations and comprehensive income.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provided certain other services to Ocwen and Ocwen provided certain other services to us in connection with Support Services Agreements. These services primarily included such areas as vendor management, corporate services and facilities related services. Billings for these services were generally based on the fully-allocated cost of providing the service based on an estimate of the time and expense of providing the service or estimates thereof. Of the January 2015 billings to Ocwen, we estimated that $0.1 million related to the period from January 1, 2015 through January 16, 2015. Of the January 2015 billings from Ocwen, we estimated that $0.3 million related to the period from January 1, 2015 through January 16, 2015. These amounts are reflected as a component of selling, general and administrative expenses in the condensed consolidated statements of operations and comprehensive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HLSS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April 2015, HLSS was a publicly traded company whose primary objective was the acquisition of mortgage servicing rights and related servicing advances, loans held for investment and other residential mortgage related assets. We provided HLSS certain finance, human resources, tax and facilities services and sold information technology services to HLSS under a support services agreement. For the period from January 1, 2015 through January 16, 2015, our billings to HLSS were immaterial.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and AAMC</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Residential is focused on acquiring and managing single family rental properties throughout the United States. AAMC’s primary business is to provide portfolio management and corporate governance services to investment vehicles that own real estate assets. Currently, AAMC’s primary client is Residential.</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agreements, which extend through 2027, to provide Residential with renovation management, lease management, property management, real estate owned asset management, title insurance, settlement and valuation services. In addition, we have agreements with Residential and AAMC pursuant to which we may provide services such as finance, human resources, facilities, technology and insurance risk management. Further, we have separate agreements for certain services related to income tax matters, trademark licenses and technology products and services.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period from January 1, 2015 through January 16, 2015, we estimated that we generated revenue from Residential of $1.0 million. This amount is reflected in revenue in the condensed consolidated statements of operations and comprehensive income. This excludes revenue from services we provide to Residential’s loans serviced by Ocwen or other loan servicers where we were retained by Ocwen or Residential’s other loan servicers.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from January 1, 2015 through January 16, 2015, our billings to AAMC were immaterial.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RentRange, Investability and Onit Solutions Acquisitions</w:t>
      </w: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On October 9, 2015, we acquired GoldenGator, LLC (doing business as RentRange</w:t>
      </w:r>
      <w:r>
        <w:rPr>
          <w:rFonts w:ascii="Arial" w:cs="Arial" w:eastAsia="Arial" w:hAnsi="Arial"/>
          <w:sz w:val="24"/>
          <w:szCs w:val="24"/>
          <w:color w:val="auto"/>
          <w:vertAlign w:val="superscript"/>
        </w:rPr>
        <w:t>®</w:t>
      </w:r>
      <w:r>
        <w:rPr>
          <w:rFonts w:ascii="Arial" w:cs="Arial" w:eastAsia="Arial" w:hAnsi="Arial"/>
          <w:sz w:val="17"/>
          <w:szCs w:val="17"/>
          <w:color w:val="auto"/>
        </w:rPr>
        <w:t>) (“RentRange”), REIsmart, LLC (doing business as Investability</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(“Investability”) and Onit Solutions, LLC, a support company for RentRange and Investability (collectively “RentRange and Investability”). RentRange is a leading provider of rental home data and information to the financial services and real estate industries, delivering a wide assortment of address and geography level data, analytics, and rent-based valuation solutions for single and multi-family properties. Investability is an online residential real estate search and acquisition platform that utilizes data and analytics to allow real estate investors to access the estimated cash flow, capitalization rate, net yield and market value of properties for sale in the United States. The purchase price of $24.8 million was composed of $17.5 million in cash and 247 thousand shares of restricted common stock of the Company with a value of $7.3 million as of the closing date. Upon issuance, the restricted stock is subject to transfer restrictions and potential forfeiture provisions. These restrictions and forfeiture provisions will lapse over a four year period, subject to the recipients meeting certain continued employment conditions with the Company and the satisfaction of certain acquisition related escrow release conditions. RentRange and Investability are not material in relation to the Company’s results of operations or financial position.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is as follows:</w:t>
      </w:r>
    </w:p>
    <w:p>
      <w:pPr>
        <w:spacing w:after="0" w:line="189" w:lineRule="exact"/>
        <w:rPr>
          <w:sz w:val="20"/>
          <w:szCs w:val="20"/>
          <w:color w:val="auto"/>
        </w:rPr>
      </w:pPr>
    </w:p>
    <w:tbl>
      <w:tblPr>
        <w:tblLayout w:type="fixed"/>
        <w:tblInd w:w="1540" w:type="dxa"/>
        <w:tblCellMar>
          <w:top w:w="0" w:type="dxa"/>
          <w:left w:w="0" w:type="dxa"/>
          <w:bottom w:w="0" w:type="dxa"/>
          <w:right w:w="0" w:type="dxa"/>
        </w:tblCellMar>
      </w:tblPr>
      <w:tr>
        <w:trPr>
          <w:trHeight w:val="206"/>
        </w:trPr>
        <w:tc>
          <w:tcPr>
            <w:tcW w:w="7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3"/>
        </w:trPr>
        <w:tc>
          <w:tcPr>
            <w:tcW w:w="7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7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Premises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1,205</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Databases/other</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Non-compete agreements</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19,565</w:t>
            </w: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25,183</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64"/>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Purchase price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24,792</w:t>
            </w:r>
          </w:p>
        </w:tc>
      </w:tr>
      <w:tr>
        <w:trPr>
          <w:trHeight w:val="20"/>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CastleLine Acquisition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17, 2015, we acquired CastleLine Holdings, LLC and its subsidiaries (“CastleLine”), a specialty risk management and insurance services firm. CastleLine provides financial products and services to parties involved in the origination, underwriting,</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purchase and securitization of residential mortgages. The purchase consideration was composed of $12.3 million of cash at closing, $10.5 million of cash payable over four years from the acquisition date and 495 thousand shares of restricted common stock of the Company with a value of $14.4 million as of the closing date. Of the cash payable following acquisition, $3.8 million is contingent on certain future employment conditions of certain of the sellers, and therefore excluded from the purchase price. The CastleLine acquisition is not material in relation to the Company’s results of operations or financial position.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is as follows:</w:t>
      </w:r>
    </w:p>
    <w:p>
      <w:pPr>
        <w:spacing w:after="0" w:line="189" w:lineRule="exact"/>
        <w:rPr>
          <w:sz w:val="20"/>
          <w:szCs w:val="20"/>
          <w:color w:val="auto"/>
        </w:rPr>
      </w:pPr>
    </w:p>
    <w:tbl>
      <w:tblPr>
        <w:tblLayout w:type="fixed"/>
        <w:tblInd w:w="1540" w:type="dxa"/>
        <w:tblCellMar>
          <w:top w:w="0" w:type="dxa"/>
          <w:left w:w="0" w:type="dxa"/>
          <w:bottom w:w="0" w:type="dxa"/>
          <w:right w:w="0" w:type="dxa"/>
        </w:tblCellMar>
      </w:tblPr>
      <w:tr>
        <w:trPr>
          <w:trHeight w:val="206"/>
        </w:trPr>
        <w:tc>
          <w:tcPr>
            <w:tcW w:w="7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3"/>
        </w:trPr>
        <w:tc>
          <w:tcPr>
            <w:tcW w:w="7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7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2,501</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Databases/other</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28,125</w:t>
            </w:r>
          </w:p>
        </w:tc>
      </w:tr>
      <w:tr>
        <w:trPr>
          <w:trHeight w:val="237"/>
        </w:trPr>
        <w:tc>
          <w:tcPr>
            <w:tcW w:w="7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34,405</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4"/>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Purchase price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33,443</w:t>
            </w:r>
          </w:p>
        </w:tc>
      </w:tr>
      <w:tr>
        <w:trPr>
          <w:trHeight w:val="20"/>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AVAILABLE FOR SALE SECURITIES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months ended March 31, 2016, we purchased 2.5 million shares of Residential common stock for $29.4 million in the open market. This investment is classified as available for sale and reflected in the condensed consolidated balance sheets at fair value at the balance sheet date ($30.4 million as of March 31, 2016) (no comparative amount as of December 31, 2015). Unrealized gains and losses on available for sale securities are reflected in other comprehensive income, unless there is an impairment that is other than temporary. In the event that a decline in market value is other than temporary, we would record a charge to earnings and a new cost basis in the investment would be established.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67,021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Unbilled</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53,026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56,458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123,479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(18,456)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97,645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105,023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consist primarily of certain asset management and default management services for which we generally recognize revenues over the service delivery period but bill following completion of the service. We also include in unbilled receivables amounts that are earned during a month and billed in the following month.</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agreements, current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receivable</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8,781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26,721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21,751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 PREMISES AND EQUIPMENT, NET</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Premises and equipment, net consists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177,010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23,374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21,720</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14,443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36,362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35,503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254,921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248,676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(137,984)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(129,555)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116,937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119,121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amounted to $9.2 million and $8.8 million for the three months ended March 31, 2016 and 2015, respectively, and is included in cost of revenue for operating assets and in selling, general and administrative expenses for non-operating assets in the accompanying condensed consolidated statements of operations and comprehensive income.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Mortgage</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260" w:type="dxa"/>
            <w:vAlign w:val="bottom"/>
          </w:tcPr>
          <w:p>
            <w:pPr>
              <w:spacing w:after="0"/>
              <w:rPr>
                <w:sz w:val="14"/>
                <w:szCs w:val="14"/>
                <w:color w:val="auto"/>
              </w:rPr>
            </w:pPr>
          </w:p>
        </w:tc>
        <w:tc>
          <w:tcPr>
            <w:tcW w:w="16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9"/>
              </w:rPr>
              <w:t>Technology</w:t>
            </w:r>
          </w:p>
        </w:tc>
        <w:tc>
          <w:tcPr>
            <w:tcW w:w="112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6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6"/>
              </w:rPr>
              <w:t>Services</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2016 and December 31, 2015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80,423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82,801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ind w:left="1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234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Gross carrying amount</w:t>
            </w:r>
          </w:p>
        </w:tc>
        <w:tc>
          <w:tcPr>
            <w:tcW w:w="180" w:type="dxa"/>
            <w:vAlign w:val="bottom"/>
          </w:tcPr>
          <w:p>
            <w:pPr>
              <w:spacing w:after="0"/>
              <w:rPr>
                <w:sz w:val="14"/>
                <w:szCs w:val="14"/>
                <w:color w:val="auto"/>
              </w:rPr>
            </w:pPr>
          </w:p>
        </w:tc>
        <w:tc>
          <w:tcPr>
            <w:tcW w:w="230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Accumulated amortization</w:t>
            </w:r>
          </w:p>
        </w:tc>
        <w:tc>
          <w:tcPr>
            <w:tcW w:w="180" w:type="dxa"/>
            <w:vAlign w:val="bottom"/>
          </w:tcPr>
          <w:p>
            <w:pPr>
              <w:spacing w:after="0"/>
              <w:rPr>
                <w:sz w:val="14"/>
                <w:szCs w:val="14"/>
                <w:color w:val="auto"/>
              </w:rPr>
            </w:pPr>
          </w:p>
        </w:tc>
        <w:tc>
          <w:tcPr>
            <w:tcW w:w="2200" w:type="dxa"/>
            <w:vAlign w:val="bottom"/>
            <w:gridSpan w:val="4"/>
            <w:vMerge w:val="restart"/>
          </w:tcPr>
          <w:p>
            <w:pPr>
              <w:jc w:val="right"/>
              <w:ind w:right="634"/>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23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estimated</w:t>
            </w: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8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8"/>
                <w:szCs w:val="8"/>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8"/>
                <w:szCs w:val="8"/>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8"/>
                <w:szCs w:val="8"/>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 xml:space="preserve">useful life </w:t>
            </w:r>
            <w:r>
              <w:rPr>
                <w:rFonts w:ascii="Arial" w:cs="Arial" w:eastAsia="Arial" w:hAnsi="Arial"/>
                <w:sz w:val="14"/>
                <w:szCs w:val="14"/>
                <w:b w:val="1"/>
                <w:bCs w:val="1"/>
                <w:i w:val="1"/>
                <w:iCs w:val="1"/>
                <w:color w:val="auto"/>
                <w:w w:val="92"/>
              </w:rPr>
              <w:t>(in</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7"/>
              </w:rPr>
              <w:t>years)</w:t>
            </w:r>
          </w:p>
        </w:tc>
        <w:tc>
          <w:tcPr>
            <w:tcW w:w="180" w:type="dxa"/>
            <w:vAlign w:val="bottom"/>
          </w:tcPr>
          <w:p>
            <w:pPr>
              <w:spacing w:after="0"/>
              <w:rPr>
                <w:sz w:val="16"/>
                <w:szCs w:val="16"/>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2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Trademarks and trade names</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15,244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15,244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8,422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8,753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Customer related intangible assets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274,428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149,547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160,703</w:t>
            </w: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24,646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327,782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327,782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184,792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197,003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$12.2 million and $8.9 million for the three months ended March 31, 2016 and 2015, respectively</w:t>
      </w:r>
      <w:r>
        <w:rPr>
          <w:rFonts w:ascii="Arial" w:cs="Arial" w:eastAsia="Arial" w:hAnsi="Arial"/>
          <w:sz w:val="16"/>
          <w:szCs w:val="16"/>
          <w:color w:val="auto"/>
        </w:rPr>
        <w:t>.</w:t>
      </w:r>
      <w:r>
        <w:rPr>
          <w:rFonts w:ascii="Arial" w:cs="Arial" w:eastAsia="Arial" w:hAnsi="Arial"/>
          <w:sz w:val="18"/>
          <w:szCs w:val="18"/>
          <w:color w:val="auto"/>
        </w:rPr>
        <w:t xml:space="preserve"> Expected annual definite lived intangible asset amortization for 2016 through 2020 is $35.7 million, $26.7 million, $23.6 million, $21.4 million and $19.5 million,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Maintenance agreements, non-current portion</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13,246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 ACCOUNTS PAYABLE, ACCRUED EXPENSES AND OTHER CURRENT LIABILITIES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expenses - general</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28,623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30,347</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30,792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46,564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80,768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91,871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Unfunded cash account balances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11,743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18,276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71"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271"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514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bl>
    <w:p>
      <w:pPr>
        <w:spacing w:after="0" w:line="200" w:lineRule="exact"/>
        <w:rPr>
          <w:sz w:val="20"/>
          <w:szCs w:val="20"/>
          <w:color w:val="auto"/>
        </w:rPr>
      </w:pPr>
    </w:p>
    <w:p>
      <w:pPr>
        <w:sectPr>
          <w:pgSz w:w="11900" w:h="16838" w:orient="portrait"/>
          <w:cols w:equalWidth="0" w:num="2">
            <w:col w:w="8300" w:space="500"/>
            <w:col w:w="2620"/>
          </w:cols>
          <w:pgMar w:left="240" w:top="125" w:right="23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535,112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536,598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debt issuance costs, net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(6,184)</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discount, net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long-term debt</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527,130</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528,178</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r>
      <w:tr>
        <w:trPr>
          <w:trHeight w:val="237"/>
        </w:trPr>
        <w:tc>
          <w:tcPr>
            <w:tcW w:w="88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521,185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522,233</w:t>
            </w:r>
          </w:p>
        </w:tc>
      </w:tr>
      <w:tr>
        <w:trPr>
          <w:trHeight w:val="20"/>
        </w:trPr>
        <w:tc>
          <w:tcPr>
            <w:tcW w:w="8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wholly-owned subsidiaries are guarantors of the term loan (collectively, the “Guarantors”).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giving effect to the third amendment entered into on August 1, 2014, the term loan must be repaid in equal consecutive quarterly principal installments of $1.5 million, which commenced on September 30, 2014,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loan agreement upon the occurrence of any event of default under the senior secured term loan agreement.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scheduled principal payments, subject to certain exceptions, the term loan is subject to mandatory prepayment upon issuances of debt, casualty and condemnation events and sales of assets, as well as from a percentage of Consolidated Excess Cash Flow if the leverage ratio is greater than 3.00 to 1.00, as calculated in accordance with the provisions of the senior secured term loan (the percentage increases if the leverage ratio exceeds 3.50 to 1.00). No mandatory prepayments were owed for the three months ended March 31, 2016.</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April 2016, we repurchased a portion of our senior secured term loan with a par value of $28.0 million at a 13.1% discount. After the April 2016 repurchase, net long-term debt was $499.5 million. The early extinguishment of a portion of the debt will be recorded in the second quarter of 2016.</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bears interest at rates based upon, at our option, the Adjusted Eurodollar Rate or the Base Rate.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March 31, 2016 was 4.50%.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 loan payments are guaranteed by the Guarantors and are secured by a pledge of all equity interests of certain subsidiaries as well as a lien on substantially all of the assets of Altisource Solutions S.à r.l. and the Guarantors, subject to certain exceptions.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term loan agreement includes covenants that restrict or limit, among other things, our ability to: create liens and encumbrances; incur additional indebtedness; sell, transfer or dispose of assets; make Restricted Junior Payments including share repurchases, dividends and repayment of junior indebtedness;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secured term loan agreement contains certain events of default, including (i) failure to pay principal when due or interest or any other amount owing on any other obligation under the senior secured term loan agreement within five days of becoming due, (ii) material incorrectness of representations and warranties when made, (iii) breach of covenants, (iv) failure to pay principal</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or interest on any other debt that equals or exceeds $40.0 million when due, (v) 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2016, debt issuance costs were $5.9 million, net of $4.4 million of accumulated amortization. As of December 31, 2015, debt issuance costs were $6.2 million, net of $4.1 million of accumulated amortization.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on the term loans totaled $6.5 million and $7.2 million for the three months ended March 31, 2016 and 2015,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NON-CURRENT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related contingent consideration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13,939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14,221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14,821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18,153</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14 — FAIR VALUE</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Fair Value Measurements on a Recurring Basis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liabilities for contingent consideration are reflected at fair value and adjusted each reporting period with the change in fair value recognized in earnings. Liabilities for acquisition related contingent consideration were recorded in connection with the acquisitions of certain assets and assumed certain liabilities of Mortgage Builder Software, Inc. and Owners Advantage, LLC in 2014. The total fair value of the liabilities for acquisition related contingent consideration was $4.0 million and $3.9 million as of March 31, 2016 and December 31, 2015, respectively. We measure the liabilities for acquisition related contingent consideration using Level 3 inputs as they are determined based on the present value of future estimated payments, which include sensitivities pertaining to discount rates and financial projections.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Available for sale securities are carried at fair value and consist of 2.5 million shares of Residential common stock as of March 31, 2016 (no comparative amount as of December 31, 2015). As of March 31, 2016, the fair value of available for sale securities was $30.4 million (no comparative amount as of December 31, 2015). Available for sale securities are measured using Level 1 inputs as these securities have quoted prices in active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held by the Company as of March 31, 2016 and December 31, 2015. The following fair values are estimated using market information and what the Company believes to be appropriate valuation methodologies under GAAP are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4"/>
              </w:rPr>
              <w:t>March 31, 2016</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820" w:type="dxa"/>
            <w:vAlign w:val="bottom"/>
          </w:tcPr>
          <w:p>
            <w:pPr>
              <w:spacing w:after="0"/>
              <w:rPr>
                <w:sz w:val="22"/>
                <w:szCs w:val="22"/>
                <w:color w:val="auto"/>
              </w:rPr>
            </w:pPr>
          </w:p>
        </w:tc>
      </w:tr>
      <w:tr>
        <w:trPr>
          <w:trHeight w:val="264"/>
        </w:trPr>
        <w:tc>
          <w:tcPr>
            <w:tcW w:w="3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1</w:t>
            </w:r>
          </w:p>
        </w:tc>
        <w:tc>
          <w:tcPr>
            <w:tcW w:w="3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Level 1</w:t>
            </w: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6"/>
              </w:rPr>
              <w:t>Level 2</w:t>
            </w:r>
          </w:p>
        </w:tc>
      </w:tr>
      <w:tr>
        <w:trPr>
          <w:trHeight w:val="243"/>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159,705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159,705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535,112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476,250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536,598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469,523</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assets and financial liabilities primarily include cash and cash equivalents, restricted cash and long-term debt. Cash and cash equivalents and restricted cash are carried at amounts that approximate their fair value due to the short-term nature of these instruments and were measured using Level 1 inputs. The fair value of our long-term debt is based on quoted market prices. Based on the frequency of trading, we do not believe that there is an active market for our debt. Therefore, the quoted prices are considered Level 2 inputs.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SHAREHOLDERS’ EQUITY AND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20, 2015, our shareholders approved a new share repurchase program, which replaced the previous share repurchase program. Under the new program, we are authorized to purchase up to 3.0 million shares of our common stock, based on a limit of 15% of the outstanding shares of common stock on the date of approval at a minimum price of $1.00 per share and a maximum price of $500.00 per share. This is in addition to amounts previously purchased under prior programs. Under the existing and prior programs, we purchased 0.5 million shares of common stock at an average price of $25.17 per share during the three months ended March 31, 2016 and 0.2 million shares at an average price of $23.44 per share during the three months ended March 31, 2015. As of March 31, 2016, approximately 1.0 million shares of common stock remain available for repurchase under the new program. Our senior secured term loan limits the amount we can spend on share repurchases and may prevent repurchases in certain circumstances. As of March 31, 2016, approximately $333 million was available to repurchase our common stock under our senior secured term loan.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 share-based awards in the form of stock options and certain other equity-based awards for certain employees and officers. We recorded share-based compensation expense of $1.9 million and $0.4 million for the three months ended March 31, 2016 and 2015, respectively. As of March 31, 2016, estimated unrecognized compensation costs related to share-based awards amounted to $10.4 million, which we expect to recognize over a weighted average remaining requisite service period of approximately 2.65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primarily of a combination of service-based and market-based options.</w:t>
      </w:r>
    </w:p>
    <w:p>
      <w:pPr>
        <w:spacing w:after="0" w:line="225"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generally vest over three or four years with equal annual cliff-vesting and expire on the earlier of ten years after</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of grant or following termination of service. A total of 1.2 million service-based awards were outstanding at March 31, 2016.</w:t>
      </w:r>
    </w:p>
    <w:p>
      <w:pPr>
        <w:spacing w:after="0" w:line="14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generally have two components, each of which vests only upon the achievement of certain criteria.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price, as long as the stock price realizes a compounded annual gain of at least 25% over the exercise price. The vesting schedule for substantially all market-based awards is 25% upon achievement of the criteria and thereafter the remaining 75% in three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2.0 million market-based awards were outstanding at March 31, 2016.</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granted 0.1 million stock options (at a weighted average exercise price of $27.48 per share) and less than 0.1 million stock options (at a weighted average exercise price of $26.42 per share) during the three months ended March 31, 2016 and 2015, respectively.</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fair value of the service-based options was determined using the Black-Scholes option pricing model and the fair value of the market-based options was determined using a lattice (binomial) model. The following assumptions were used to determine the fair value as of the grant date: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gridSpan w:val="4"/>
          </w:tcPr>
          <w:p>
            <w:pPr>
              <w:ind w:left="1220"/>
              <w:spacing w:after="0"/>
              <w:rPr>
                <w:sz w:val="20"/>
                <w:szCs w:val="20"/>
                <w:color w:val="auto"/>
              </w:rPr>
            </w:pPr>
            <w:r>
              <w:rPr>
                <w:rFonts w:ascii="Arial" w:cs="Arial" w:eastAsia="Arial" w:hAnsi="Arial"/>
                <w:sz w:val="14"/>
                <w:szCs w:val="14"/>
                <w:b w:val="1"/>
                <w:bCs w:val="1"/>
                <w:color w:val="auto"/>
              </w:rPr>
              <w:t>Three months ended</w:t>
            </w:r>
          </w:p>
        </w:tc>
        <w:tc>
          <w:tcPr>
            <w:tcW w:w="2580" w:type="dxa"/>
            <w:vAlign w:val="bottom"/>
            <w:gridSpan w:val="3"/>
          </w:tcPr>
          <w:p>
            <w:pPr>
              <w:ind w:left="1300"/>
              <w:spacing w:after="0"/>
              <w:rPr>
                <w:sz w:val="20"/>
                <w:szCs w:val="20"/>
                <w:color w:val="auto"/>
              </w:rPr>
            </w:pPr>
            <w:r>
              <w:rPr>
                <w:rFonts w:ascii="Arial" w:cs="Arial" w:eastAsia="Arial" w:hAnsi="Arial"/>
                <w:sz w:val="14"/>
                <w:szCs w:val="14"/>
                <w:b w:val="1"/>
                <w:bCs w:val="1"/>
                <w:color w:val="auto"/>
                <w:w w:val="91"/>
              </w:rPr>
              <w:t>Three months ended</w:t>
            </w:r>
          </w:p>
        </w:tc>
        <w:tc>
          <w:tcPr>
            <w:tcW w:w="1300" w:type="dxa"/>
            <w:vAlign w:val="bottom"/>
          </w:tcPr>
          <w:p>
            <w:pPr>
              <w:spacing w:after="0"/>
              <w:rPr>
                <w:sz w:val="14"/>
                <w:szCs w:val="14"/>
                <w:color w:val="auto"/>
              </w:rPr>
            </w:pPr>
          </w:p>
        </w:tc>
      </w:tr>
      <w:tr>
        <w:trPr>
          <w:trHeight w:val="192"/>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Borders>
              <w:bottom w:val="single" w:sz="8" w:color="auto"/>
            </w:tcBorders>
            <w:gridSpan w:val="3"/>
          </w:tcPr>
          <w:p>
            <w:pPr>
              <w:jc w:val="right"/>
              <w:ind w:right="1253"/>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ind w:left="1500"/>
              <w:spacing w:after="0"/>
              <w:rPr>
                <w:sz w:val="20"/>
                <w:szCs w:val="20"/>
                <w:color w:val="auto"/>
              </w:rPr>
            </w:pPr>
            <w:r>
              <w:rPr>
                <w:rFonts w:ascii="Arial" w:cs="Arial" w:eastAsia="Arial" w:hAnsi="Arial"/>
                <w:sz w:val="14"/>
                <w:szCs w:val="14"/>
                <w:b w:val="1"/>
                <w:bCs w:val="1"/>
                <w:color w:val="auto"/>
              </w:rPr>
              <w:t>March 31, 2015</w:t>
            </w:r>
          </w:p>
        </w:tc>
        <w:tc>
          <w:tcPr>
            <w:tcW w:w="1300" w:type="dxa"/>
            <w:vAlign w:val="bottom"/>
            <w:tcBorders>
              <w:bottom w:val="single" w:sz="8" w:color="auto"/>
            </w:tcBorders>
          </w:tcPr>
          <w:p>
            <w:pPr>
              <w:spacing w:after="0"/>
              <w:rPr>
                <w:sz w:val="16"/>
                <w:szCs w:val="16"/>
                <w:color w:val="auto"/>
              </w:rPr>
            </w:pPr>
          </w:p>
        </w:tc>
      </w:tr>
      <w:tr>
        <w:trPr>
          <w:trHeight w:val="264"/>
        </w:trPr>
        <w:tc>
          <w:tcPr>
            <w:tcW w:w="3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gridSpan w:val="2"/>
          </w:tcPr>
          <w:p>
            <w:pPr>
              <w:ind w:left="480"/>
              <w:spacing w:after="0"/>
              <w:rPr>
                <w:sz w:val="20"/>
                <w:szCs w:val="20"/>
                <w:color w:val="auto"/>
              </w:rPr>
            </w:pPr>
            <w:r>
              <w:rPr>
                <w:rFonts w:ascii="Arial" w:cs="Arial" w:eastAsia="Arial" w:hAnsi="Arial"/>
                <w:sz w:val="14"/>
                <w:szCs w:val="14"/>
                <w:b w:val="1"/>
                <w:bCs w:val="1"/>
                <w:color w:val="auto"/>
              </w:rPr>
              <w:t>Black-Scholes</w:t>
            </w:r>
          </w:p>
        </w:tc>
        <w:tc>
          <w:tcPr>
            <w:tcW w:w="1920" w:type="dxa"/>
            <w:vAlign w:val="bottom"/>
            <w:gridSpan w:val="2"/>
          </w:tcPr>
          <w:p>
            <w:pPr>
              <w:ind w:left="620"/>
              <w:spacing w:after="0"/>
              <w:rPr>
                <w:sz w:val="20"/>
                <w:szCs w:val="20"/>
                <w:color w:val="auto"/>
              </w:rPr>
            </w:pPr>
            <w:r>
              <w:rPr>
                <w:rFonts w:ascii="Arial" w:cs="Arial" w:eastAsia="Arial" w:hAnsi="Arial"/>
                <w:sz w:val="14"/>
                <w:szCs w:val="14"/>
                <w:b w:val="1"/>
                <w:bCs w:val="1"/>
                <w:color w:val="auto"/>
              </w:rPr>
              <w:t>Binomial</w:t>
            </w:r>
          </w:p>
        </w:tc>
        <w:tc>
          <w:tcPr>
            <w:tcW w:w="2580" w:type="dxa"/>
            <w:vAlign w:val="bottom"/>
            <w:gridSpan w:val="3"/>
          </w:tcPr>
          <w:p>
            <w:pPr>
              <w:ind w:left="500"/>
              <w:spacing w:after="0"/>
              <w:rPr>
                <w:sz w:val="20"/>
                <w:szCs w:val="20"/>
                <w:color w:val="auto"/>
              </w:rPr>
            </w:pPr>
            <w:r>
              <w:rPr>
                <w:rFonts w:ascii="Arial" w:cs="Arial" w:eastAsia="Arial" w:hAnsi="Arial"/>
                <w:sz w:val="14"/>
                <w:szCs w:val="14"/>
                <w:b w:val="1"/>
                <w:bCs w:val="1"/>
                <w:color w:val="auto"/>
              </w:rPr>
              <w:t>Black-Scholes</w:t>
            </w:r>
          </w:p>
        </w:tc>
        <w:tc>
          <w:tcPr>
            <w:tcW w:w="1300" w:type="dxa"/>
            <w:vAlign w:val="bottom"/>
          </w:tcPr>
          <w:p>
            <w:pPr>
              <w:jc w:val="right"/>
              <w:ind w:right="573"/>
              <w:spacing w:after="0"/>
              <w:rPr>
                <w:sz w:val="20"/>
                <w:szCs w:val="20"/>
                <w:color w:val="auto"/>
              </w:rPr>
            </w:pPr>
            <w:r>
              <w:rPr>
                <w:rFonts w:ascii="Arial" w:cs="Arial" w:eastAsia="Arial" w:hAnsi="Arial"/>
                <w:sz w:val="14"/>
                <w:szCs w:val="14"/>
                <w:b w:val="1"/>
                <w:bCs w:val="1"/>
                <w:color w:val="auto"/>
              </w:rPr>
              <w:t>Binomial</w:t>
            </w:r>
          </w:p>
        </w:tc>
      </w:tr>
      <w:tr>
        <w:trPr>
          <w:trHeight w:val="243"/>
        </w:trPr>
        <w:tc>
          <w:tcPr>
            <w:tcW w:w="3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50"/>
        </w:trPr>
        <w:tc>
          <w:tcPr>
            <w:tcW w:w="3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 - 1.89%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0.23% - 1.97%</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3"/>
              </w:rPr>
              <w:t>0.02% - 2.01%</w:t>
            </w:r>
          </w:p>
        </w:tc>
      </w:tr>
      <w:tr>
        <w:trPr>
          <w:trHeight w:val="243"/>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 (%)</w:t>
            </w:r>
          </w:p>
        </w:tc>
        <w:tc>
          <w:tcPr>
            <w:tcW w:w="1800" w:type="dxa"/>
            <w:vAlign w:val="bottom"/>
          </w:tcPr>
          <w:p>
            <w:pPr>
              <w:jc w:val="right"/>
              <w:ind w:right="17"/>
              <w:spacing w:after="0"/>
              <w:rPr>
                <w:sz w:val="20"/>
                <w:szCs w:val="20"/>
                <w:color w:val="auto"/>
              </w:rPr>
            </w:pPr>
            <w:r>
              <w:rPr>
                <w:rFonts w:ascii="Arial" w:cs="Arial" w:eastAsia="Arial" w:hAnsi="Arial"/>
                <w:sz w:val="18"/>
                <w:szCs w:val="18"/>
                <w:color w:val="auto"/>
              </w:rPr>
              <w:t>59.75% - 62.14%</w:t>
            </w:r>
          </w:p>
        </w:tc>
        <w:tc>
          <w:tcPr>
            <w:tcW w:w="10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59.76% - 62.14%</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55.06%</w:t>
            </w: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Expected option life (in years)</w:t>
            </w:r>
          </w:p>
        </w:tc>
        <w:tc>
          <w:tcPr>
            <w:tcW w:w="1800" w:type="dxa"/>
            <w:vAlign w:val="bottom"/>
          </w:tcPr>
          <w:p>
            <w:pPr>
              <w:jc w:val="right"/>
              <w:ind w:right="17"/>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4.55 - 4.88</w:t>
            </w:r>
          </w:p>
        </w:tc>
        <w:tc>
          <w:tcPr>
            <w:tcW w:w="120" w:type="dxa"/>
            <w:vAlign w:val="bottom"/>
          </w:tcPr>
          <w:p>
            <w:pPr>
              <w:spacing w:after="0"/>
              <w:rPr>
                <w:sz w:val="21"/>
                <w:szCs w:val="21"/>
                <w:color w:val="auto"/>
              </w:rPr>
            </w:pPr>
          </w:p>
        </w:tc>
        <w:tc>
          <w:tcPr>
            <w:tcW w:w="1880" w:type="dxa"/>
            <w:vAlign w:val="bottom"/>
          </w:tcPr>
          <w:p>
            <w:pPr>
              <w:jc w:val="right"/>
              <w:ind w:right="97"/>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4.45 - 4.92</w:t>
            </w: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$11.15 - $16.30</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$11.06 - $15.73</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$10.68 - $11.93</w:t>
            </w:r>
          </w:p>
        </w:tc>
      </w:tr>
      <w:tr>
        <w:trPr>
          <w:trHeight w:val="27"/>
        </w:trPr>
        <w:tc>
          <w:tcPr>
            <w:tcW w:w="3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120" w:type="dxa"/>
            <w:vAlign w:val="bottom"/>
          </w:tcPr>
          <w:p>
            <w:pPr>
              <w:spacing w:after="0"/>
              <w:rPr>
                <w:sz w:val="22"/>
                <w:szCs w:val="22"/>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Weighted average grant date fair value of stock options granted per share</w:t>
            </w: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Intrinsic value of options exercised</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432"/>
        </w:trPr>
        <w:tc>
          <w:tcPr>
            <w:tcW w:w="5440" w:type="dxa"/>
            <w:vAlign w:val="bottom"/>
            <w:gridSpan w:val="2"/>
          </w:tcPr>
          <w:p>
            <w:pPr>
              <w:spacing w:after="0"/>
              <w:rPr>
                <w:sz w:val="20"/>
                <w:szCs w:val="20"/>
                <w:color w:val="auto"/>
              </w:rPr>
            </w:pPr>
            <w:r>
              <w:rPr>
                <w:rFonts w:ascii="Arial" w:cs="Arial" w:eastAsia="Arial" w:hAnsi="Arial"/>
                <w:sz w:val="18"/>
                <w:szCs w:val="18"/>
                <w:color w:val="auto"/>
                <w:w w:val="95"/>
              </w:rPr>
              <w:t>The following table summarizes the activity related to our stock options: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exercise</w:t>
            </w: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term</w:t>
            </w:r>
          </w:p>
        </w:tc>
        <w:tc>
          <w:tcPr>
            <w:tcW w:w="220" w:type="dxa"/>
            <w:vAlign w:val="bottom"/>
          </w:tcPr>
          <w:p>
            <w:pPr>
              <w:spacing w:after="0"/>
              <w:rPr>
                <w:sz w:val="12"/>
                <w:szCs w:val="12"/>
                <w:color w:val="auto"/>
              </w:rPr>
            </w:pPr>
          </w:p>
        </w:tc>
        <w:tc>
          <w:tcPr>
            <w:tcW w:w="12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454"/>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5"/>
              </w:rPr>
              <w:t>price</w:t>
            </w: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89"/>
              </w:rPr>
              <w:t>(in years</w:t>
            </w:r>
            <w:r>
              <w:rPr>
                <w:rFonts w:ascii="Arial" w:cs="Arial" w:eastAsia="Arial" w:hAnsi="Arial"/>
                <w:sz w:val="14"/>
                <w:szCs w:val="14"/>
                <w:b w:val="1"/>
                <w:bCs w:val="1"/>
                <w:color w:val="auto"/>
                <w:w w:val="89"/>
              </w:rPr>
              <w:t>)</w:t>
            </w:r>
          </w:p>
        </w:tc>
        <w:tc>
          <w:tcPr>
            <w:tcW w:w="220" w:type="dxa"/>
            <w:vAlign w:val="bottom"/>
          </w:tcPr>
          <w:p>
            <w:pPr>
              <w:spacing w:after="0"/>
              <w:rPr>
                <w:sz w:val="16"/>
                <w:szCs w:val="16"/>
                <w:color w:val="auto"/>
              </w:rPr>
            </w:pPr>
          </w:p>
        </w:tc>
        <w:tc>
          <w:tcPr>
            <w:tcW w:w="12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3,163,125</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35,842</w:t>
            </w:r>
          </w:p>
        </w:tc>
        <w:tc>
          <w:tcPr>
            <w:tcW w:w="0" w:type="dxa"/>
            <w:vAlign w:val="bottom"/>
          </w:tcPr>
          <w:p>
            <w:pPr>
              <w:spacing w:after="0"/>
              <w:rPr>
                <w:sz w:val="1"/>
                <w:szCs w:val="1"/>
                <w:color w:val="auto"/>
              </w:rPr>
            </w:pP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66,000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220" w:type="dxa"/>
            <w:vAlign w:val="bottom"/>
          </w:tcPr>
          <w:p>
            <w:pPr>
              <w:jc w:val="right"/>
              <w:spacing w:after="0"/>
              <w:rPr>
                <w:sz w:val="20"/>
                <w:szCs w:val="20"/>
                <w:color w:val="auto"/>
              </w:rPr>
            </w:pPr>
            <w:r>
              <w:rPr>
                <w:rFonts w:ascii="Arial" w:cs="Arial" w:eastAsia="Arial" w:hAnsi="Arial"/>
                <w:sz w:val="18"/>
                <w:szCs w:val="18"/>
                <w:color w:val="auto"/>
              </w:rPr>
              <w:t>(24,968)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Outstanding at March 31, 2016</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3,164,157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26,028</w:t>
            </w:r>
          </w:p>
        </w:tc>
        <w:tc>
          <w:tcPr>
            <w:tcW w:w="0" w:type="dxa"/>
            <w:vAlign w:val="bottom"/>
          </w:tcPr>
          <w:p>
            <w:pPr>
              <w:spacing w:after="0"/>
              <w:rPr>
                <w:sz w:val="1"/>
                <w:szCs w:val="1"/>
                <w:color w:val="auto"/>
              </w:rPr>
            </w:pPr>
          </w:p>
        </w:tc>
      </w:tr>
      <w:tr>
        <w:trPr>
          <w:trHeight w:val="230"/>
        </w:trPr>
        <w:tc>
          <w:tcPr>
            <w:tcW w:w="51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March 31, 2016</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2,181,083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24,063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Other Share-Based Awards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share-based and similar types of awards are composed of restricted shares and Equity Appreciation Rights (“EARs”).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restricted shares are service-based awards that vest over one to four years with either annual cliff-vesting, vesting of all of the restricted shares at the end of the vesting period or vesting beginning after two years of service. No restricted shares were granted during the three months ended March 31, 2016. A total of 0.3 million unvested service-based restricted shares were outstanding at March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700" w:type="dxa"/>
            <w:vAlign w:val="bottom"/>
          </w:tcPr>
          <w:p>
            <w:pPr>
              <w:jc w:val="right"/>
              <w:ind w:right="436"/>
              <w:spacing w:after="0"/>
              <w:rPr>
                <w:sz w:val="20"/>
                <w:szCs w:val="20"/>
                <w:color w:val="auto"/>
              </w:rPr>
            </w:pPr>
            <w:r>
              <w:rPr>
                <w:rFonts w:ascii="Arial" w:cs="Arial" w:eastAsia="Arial" w:hAnsi="Arial"/>
                <w:sz w:val="14"/>
                <w:szCs w:val="14"/>
                <w:b w:val="1"/>
                <w:bCs w:val="1"/>
                <w:color w:val="auto"/>
              </w:rPr>
              <w:t>Number of</w:t>
            </w:r>
          </w:p>
        </w:tc>
      </w:tr>
      <w:tr>
        <w:trPr>
          <w:trHeight w:val="192"/>
        </w:trPr>
        <w:tc>
          <w:tcPr>
            <w:tcW w:w="9660" w:type="dxa"/>
            <w:vAlign w:val="bottom"/>
          </w:tcPr>
          <w:p>
            <w:pPr>
              <w:spacing w:after="0"/>
              <w:rPr>
                <w:sz w:val="16"/>
                <w:szCs w:val="16"/>
                <w:color w:val="auto"/>
              </w:rPr>
            </w:pPr>
          </w:p>
        </w:tc>
        <w:tc>
          <w:tcPr>
            <w:tcW w:w="17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restricted shares</w:t>
            </w:r>
          </w:p>
        </w:tc>
      </w:tr>
      <w:tr>
        <w:trPr>
          <w:trHeight w:val="243"/>
        </w:trPr>
        <w:tc>
          <w:tcPr>
            <w:tcW w:w="96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50"/>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272,326</w:t>
            </w:r>
          </w:p>
        </w:tc>
      </w:tr>
      <w:tr>
        <w:trPr>
          <w:trHeight w:val="243"/>
        </w:trPr>
        <w:tc>
          <w:tcPr>
            <w:tcW w:w="9660" w:type="dxa"/>
            <w:vAlign w:val="bottom"/>
          </w:tcPr>
          <w:p>
            <w:pPr>
              <w:ind w:left="40"/>
              <w:spacing w:after="0"/>
              <w:rPr>
                <w:sz w:val="20"/>
                <w:szCs w:val="20"/>
                <w:color w:val="auto"/>
              </w:rPr>
            </w:pPr>
            <w:r>
              <w:rPr>
                <w:rFonts w:ascii="Arial" w:cs="Arial" w:eastAsia="Arial" w:hAnsi="Arial"/>
                <w:sz w:val="18"/>
                <w:szCs w:val="18"/>
                <w:color w:val="auto"/>
              </w:rPr>
              <w:t>Issued</w:t>
            </w:r>
          </w:p>
        </w:tc>
        <w:tc>
          <w:tcPr>
            <w:tcW w:w="1700" w:type="dxa"/>
            <w:vAlign w:val="bottom"/>
          </w:tcPr>
          <w:p>
            <w:pPr>
              <w:jc w:val="right"/>
              <w:spacing w:after="0"/>
              <w:rPr>
                <w:sz w:val="20"/>
                <w:szCs w:val="20"/>
                <w:color w:val="auto"/>
              </w:rPr>
            </w:pPr>
            <w:r>
              <w:rPr>
                <w:rFonts w:ascii="Arial" w:cs="Arial" w:eastAsia="Arial" w:hAnsi="Arial"/>
                <w:sz w:val="18"/>
                <w:szCs w:val="18"/>
                <w:color w:val="auto"/>
              </w:rPr>
              <w:t>(5,600)</w:t>
            </w:r>
          </w:p>
        </w:tc>
      </w:tr>
      <w:tr>
        <w:trPr>
          <w:trHeight w:val="27"/>
        </w:trPr>
        <w:tc>
          <w:tcPr>
            <w:tcW w:w="96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37"/>
        </w:trPr>
        <w:tc>
          <w:tcPr>
            <w:tcW w:w="966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r>
      <w:tr>
        <w:trPr>
          <w:trHeight w:val="264"/>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2016</w:t>
            </w:r>
          </w:p>
        </w:tc>
        <w:tc>
          <w:tcPr>
            <w:tcW w:w="1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264,226</w:t>
            </w:r>
          </w:p>
        </w:tc>
      </w:tr>
      <w:tr>
        <w:trPr>
          <w:trHeight w:val="20"/>
        </w:trPr>
        <w:tc>
          <w:tcPr>
            <w:tcW w:w="96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EARs provide participating employees of certain divisions of the Company with the potential to receive a percentage of the increase in the value of the applicable division during the term of the EARs. The Company has established EAR plans for three divisions: Consumer Analytics, Document Solutions and Marketplace Solutions. These EAR plans allow for the issuance of EARs representing up to 15% of each of these divisions. The EARs consist of service-based awards and performance-based awards. Service-based EARs generally vest in equal installments on the first, second, third and fourth anniversaries of the grant date. Performance-based EARs generally begin to vest on the date certain performance criteria are achieved by the applicable division of the Company.</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participating employee will have the opportunity at certain times specified in the award agreement to exercise EARs that have vested and in exchange will receive share equivalency units, the number of which will be based on the increase in value of the division and the amount of EARs awarded to the participating employee that are exercised. After a holding period of six months and one day, the Company, the applicable division or an affiliate of the Company may redeem the share equivalency units for a payment equal to the then fair market value of the share equivalency units. At the Company’s option, the share equivalency units may be redeemed for cash, shares of Altisource’s common stock under its shareholder approved equity incentive plan, a subordinated note payable or, under certain circumstances where the division has been converted into a company form, shares of that company. Upon the occurrence of certain corporate transactions, including the sale of the division, a qualified initial public offering of the equity of the division or a spin-off of the division, the Company will have the right to repurchase and cancel any outstanding share equivalency units or shares of the division that have been issued in payment of redeemed share equivalency units, and the applicable plan administrator will have the discretion to adjust the terms of the applicable division EAR plan and any outstanding 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EARs granted during the three months ended March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outstanding EARs (expressed as a percentage of each of the divisions):</w:t>
      </w:r>
    </w:p>
    <w:p>
      <w:pPr>
        <w:spacing w:after="0" w:line="150"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Consumer</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Document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Marketplace</w:t>
            </w:r>
          </w:p>
        </w:tc>
      </w:tr>
      <w:tr>
        <w:trPr>
          <w:trHeight w:val="192"/>
        </w:trPr>
        <w:tc>
          <w:tcPr>
            <w:tcW w:w="568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Analytics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Solutions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Solutions</w:t>
            </w:r>
          </w:p>
        </w:tc>
      </w:tr>
      <w:tr>
        <w:trPr>
          <w:trHeight w:val="243"/>
        </w:trPr>
        <w:tc>
          <w:tcPr>
            <w:tcW w:w="568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6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 and March 31, 2016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5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expense for stock options, restricted shares and EARs is recorded net of estimated forfeiture rates ranging from 0% to 40%.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REVENUE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includes service revenue,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Wholesale One and Residential Investor One, consolidated entities not owned by Altisource, and are included in revenue and reduced from net income to arrive at net income attributable to Altisource (see Note 1). The components of revenue were as follows for the three months ended March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207,816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31,956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250,132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240,482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COST OF 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costs as well as depreciation and amortization of operating assets. The components of cost of revenue were as follows for the three months ended March 31: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29"/>
        </w:trPr>
        <w:tc>
          <w:tcPr>
            <w:tcW w:w="8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69,326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71,803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53,247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31,956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9,940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11,893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6,404</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168,863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172,826</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SELLING, GENERAL AND ADMINISTRATIVE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finance, law, compliance, human resources, vendor management, risk, sales and marketing roles. This category also includes occupancy costs, professional fees, marketing costs, depreciation and amortization of non-operating assets and other expenses. The components of selling, general and administrative expenses were as follows for the three months ended March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9,083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10,654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7,990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2,422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4,333</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53,616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52,406</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OTHER THAN TEMPORARY IMPAIRMENT LOSS ON SECURITIES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March 2015, we purchased 1.6 million shares of HLSS common stock in the open market for $30.0 million (1,613,125 shares at an average price per share of $18.58). This investment was classified as available for sale. On April 6, 2015, HLSS completed the sale of substantially all of its assets to New Residential Investment Corp. (“NRZ”) and adopted a plan of complete</w:t>
      </w:r>
    </w:p>
    <w:p>
      <w:pPr>
        <w:sectPr>
          <w:pgSz w:w="11900" w:h="16838" w:orient="portrait"/>
          <w:cols w:equalWidth="0" w:num="1">
            <w:col w:w="11420"/>
          </w:cols>
          <w:pgMar w:left="240" w:top="125" w:right="239" w:bottom="838"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838"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liquidation and dissolution. Based on HLSS’ sale of substantially all of its assets to NRZ, we determined that our investment in HLSS was other than temporarily impaired. Accordingly, we recognized an other than temporary impairment loss on HLSS equity securities of $3.3 million in the accompanying condensed consolidated statements of operations and comprehensive income during the three months ended March 31, 2015. This amount reflected the difference between the cost and fair value of the HLSS equity securities as of March 31, 2015 (based on 1,613,125 shares at $16.54 per share) (no comparative amount in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OTHER INCOME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 for the three months ended March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21 — EARNINGS PER SHARE</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 for the three months ended March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18,494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3,698</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20,172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304"/>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20,040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20,995</w:t>
            </w:r>
          </w:p>
        </w:tc>
      </w:tr>
      <w:tr>
        <w:trPr>
          <w:trHeight w:val="230"/>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0.18</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0.18</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three months ended March 31, 2016 and 2015, 0.4 million options and 0.7 million options, respectively, that were anti-dilutive have been excluded from the computation of diluted EPS. These options were anti-dilutive and excluded from the computation of diluted EPS because their exercise price was greater than the average market price of our common stock. Also excluded from the computation of diluted EPS are 0.3 million options and 0.2 million options for the three months ended March 31, 2016 and 2015, respectively, granted for shares that are issuable upon the achievement of certain market and performance criteria related to our common stock price and an annualized rate of return to investors that have not yet been met.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COMMITMENTS, CONTINGENCIES AND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alleging violations of the Securities Exchange Act of 1934 and Rule 10b-5 with regard to disclosures concerning</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pricing and transactions with related parties that allegedly inflated Altisource Portfolio Solutions S.A. share prices. The Court subsequently appointed the Pension Fund for the International Union of Painters and Allied Trades District Council 35 and the Annuity Fund for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Altisource Portfolio Solutions S.A. securities between April 25, 2013 and December 21, 2014 and an unspecified amount of damages. Altisource Portfolio Solutions S.A. moved to dismiss the suit on March 23, 2015. On September 4, 2015, the Court granted the defendants’ motion to dismiss, finding that the Lead Plaintiffs’ amended complaint failed to state a claim as to any of the defendants, but permitting the Lead Plaintiffs to file another amended complaint. Lead Plaintiffs subsequently filed second and third amended complaints with substantially similar claims and theories. Altisource Portfolio Solutions S.A. moved to dismiss the third amended complaint on October 22, 2015. On December 22, 2015, the Court issued an order dismissing with prejudice all claims against Ocwen Financial Corporation and certain claims against Altisource Portfolio Solutions S.A. and the officer and director defendants, but denying the motion to dismiss as to other claims. Altisource Portfolio Solutions S.A. intends to continue to vigorously defend this suit.</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February 11, 2015, W.A. Sokolowski, an alleged shareholder of Ocwen Financial Corporation, filed an amended shareholder derivative complaint in the United States District Court for the Southern District of Florida against Ocwen Financial Corporation (as a nominal defendant), certain of its current or former officers and directors, Altisource Portfolio Solutions S.A. and other companies. The suit seeks recovery of an unspecified amount of damages for alleged breaches of fiduciary duty by Ocwen Financial Corporation’s officers and directors, which were allegedly aided and abetted by Altisource Portfolio Solutions S.A. and other defendants. Altisource Portfolio Solutions S.A. filed a motion to dismiss the complaint on November 9, 2015. While that motion was pending, additional lawsuits alleging similar claims for alleged breaches of fiduciary duties by current or former Ocwen Financial Corporation officers and directors were filed in or transferred to the Court. The Court subsequently consolidated these actions and denied Altisource Portfolio Solutions S.A.’s motion to dismiss the Sokolowski complaint without prejudice to re-file following appointment of lead counsel for the consolidated action and the filing or designation of an operative complaint. Lead counsel for plaintiffs filed their Consolidated Verified Shareholder Derivative Complaint (the “Consolidated Complaint”) on March 8, 2016. The Consolidated Complaint alleges claims that Altisource Portfolio Solutions S.A., its subsidiary Beltline Road Insurance Agency, Inc. and other defendants aided and abetted alleged breaches of fiduciary duties by Ocwen Financial Corporation officers and directors and/or were unjustly enriched in connection with business dealings with Ocwen Financial Corporation. The Consolidated Complaint also seeks contribution from Altisource Portfolio Solutions S.A., its subsidiary Beltline Road Insurance Agency, Inc. and other defendants for amounts Ocwen Financial Corporation paid in connection with a settlement with the New York State Department of Financial Services. The current deadline for defendants to respond to the Consolidated Complaint is May 13, 2016. Altisource Portfolio Solutions S.A. and Beltline Road Insurance Agency, Inc. intend to vigorously defend the lawsuit and to move to dismiss all claims against them.</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(as a nominal defendant), certain of its current or former officers and directors, Altisource Portfolio Solutions S.A. and other companies. The suit seeks recovery of an unspecified amount of damages for alleged breaches of fiduciary duties by the current or former Ocwen Financial Corporation officers and directors, which were allegedly aided and abetted by Altisource Portfolio Solutions S.A. and other defendants. On November 9, 2015, the Court entered an order staying all proceedings in the case pending further order of the Court. If the litigation proceeds, Altisource Portfolio Solutions S.A. intends to vigorously defend the lawsuit and to move to dismiss all claims against it.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is unable to predict the outcomes of these lawsuits or reasonably estimate the potential loss, if any, arising from the suits, given that the forthcoming motions to dismiss in the second and third cases have not yet been adjudicated, a stay has been entered in the third case and significant legal and factual issues remain to be determined in all three cases.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Ocwen is our largest customer and 56% of our revenue for the three months ended March 31, 2016 was from Ocwen. Additionally, 19% of our revenue for the three months ended March 31, 2016 was earned on the portfolios serviced by Ocwen, when a party other than Ocwen selected Altisource as the service provider.</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requests for information and other actions and is subject to pending legal proceedings that have or could result in adverse regulatory or other actions against Ocwen. While not all inclusive, regulatory actions to date have included subjecting Ocwen to independent oversight of its operations and placing certain restrictions on its ability to acquire servicing rights. Ocwen may become subject to future federal and state regulatory investigations, inquiries, requests for information and legal proceedings, any of which could also result in adverse regulatory or other actions against Ocwen.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sale of substantially all of the assets of HLSS to NRZ in April of 2015, NRZ owns the rights to approximately 78% of Ocwen’s non-government-sponsored enterprise (“non-GSE”) servicing rights as of December 31, 2015. Under an agreement between NRZ and Ocwen, NRZ has the right (not necessarily the ability) to transfer servicing away from Ocwen if Ocwen fails to achieve and maintain certain minimum servicer ratings on or after April 6,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Ocwen has also disclosed that in 2015 certain bondholders of Ocwen-serviced residential mortgage-backed securities (“RMBS”) alleged that Ocwen, as servicer defaulted on these servicing agreements. Ocwen has further disclosed that it has been directed by the trustee for two of the RMBS trusts to transfer servicing to another loan servicing company based on rating downgrades. Additional bondholders of RMBS may attempt to replace Ocwen as servicer as a result of such ratings downgrades or the alleged defaults.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of the foregoing may have significant adverse effects on Ocwen’s business and our continuing relationships with Ocwen. For example, Ocwen may be required to alter the way it conducts business, including the parties it contracts with for services (including information technology and software services), it may be required to seek changes to its existing pricing structure with us, it may lose or sell some or all of its non-GSE servicing rights or subservicing arrangements or may lose one or more of its state servicing licenses. Additional regulatory actions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would be significantly lower and our results of operations would be materially adversely affected, including from the possible impairment or write-off of goodwill, intangible assets, property and equipment, other assets and accounts receivable:</w:t>
      </w:r>
    </w:p>
    <w:p>
      <w:pPr>
        <w:spacing w:after="0" w:line="12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Ocwen loses or sells a significant portion or all of its non-GSE servicing rights or subservicing arrangements and Altisource fails to be retained as a service provider</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Altisource fails to be retained as a service provider</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cannot predict the outcome of the Ocwen Related Matters or the impact they may have on Altisource. However, in the event these Ocwen Related Matters materially negatively impact Altisource, we believe the impact to Altisource would occur over an extended period of time and the variable nature of our cost structure would allow us to realign our cost structure in line with remaining revenue.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regard, we have a plan that we believe would allow us to efficiently execute on this realignment. We believe that transfers of Ocwen’s servicing rights to a successor servicer(s) would take an extended period of time because of the approval required from many parties, including regulators, rating agencies, RMBS trustees, lenders and others. During this period of time, we believe we would continue to generate revenue from the services we provide to the transferred portfolio. Additionally, we have several growth initiatives that focus on diversifying and growing our revenue and customer base. Our major growth initiatives include:</w:t>
      </w:r>
    </w:p>
    <w:p>
      <w:pPr>
        <w:spacing w:after="0" w:line="18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grow our Servicer Solutions business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grow our Origination Solutions business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grow our Consumer Real Estate Solutions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grow our Real Estate Investor Solutions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an established sales and marketing strategy to support each of these initiatives.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will be sufficient to meet working capital, capital expenditures, debt service and other cash needs. However, there can be no assurance that our plans would be successful or our operations would be profitable.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Financial Services segment’s collections. These amounts are held in escrow and trust accounts for limited periods of time and are not included in the condensed consolidated balance sheets. Amounts held in escrow and trust accounts were $63.8 million and $66.6 million at March 31, 2016 and December 31, 2015,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SEGMENT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classify our businesses into three reportable segments. The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segment provides services that span the mortgage and real estate lifecycle and are typically outsourced by loan servicers, loan originators, home investors and other sellers and buyers of single family homes. The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segment provides collection and customer relationship management services primarily to debt originators and servicers (e.g., credit card, auto lending, retail credit and mortgage) and the utility, insurance and hotel industries. The </w:t>
      </w:r>
      <w:r>
        <w:rPr>
          <w:rFonts w:ascii="Arial" w:cs="Arial" w:eastAsia="Arial" w:hAnsi="Arial"/>
          <w:sz w:val="18"/>
          <w:szCs w:val="18"/>
          <w:i w:val="1"/>
          <w:iCs w:val="1"/>
          <w:color w:val="auto"/>
        </w:rPr>
        <w:t>Technology Services</w:t>
      </w:r>
      <w:r>
        <w:rPr>
          <w:rFonts w:ascii="Arial" w:cs="Arial" w:eastAsia="Arial" w:hAnsi="Arial"/>
          <w:sz w:val="18"/>
          <w:szCs w:val="18"/>
          <w:color w:val="auto"/>
        </w:rPr>
        <w:t xml:space="preserve"> segment provides a portfolio of software, data analytics and information technology infrastructure management services that support the management of mortgage and real estate activities and marketplace transactions across the lifecycle. In addition, </w:t>
      </w: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xml:space="preserve"> include eliminations of transactions between the reportable segments, interest expense and costs related to corporate support functions including executive, finance, law, compliance, human resources, vendor management, risk and sales and marketing costs not allocated to the business units. Intercompany transactions primarily consist of information technology infrastructure management services.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Three months ended March 31, 2016</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13"/>
                <w:szCs w:val="13"/>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6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198,986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40,647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250,132</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121,518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14,258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41,893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168,863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81,269</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26,969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4,309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15,780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53,616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27,653</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35"/>
              <w:spacing w:after="0"/>
              <w:rPr>
                <w:sz w:val="20"/>
                <w:szCs w:val="20"/>
                <w:color w:val="auto"/>
              </w:rPr>
            </w:pPr>
            <w:r>
              <w:rPr>
                <w:rFonts w:ascii="Arial" w:cs="Arial" w:eastAsia="Arial" w:hAnsi="Arial"/>
                <w:sz w:val="18"/>
                <w:szCs w:val="18"/>
                <w:color w:val="auto"/>
              </w:rPr>
              <w:t>50,513</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6"/>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19"/>
                <w:szCs w:val="19"/>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(23,181)</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5"/>
              <w:spacing w:after="0"/>
              <w:rPr>
                <w:sz w:val="20"/>
                <w:szCs w:val="20"/>
                <w:color w:val="auto"/>
              </w:rPr>
            </w:pPr>
            <w:r>
              <w:rPr>
                <w:rFonts w:ascii="Arial" w:cs="Arial" w:eastAsia="Arial" w:hAnsi="Arial"/>
                <w:sz w:val="18"/>
                <w:szCs w:val="18"/>
                <w:color w:val="auto"/>
              </w:rPr>
              <w:t>21,085</w:t>
            </w:r>
          </w:p>
        </w:tc>
        <w:tc>
          <w:tcPr>
            <w:tcW w:w="0" w:type="dxa"/>
            <w:vAlign w:val="bottom"/>
          </w:tcPr>
          <w:p>
            <w:pPr>
              <w:spacing w:after="0"/>
              <w:rPr>
                <w:sz w:val="1"/>
                <w:szCs w:val="1"/>
                <w:color w:val="auto"/>
              </w:rPr>
            </w:pPr>
          </w:p>
        </w:tc>
      </w:tr>
      <w:tr>
        <w:trPr>
          <w:trHeight w:val="242"/>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controlling interests</w:t>
            </w:r>
          </w:p>
        </w:tc>
        <w:tc>
          <w:tcPr>
            <w:tcW w:w="2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Three months ended March 31, 2015</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13"/>
                <w:szCs w:val="13"/>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6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177,006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22,354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51,970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240,482</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114,804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15,103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52,723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172,826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67,656</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20,561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4,715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7,315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19,815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52,406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41,641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(10,442)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35"/>
              <w:spacing w:after="0"/>
              <w:rPr>
                <w:sz w:val="20"/>
                <w:szCs w:val="20"/>
                <w:color w:val="auto"/>
              </w:rPr>
            </w:pPr>
            <w:r>
              <w:rPr>
                <w:rFonts w:ascii="Arial" w:cs="Arial" w:eastAsia="Arial" w:hAnsi="Arial"/>
                <w:sz w:val="18"/>
                <w:szCs w:val="18"/>
                <w:color w:val="auto"/>
              </w:rPr>
              <w:t>41,637</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6"/>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19"/>
                <w:szCs w:val="19"/>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(8,067)</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(31,286)</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5"/>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42"/>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controlling interests</w:t>
            </w:r>
          </w:p>
        </w:tc>
        <w:tc>
          <w:tcPr>
            <w:tcW w:w="2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23"/>
                <w:szCs w:val="23"/>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23"/>
                <w:szCs w:val="2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23"/>
                <w:szCs w:val="23"/>
                <w:color w:val="auto"/>
              </w:rPr>
            </w:pPr>
          </w:p>
        </w:tc>
        <w:tc>
          <w:tcPr>
            <w:tcW w:w="116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March 31,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307,913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48,492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206,167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153,022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715,594</w:t>
            </w:r>
          </w:p>
        </w:tc>
        <w:tc>
          <w:tcPr>
            <w:tcW w:w="0" w:type="dxa"/>
            <w:vAlign w:val="bottom"/>
          </w:tcPr>
          <w:p>
            <w:pPr>
              <w:spacing w:after="0"/>
              <w:rPr>
                <w:sz w:val="1"/>
                <w:szCs w:val="1"/>
                <w:color w:val="auto"/>
              </w:rPr>
            </w:pPr>
          </w:p>
        </w:tc>
      </w:tr>
      <w:tr>
        <w:trPr>
          <w:trHeight w:val="27"/>
        </w:trPr>
        <w:tc>
          <w:tcPr>
            <w:tcW w:w="4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2015</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325,461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53,757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165,778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176,802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721,798</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primarily located in the United States. 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85,021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21,187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9,944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Philippines</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116,937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119,121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2015 filed with the Securities and Exchange Commission (“SEC”) on March 15,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collection rates and placements in our Financial Services segment;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the calculation of our effective tax rate;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those suggested by the forward-looking statements include, but are not limited to, the risks discussed in the “Risk Factors” section of our Form 10-K for the year ended December 31, 2015 and include the following:</w:t>
      </w:r>
    </w:p>
    <w:p>
      <w:pPr>
        <w:spacing w:after="0" w:line="62" w:lineRule="exact"/>
        <w:rPr>
          <w:sz w:val="20"/>
          <w:szCs w:val="20"/>
          <w:color w:val="auto"/>
        </w:rPr>
      </w:pPr>
    </w:p>
    <w:p>
      <w:pPr>
        <w:ind w:left="500" w:right="20" w:hanging="330"/>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as a result of difficulties faced by Ocwen Financial Corporation and its subsidiaries (“Ocwen”), we were to lose Ocwen as a customer or there is a significant reduction in the volume of services they purchase from us;</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execute on our strategic initiatives;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trend toward outsourcing;</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comply with and burdens imposed by governmental regulations and policies and any changes in such regulations and policies; and</w:t>
      </w:r>
    </w:p>
    <w:p>
      <w:pPr>
        <w:spacing w:after="0" w:line="128" w:lineRule="exact"/>
        <w:rPr>
          <w:rFonts w:ascii="Arial" w:cs="Arial" w:eastAsia="Arial" w:hAnsi="Arial"/>
          <w:sz w:val="17"/>
          <w:szCs w:val="17"/>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changes in the Luxembourg tax regime or interpretations of the Luxembourg tax regime.</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caution you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wholly-owned subsidiaries.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businesses into the following three reportable segments: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Mortgage Services</w:t>
      </w:r>
      <w:r>
        <w:rPr>
          <w:rFonts w:ascii="Arial" w:cs="Arial" w:eastAsia="Arial" w:hAnsi="Arial"/>
          <w:sz w:val="18"/>
          <w:szCs w:val="18"/>
          <w:color w:val="auto"/>
        </w:rPr>
        <w:t>: Provides services that span the mortgage and real estate lifecycle and are typically outsourced by loan servicers, loan originators, home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and other sellers and buyers of single family homes. We provide most of these services primarily for loan portfolios serviced by Ocwen. We also have longstanding relationships with commercial banks, insurance companies, mortgage bankers and other companies involved in the mortgage industry. Within the Mortgage Services segment, we provide the following services:</w:t>
      </w:r>
    </w:p>
    <w:p>
      <w:pPr>
        <w:spacing w:after="0" w:line="187" w:lineRule="exact"/>
        <w:rPr>
          <w:sz w:val="20"/>
          <w:szCs w:val="20"/>
          <w:color w:val="auto"/>
        </w:rPr>
      </w:pPr>
    </w:p>
    <w:p>
      <w:pPr>
        <w:jc w:val="both"/>
        <w:ind w:left="340" w:firstLine="324"/>
        <w:spacing w:after="0" w:line="288" w:lineRule="auto"/>
        <w:rPr>
          <w:sz w:val="20"/>
          <w:szCs w:val="20"/>
          <w:color w:val="auto"/>
        </w:rPr>
      </w:pPr>
      <w:r>
        <w:rPr>
          <w:rFonts w:ascii="Arial" w:cs="Arial" w:eastAsia="Arial" w:hAnsi="Arial"/>
          <w:sz w:val="15"/>
          <w:szCs w:val="15"/>
          <w:i w:val="1"/>
          <w:iCs w:val="1"/>
          <w:color w:val="auto"/>
        </w:rPr>
        <w:t xml:space="preserve">Asset management services </w:t>
      </w:r>
      <w:r>
        <w:rPr>
          <w:rFonts w:ascii="Arial" w:cs="Arial" w:eastAsia="Arial" w:hAnsi="Arial"/>
          <w:sz w:val="15"/>
          <w:szCs w:val="15"/>
          <w:color w:val="auto"/>
        </w:rPr>
        <w:t>- Asset management services principally include property preservation, property inspection, real estate owned (“REO”)</w:t>
      </w:r>
      <w:r>
        <w:rPr>
          <w:rFonts w:ascii="Arial" w:cs="Arial" w:eastAsia="Arial" w:hAnsi="Arial"/>
          <w:sz w:val="15"/>
          <w:szCs w:val="15"/>
          <w:i w:val="1"/>
          <w:iCs w:val="1"/>
          <w:color w:val="auto"/>
        </w:rPr>
        <w:t xml:space="preserve"> </w:t>
      </w:r>
      <w:r>
        <w:rPr>
          <w:rFonts w:ascii="Arial" w:cs="Arial" w:eastAsia="Arial" w:hAnsi="Arial"/>
          <w:sz w:val="15"/>
          <w:szCs w:val="15"/>
          <w:color w:val="auto"/>
        </w:rPr>
        <w:t>asset management, the Hubzu</w:t>
      </w:r>
      <w:r>
        <w:rPr>
          <w:rFonts w:ascii="Arial" w:cs="Arial" w:eastAsia="Arial" w:hAnsi="Arial"/>
          <w:sz w:val="21"/>
          <w:szCs w:val="21"/>
          <w:color w:val="auto"/>
          <w:vertAlign w:val="superscript"/>
        </w:rPr>
        <w:t>®</w:t>
      </w:r>
      <w:r>
        <w:rPr>
          <w:rFonts w:ascii="Arial" w:cs="Arial" w:eastAsia="Arial" w:hAnsi="Arial"/>
          <w:sz w:val="15"/>
          <w:szCs w:val="15"/>
          <w:color w:val="auto"/>
        </w:rPr>
        <w:t xml:space="preserve"> and Owners.com</w:t>
      </w:r>
      <w:r>
        <w:rPr>
          <w:rFonts w:ascii="Arial" w:cs="Arial" w:eastAsia="Arial" w:hAnsi="Arial"/>
          <w:sz w:val="21"/>
          <w:szCs w:val="21"/>
          <w:color w:val="auto"/>
          <w:vertAlign w:val="superscript"/>
        </w:rPr>
        <w:t>®</w:t>
      </w:r>
      <w:r>
        <w:rPr>
          <w:rFonts w:ascii="Arial" w:cs="Arial" w:eastAsia="Arial" w:hAnsi="Arial"/>
          <w:sz w:val="15"/>
          <w:szCs w:val="15"/>
          <w:color w:val="auto"/>
        </w:rPr>
        <w:t xml:space="preserve"> consumer real estate portals and real estate brokerage services. We also provide property management, lease management and renovation management services for single family rental properties. Through RentRange and Investability, we provide rental home data and information to the financial services and real estate industries and an online residential real estate investor search and acquisition platform.</w:t>
      </w:r>
    </w:p>
    <w:p>
      <w:pPr>
        <w:spacing w:after="0" w:line="170"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i w:val="1"/>
          <w:iCs w:val="1"/>
          <w:color w:val="auto"/>
        </w:rPr>
        <w:t xml:space="preserve">Insurance services </w:t>
      </w:r>
      <w:r>
        <w:rPr>
          <w:rFonts w:ascii="Arial" w:cs="Arial" w:eastAsia="Arial" w:hAnsi="Arial"/>
          <w:sz w:val="16"/>
          <w:szCs w:val="16"/>
          <w:color w:val="auto"/>
        </w:rPr>
        <w:t>- Insurance services principally include an array of insurance services including pre-foreclosure, REO and refinance title</w:t>
      </w:r>
      <w:r>
        <w:rPr>
          <w:rFonts w:ascii="Arial" w:cs="Arial" w:eastAsia="Arial" w:hAnsi="Arial"/>
          <w:sz w:val="16"/>
          <w:szCs w:val="16"/>
          <w:i w:val="1"/>
          <w:iCs w:val="1"/>
          <w:color w:val="auto"/>
        </w:rPr>
        <w:t xml:space="preserve"> </w:t>
      </w:r>
      <w:r>
        <w:rPr>
          <w:rFonts w:ascii="Arial" w:cs="Arial" w:eastAsia="Arial" w:hAnsi="Arial"/>
          <w:sz w:val="16"/>
          <w:szCs w:val="16"/>
          <w:color w:val="auto"/>
        </w:rPr>
        <w:t>searches, title insurance agency services, settlement and escrow services and loss draft claims processing. Through CastleLine, we provide financial products (including insurance) and services to parties involved in the origination, underwriting, purchase and securitization of residential mortgages.</w:t>
      </w:r>
    </w:p>
    <w:p>
      <w:pPr>
        <w:spacing w:after="0" w:line="14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i w:val="1"/>
          <w:iCs w:val="1"/>
          <w:color w:val="auto"/>
        </w:rPr>
        <w:t xml:space="preserve">Residential property valuation services </w:t>
      </w:r>
      <w:r>
        <w:rPr>
          <w:rFonts w:ascii="Arial" w:cs="Arial" w:eastAsia="Arial" w:hAnsi="Arial"/>
          <w:sz w:val="17"/>
          <w:szCs w:val="17"/>
          <w:color w:val="auto"/>
        </w:rPr>
        <w:t>- Residential property valuation services principally include traditional appraisal products through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appraisal management company and alternative valuation products, some of which are provided through our network of real estate professionals. We generally provide these services for residential loan servicers, residential lenders and investors in single family homes.</w:t>
      </w:r>
    </w:p>
    <w:p>
      <w:pPr>
        <w:spacing w:after="0" w:line="166"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include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pacing w:after="0" w:line="170" w:lineRule="exact"/>
        <w:rPr>
          <w:sz w:val="20"/>
          <w:szCs w:val="20"/>
          <w:color w:val="auto"/>
        </w:rPr>
      </w:pPr>
    </w:p>
    <w:p>
      <w:pPr>
        <w:jc w:val="both"/>
        <w:ind w:left="340" w:firstLine="324"/>
        <w:spacing w:after="0" w:line="258" w:lineRule="auto"/>
        <w:rPr>
          <w:sz w:val="20"/>
          <w:szCs w:val="20"/>
          <w:color w:val="auto"/>
        </w:rPr>
      </w:pPr>
      <w:r>
        <w:rPr>
          <w:rFonts w:ascii="Arial" w:cs="Arial" w:eastAsia="Arial" w:hAnsi="Arial"/>
          <w:sz w:val="16"/>
          <w:szCs w:val="16"/>
          <w:i w:val="1"/>
          <w:iCs w:val="1"/>
          <w:color w:val="auto"/>
        </w:rPr>
        <w:t xml:space="preserve">Origination management services </w:t>
      </w:r>
      <w:r>
        <w:rPr>
          <w:rFonts w:ascii="Arial" w:cs="Arial" w:eastAsia="Arial" w:hAnsi="Arial"/>
          <w:sz w:val="16"/>
          <w:szCs w:val="16"/>
          <w:color w:val="auto"/>
        </w:rPr>
        <w:t>- Origination management services principally include products, services and solutions utilized in the origination,</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underwriting and purchase of primarily residential mortgages. Through the Mortgage Partnership of America, L.L.C. (“MPA”) and our Altisource Origination Services business, which provides loan due diligence, fulfillment, contract underwriting and quality control services, we are focused largely on the residential mortgage market. MPA serves as the manager of Best Partners Mortgage Cooperative, Inc., doing business as the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mortgage cooperative (“Lenders One”), Best Partners Mortgage Brokers Cooperative, Inc., doing business as the Wholesale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mortgage cooperative (“Wholesale One”) and Best Partners Residential Investor Cooperative, Inc., doing business as the Residential Investor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cooperative (“Residential Investor One”). Lenders One is a national end-to-end marketplace for mortgage bankers and other mortgage market participants that provides its members with opportunities to: (i) expand revenue, (ii) reduce loan underwriting costs, (iii) increase operational efficiency and (iv) receive education and training. Wholesale One assists mortgage brokers and other third party originators with tools to improve their businesses and obtain better access to the capital markets. Residential Investor One was formed to deliver savings and efficiencies to individual and institutional residential real estate investors. We provide other origination related services in the residential property valuation business and insurance services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and mortgage) and the utility, insurance and hotel industries. Within the Financial Services segment, we provide the following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Asset recovery management </w:t>
      </w:r>
      <w:r>
        <w:rPr>
          <w:rFonts w:ascii="Arial" w:cs="Arial" w:eastAsia="Arial" w:hAnsi="Arial"/>
          <w:sz w:val="16"/>
          <w:szCs w:val="16"/>
          <w:color w:val="auto"/>
        </w:rPr>
        <w:t>- Asset recovery management principally includes post-charge-off debt collection services on a contingency fee basis.</w:t>
      </w:r>
    </w:p>
    <w:p>
      <w:pPr>
        <w:spacing w:after="0" w:line="248"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principally includes customer care, technical support and early stage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collections services as well as insurance call center services and administrative support.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Technology Services</w:t>
      </w:r>
      <w:r>
        <w:rPr>
          <w:rFonts w:ascii="Arial" w:cs="Arial" w:eastAsia="Arial" w:hAnsi="Arial"/>
          <w:sz w:val="18"/>
          <w:szCs w:val="18"/>
          <w:color w:val="auto"/>
        </w:rPr>
        <w:t>: Provides a portfolio of software, data analytics and infrastructure management services that support the management of mortgage and</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activities and marketplace transactions across the mortgage and real estate lifecycles. We currently provide our information technology (“IT”) infrastructure management services to Ocwen, Altisource Residential Corporation (“Residential”) and Altisource Asset Management Corporation (“AAMC”) through managed services agreements, and our other segments in a shared services model. Our software and analytics solutions primarily include the following software solutions, as described briefly below:</w:t>
      </w:r>
    </w:p>
    <w:p>
      <w:pPr>
        <w:spacing w:after="0" w:line="188" w:lineRule="exact"/>
        <w:rPr>
          <w:sz w:val="20"/>
          <w:szCs w:val="20"/>
          <w:color w:val="auto"/>
        </w:rPr>
      </w:pPr>
    </w:p>
    <w:p>
      <w:pPr>
        <w:jc w:val="both"/>
        <w:ind w:left="340" w:firstLine="648"/>
        <w:spacing w:after="0" w:line="226"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platform that offers a platform for loan servicing, including loss mitigation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loan modifications. This solution spans the loan servicing lifecycle from loan boarding to satisfaction including automation for collections, borrower communications, payment processing and reporting.</w:t>
      </w:r>
    </w:p>
    <w:p>
      <w:pPr>
        <w:spacing w:after="0" w:line="204" w:lineRule="exact"/>
        <w:rPr>
          <w:sz w:val="20"/>
          <w:szCs w:val="20"/>
          <w:color w:val="auto"/>
        </w:rPr>
      </w:pPr>
    </w:p>
    <w:p>
      <w:pPr>
        <w:jc w:val="both"/>
        <w:ind w:left="340" w:firstLine="648"/>
        <w:spacing w:after="0" w:line="216" w:lineRule="auto"/>
        <w:rPr>
          <w:sz w:val="20"/>
          <w:szCs w:val="20"/>
          <w:color w:val="auto"/>
        </w:rPr>
      </w:pPr>
      <w:r>
        <w:rPr>
          <w:rFonts w:ascii="Arial" w:cs="Arial" w:eastAsia="Arial" w:hAnsi="Arial"/>
          <w:sz w:val="18"/>
          <w:szCs w:val="18"/>
          <w:i w:val="1"/>
          <w:iCs w:val="1"/>
          <w:color w:val="auto"/>
        </w:rPr>
        <w:t>REALSynergy</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commercial real estate and multi-family loan servicing application that provides servicing and asset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w:t>
      </w:r>
    </w:p>
    <w:p>
      <w:pPr>
        <w:spacing w:after="0" w:line="203" w:lineRule="exact"/>
        <w:rPr>
          <w:sz w:val="20"/>
          <w:szCs w:val="20"/>
          <w:color w:val="auto"/>
        </w:rPr>
      </w:pPr>
    </w:p>
    <w:p>
      <w:pPr>
        <w:jc w:val="both"/>
        <w:ind w:left="340" w:firstLine="648"/>
        <w:spacing w:after="0" w:line="216" w:lineRule="auto"/>
        <w:rPr>
          <w:sz w:val="20"/>
          <w:szCs w:val="20"/>
          <w:color w:val="auto"/>
        </w:rPr>
      </w:pPr>
      <w:r>
        <w:rPr>
          <w:rFonts w:ascii="Arial" w:cs="Arial" w:eastAsia="Arial" w:hAnsi="Arial"/>
          <w:sz w:val="18"/>
          <w:szCs w:val="18"/>
          <w:i w:val="1"/>
          <w:iCs w:val="1"/>
          <w:color w:val="auto"/>
        </w:rPr>
        <w:t>REALResolution</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technology platform that provides servicers with an automated default management and home retention solution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delinquent and defaulted loans.</w:t>
      </w:r>
    </w:p>
    <w:p>
      <w:pPr>
        <w:spacing w:after="0" w:line="203" w:lineRule="exact"/>
        <w:rPr>
          <w:sz w:val="20"/>
          <w:szCs w:val="20"/>
          <w:color w:val="auto"/>
        </w:rPr>
      </w:pPr>
    </w:p>
    <w:p>
      <w:pPr>
        <w:jc w:val="both"/>
        <w:ind w:left="340" w:firstLine="648"/>
        <w:spacing w:after="0" w:line="232" w:lineRule="auto"/>
        <w:rPr>
          <w:sz w:val="20"/>
          <w:szCs w:val="20"/>
          <w:color w:val="auto"/>
        </w:rPr>
      </w:pPr>
      <w:r>
        <w:rPr>
          <w:rFonts w:ascii="Arial" w:cs="Arial" w:eastAsia="Arial" w:hAnsi="Arial"/>
          <w:sz w:val="18"/>
          <w:szCs w:val="18"/>
          <w:i w:val="1"/>
          <w:iCs w:val="1"/>
          <w:color w:val="auto"/>
        </w:rPr>
        <w:t>REALTrans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services marketplace platform that automates vendor selection and the ordering, tracking and fulfilling of</w:t>
      </w:r>
      <w:r>
        <w:rPr>
          <w:rFonts w:ascii="Arial" w:cs="Arial" w:eastAsia="Arial" w:hAnsi="Arial"/>
          <w:sz w:val="18"/>
          <w:szCs w:val="18"/>
          <w:i w:val="1"/>
          <w:iCs w:val="1"/>
          <w:color w:val="auto"/>
        </w:rPr>
        <w:t xml:space="preserve"> </w:t>
      </w:r>
      <w:r>
        <w:rPr>
          <w:rFonts w:ascii="Arial" w:cs="Arial" w:eastAsia="Arial" w:hAnsi="Arial"/>
          <w:sz w:val="18"/>
          <w:szCs w:val="18"/>
          <w:color w:val="auto"/>
        </w:rPr>
        <w:t>vendor provided services principally related to real estate and mortgage marketplaces. This technology solution, whether accessed through the web or integrated into existing business processing applications, connects to a marketplace of services through a single platform and delivers a method for managing a large scale network of vendors.</w:t>
      </w:r>
    </w:p>
    <w:p>
      <w:pPr>
        <w:spacing w:after="0" w:line="202" w:lineRule="exact"/>
        <w:rPr>
          <w:sz w:val="20"/>
          <w:szCs w:val="20"/>
          <w:color w:val="auto"/>
        </w:rPr>
      </w:pPr>
    </w:p>
    <w:p>
      <w:pPr>
        <w:jc w:val="both"/>
        <w:ind w:left="340" w:firstLine="648"/>
        <w:spacing w:after="0" w:line="226"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payors with the ability to automatically adjudicate invoices according to user defined rules and for electronic payments to be fulfilled subject to approval review rules and workflows.</w:t>
      </w:r>
    </w:p>
    <w:p>
      <w:pPr>
        <w:spacing w:after="0" w:line="204" w:lineRule="exact"/>
        <w:rPr>
          <w:sz w:val="20"/>
          <w:szCs w:val="20"/>
          <w:color w:val="auto"/>
        </w:rPr>
      </w:pPr>
    </w:p>
    <w:p>
      <w:pPr>
        <w:jc w:val="both"/>
        <w:ind w:left="340" w:firstLine="648"/>
        <w:spacing w:after="0" w:line="232" w:lineRule="auto"/>
        <w:rPr>
          <w:sz w:val="20"/>
          <w:szCs w:val="20"/>
          <w:color w:val="auto"/>
        </w:rPr>
      </w:pPr>
      <w:r>
        <w:rPr>
          <w:rFonts w:ascii="Arial" w:cs="Arial" w:eastAsia="Arial" w:hAnsi="Arial"/>
          <w:sz w:val="18"/>
          <w:szCs w:val="18"/>
          <w:i w:val="1"/>
          <w:iCs w:val="1"/>
          <w:color w:val="auto"/>
        </w:rPr>
        <w:t>REALDoc</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automated document management platform that consists of three primary modules: REALDoc Capture, which converts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images into processable data, indexes documents and provides customizable workflows based on data attributes; REALDoc Correspondence, which provides a scalable correspondence generation, management and delivery platform; and REALDoc Vault, which provides a scalable and distributed storage platform and secure document viewer.</w:t>
      </w:r>
    </w:p>
    <w:p>
      <w:pPr>
        <w:spacing w:after="0" w:line="202" w:lineRule="exact"/>
        <w:rPr>
          <w:sz w:val="20"/>
          <w:szCs w:val="20"/>
          <w:color w:val="auto"/>
        </w:rPr>
      </w:pPr>
    </w:p>
    <w:p>
      <w:pPr>
        <w:jc w:val="both"/>
        <w:ind w:left="340" w:firstLine="324"/>
        <w:spacing w:after="0" w:line="235" w:lineRule="auto"/>
        <w:rPr>
          <w:sz w:val="20"/>
          <w:szCs w:val="20"/>
          <w:color w:val="auto"/>
        </w:rPr>
      </w:pPr>
      <w:r>
        <w:rPr>
          <w:rFonts w:ascii="Arial" w:cs="Arial" w:eastAsia="Arial" w:hAnsi="Arial"/>
          <w:sz w:val="17"/>
          <w:szCs w:val="17"/>
          <w:i w:val="1"/>
          <w:iCs w:val="1"/>
          <w:color w:val="auto"/>
        </w:rPr>
        <w:t>Equator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An integrated real estate management platform consisting of the following modules: EQ Workstation</w:t>
      </w:r>
      <w:r>
        <w:rPr>
          <w:rFonts w:ascii="Arial" w:cs="Arial" w:eastAsia="Arial" w:hAnsi="Arial"/>
          <w:sz w:val="24"/>
          <w:szCs w:val="24"/>
          <w:color w:val="auto"/>
          <w:vertAlign w:val="superscript"/>
        </w:rPr>
        <w:t>®</w:t>
      </w:r>
      <w:r>
        <w:rPr>
          <w:rFonts w:ascii="Arial" w:cs="Arial" w:eastAsia="Arial" w:hAnsi="Arial"/>
          <w:sz w:val="17"/>
          <w:szCs w:val="17"/>
          <w:color w:val="auto"/>
        </w:rPr>
        <w:t>, EQ Marketplace</w:t>
      </w:r>
      <w:r>
        <w:rPr>
          <w:rFonts w:ascii="Arial" w:cs="Arial" w:eastAsia="Arial" w:hAnsi="Arial"/>
          <w:sz w:val="24"/>
          <w:szCs w:val="24"/>
          <w:color w:val="auto"/>
          <w:vertAlign w:val="superscript"/>
        </w:rPr>
        <w:t>®</w:t>
      </w:r>
      <w:r>
        <w:rPr>
          <w:rFonts w:ascii="Arial" w:cs="Arial" w:eastAsia="Arial" w:hAnsi="Arial"/>
          <w:sz w:val="17"/>
          <w:szCs w:val="17"/>
          <w:color w:val="auto"/>
        </w:rPr>
        <w:t>, EQ</w:t>
      </w:r>
      <w:r>
        <w:rPr>
          <w:rFonts w:ascii="Arial" w:cs="Arial" w:eastAsia="Arial" w:hAnsi="Arial"/>
          <w:sz w:val="17"/>
          <w:szCs w:val="17"/>
          <w:i w:val="1"/>
          <w:iCs w:val="1"/>
          <w:color w:val="auto"/>
        </w:rPr>
        <w:t xml:space="preserve"> </w:t>
      </w:r>
      <w:r>
        <w:rPr>
          <w:rFonts w:ascii="Arial" w:cs="Arial" w:eastAsia="Arial" w:hAnsi="Arial"/>
          <w:sz w:val="17"/>
          <w:szCs w:val="17"/>
          <w:color w:val="auto"/>
        </w:rPr>
        <w:t>Midsource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EQ Portal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that can be used separately or together as an end-to-end solution. EQ Workstation provides comprehensive, end-to-end workflow and transaction services to manage real estate and foreclosure related activities. EQ Marketplace provides a coordinated means of purchasing a variety of real estate services from vendors including real estate brokerage, title, closing, inspection and valuation. EQ Midsource allows users of EQ Workstation to outsource all or specific components of real estate related activities. EQ Portal provides realtors direct access to process real estate transactions with secure exchange of data and documents along with realtor marketing, training and certification.</w:t>
      </w:r>
    </w:p>
    <w:p>
      <w:pPr>
        <w:spacing w:after="0" w:line="207" w:lineRule="exact"/>
        <w:rPr>
          <w:sz w:val="20"/>
          <w:szCs w:val="20"/>
          <w:color w:val="auto"/>
        </w:rPr>
      </w:pPr>
    </w:p>
    <w:p>
      <w:pPr>
        <w:jc w:val="both"/>
        <w:ind w:left="340" w:firstLine="324"/>
        <w:spacing w:after="0" w:line="250" w:lineRule="auto"/>
        <w:rPr>
          <w:sz w:val="20"/>
          <w:szCs w:val="20"/>
          <w:color w:val="auto"/>
        </w:rPr>
      </w:pPr>
      <w:r>
        <w:rPr>
          <w:rFonts w:ascii="Arial" w:cs="Arial" w:eastAsia="Arial" w:hAnsi="Arial"/>
          <w:sz w:val="17"/>
          <w:szCs w:val="17"/>
          <w:i w:val="1"/>
          <w:iCs w:val="1"/>
          <w:color w:val="auto"/>
        </w:rPr>
        <w:t>Mortgage Builder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A loan origination platform consisting of the following modules: Architect</w:t>
      </w:r>
      <w:r>
        <w:rPr>
          <w:rFonts w:ascii="Arial" w:cs="Arial" w:eastAsia="Arial" w:hAnsi="Arial"/>
          <w:sz w:val="24"/>
          <w:szCs w:val="24"/>
          <w:color w:val="auto"/>
          <w:vertAlign w:val="superscript"/>
        </w:rPr>
        <w:t>®</w:t>
      </w:r>
      <w:r>
        <w:rPr>
          <w:rFonts w:ascii="Arial" w:cs="Arial" w:eastAsia="Arial" w:hAnsi="Arial"/>
          <w:sz w:val="17"/>
          <w:szCs w:val="17"/>
          <w:color w:val="auto"/>
        </w:rPr>
        <w:t>, Surveyance</w:t>
      </w:r>
      <w:r>
        <w:rPr>
          <w:rFonts w:ascii="Arial" w:cs="Arial" w:eastAsia="Arial" w:hAnsi="Arial"/>
          <w:sz w:val="24"/>
          <w:szCs w:val="24"/>
          <w:color w:val="auto"/>
          <w:vertAlign w:val="superscript"/>
        </w:rPr>
        <w:t>®</w:t>
      </w:r>
      <w:r>
        <w:rPr>
          <w:rFonts w:ascii="Arial" w:cs="Arial" w:eastAsia="Arial" w:hAnsi="Arial"/>
          <w:sz w:val="17"/>
          <w:szCs w:val="17"/>
          <w:color w:val="auto"/>
        </w:rPr>
        <w:t>, Colonnade</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 LoanXEngine™</w:t>
      </w:r>
      <w:r>
        <w:rPr>
          <w:rFonts w:ascii="Arial" w:cs="Arial" w:eastAsia="Arial" w:hAnsi="Arial"/>
          <w:sz w:val="17"/>
          <w:szCs w:val="17"/>
          <w:i w:val="1"/>
          <w:iCs w:val="1"/>
          <w:color w:val="auto"/>
        </w:rPr>
        <w:t xml:space="preserve"> </w:t>
      </w:r>
      <w:r>
        <w:rPr>
          <w:rFonts w:ascii="Arial" w:cs="Arial" w:eastAsia="Arial" w:hAnsi="Arial"/>
          <w:sz w:val="17"/>
          <w:szCs w:val="17"/>
          <w:color w:val="auto"/>
        </w:rPr>
        <w:t>for mortgage banks, community banks, credit unions and other financial institutions. The Architect platform is a cloud-based, all-inclusive origination platform that manages loans from prequalification through interim servicing and delivery. The Surveyance platform is a mobile origination solution that provides originators with the ability to service their clients remotely. The Colonnade platform is a loan servicing solution and the LoanXEngine platform provides customer relationship management and product pricing and eligibility solutions.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340" w:firstLine="648"/>
        <w:spacing w:after="0" w:line="226" w:lineRule="auto"/>
        <w:rPr>
          <w:sz w:val="20"/>
          <w:szCs w:val="20"/>
          <w:color w:val="auto"/>
        </w:rPr>
      </w:pPr>
      <w:r>
        <w:rPr>
          <w:rFonts w:ascii="Arial" w:cs="Arial" w:eastAsia="Arial" w:hAnsi="Arial"/>
          <w:sz w:val="18"/>
          <w:szCs w:val="18"/>
          <w:i w:val="1"/>
          <w:iCs w:val="1"/>
          <w:color w:val="auto"/>
        </w:rPr>
        <w:t>REALAnalytics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 </w:t>
      </w:r>
      <w:r>
        <w:rPr>
          <w:rFonts w:ascii="Arial" w:cs="Arial" w:eastAsia="Arial" w:hAnsi="Arial"/>
          <w:sz w:val="18"/>
          <w:szCs w:val="18"/>
          <w:color w:val="auto"/>
        </w:rPr>
        <w:t>A data analytics and delivery platform that utilizes advanced econometric modeling and behavioral economics to assist</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and real estate service providers in optimizing risk management, value measurement, loss mitigation and consumer behavior outcomes across the mortgage and real estate lifecycle.</w:t>
      </w:r>
    </w:p>
    <w:p>
      <w:pPr>
        <w:spacing w:after="0" w:line="204" w:lineRule="exact"/>
        <w:rPr>
          <w:sz w:val="20"/>
          <w:szCs w:val="20"/>
          <w:color w:val="auto"/>
        </w:rPr>
      </w:pPr>
    </w:p>
    <w:p>
      <w:pPr>
        <w:jc w:val="both"/>
        <w:ind w:left="340" w:firstLine="324"/>
        <w:spacing w:after="0" w:line="235" w:lineRule="auto"/>
        <w:rPr>
          <w:sz w:val="20"/>
          <w:szCs w:val="20"/>
          <w:color w:val="auto"/>
        </w:rPr>
      </w:pPr>
      <w:r>
        <w:rPr>
          <w:rFonts w:ascii="Arial" w:cs="Arial" w:eastAsia="Arial" w:hAnsi="Arial"/>
          <w:sz w:val="18"/>
          <w:szCs w:val="18"/>
          <w:i w:val="1"/>
          <w:iCs w:val="1"/>
          <w:color w:val="auto"/>
        </w:rPr>
        <w:t>Pointillist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cloud-based customer intelligence platform that empowers marketers to identify critical customer paths to purchase, upsell and</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The Pointillist marketing analytics platform is designed to reveal how consumer experiences drive business outcomes and analyze customer behavior to drive results across channels and over time.</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interest expense and costs related to corporate support functions including executive, finance, law,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vendor management, risk and sales and marketing costs not allocated to the business units, and also includes eliminations of transactions between the reportable segments. Corporate Items and Eliminations also include the cost of certain facilities.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Wholesale One and Residential Investor One, consolidated entities not owned by Altisource, and are included in revenue and reduced from net income to arrive at net income attributable to Altisource.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20, 2015, our shareholders approved a new share repurchase program, which replaced the previous share repurchase program. Under the new program, we are authorized to purchase up to 3.0 million shares of our common stock, based on a limit of 15% of the outstanding shares of common stock on the date of approval at a minimum price of $1.00 per share and a maximum price of $500.00 per share. This is in addition to amounts previously purchased under prior programs. Under the existing and prior programs, we purchased 0.5 million shares of common stock at an average price of $25.17 per share during the three months ended March 31, 2016 and 0.2 million shares at an average price of $23.44 per share during the three months ended March 31, 2015. As of March 31, 2016, approximately 1.0 million shares of common stock remain available for repurchase under the new program. Our senior secured term loan limits the amount we can spend on share repurchases and may prevent repurchases in certain circumstances. As of March 31, 2016, approximately $333 million was available to repurchase our common stock under our senior secured term loan.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Altisource’s Vision and Growth Initiatives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Altisource provides a suite of mortgage, real estate and consumer debt services, leveraging our technology platform and global operations. Altisource is focused on becoming the premier provider of real estate and mortgage marketplaces and related services to a broad and diversified customer base. Within the real estate and mortgage markets, we facilitate transactions and provide products, solutions and services related to home sales, home purchases, home rentals, home maintenance, mortgage origination and mortgage servicing.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Strategically, we are focused on (1) our four key business initiatives, (2) continuing to strengthen our compliance management system and (3) maintaining strong performance and relationships with our strategic customers.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four key business initiatives position Altisource to grow and diversify our customer and revenue base. We believe these initiatives address very large markets and directly leverage our core competencies and distinct competitive advantages. Our four strategic growth initiatives and a brief description of each are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Mortgage market:</w:t>
      </w:r>
    </w:p>
    <w:p>
      <w:pPr>
        <w:spacing w:after="0" w:line="225" w:lineRule="exact"/>
        <w:rPr>
          <w:sz w:val="20"/>
          <w:szCs w:val="20"/>
          <w:color w:val="auto"/>
        </w:rPr>
      </w:pPr>
    </w:p>
    <w:p>
      <w:pPr>
        <w:jc w:val="both"/>
        <w:ind w:left="660" w:hanging="328"/>
        <w:spacing w:after="0" w:line="273"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Continue to grow our Servicer Solutions business (the products, services and technologies typically used or licensed by loan servicers): We are focused on expanding services purchased by our existing customer base and attracting new customers. Even as delinquencies return to historical norms, we believe there is a very large addressable market for the services we provide, as well as a strong and increasing customer focus on regulatory compliance and operational quality. We are one of only a few service providers with a comprehensive offering of services and technologies on a national scale. We believe we are well positioned to gain market share as customers consolidate to larger, full-service vendors and continue to outsource services that have historically been performed in-house.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Continue to grow our Origination Solutions business (the products, services and technologies typically used or licensed by participants in the loan origination market): We are focused on building an industry leading, integrated origination services platform that provides end-to-end solutions (products, services and technology) to our customers, expand our product offerings to our existing client base and actively add new customers. We are leveraging our enterprise wide sales organization to offer our origination services to larger bank and non-bank originators and correspondents and plan to expand our middle market sales organization to address other prospects. We believe we are well positioned to gain market share as customers consolidate to larger full-service vendors and by offering our existing customers (e.g., the members of Lenders One, the customers of Mortgage Builder and CastleLine and our preferred vendors and partners) an attractive suite of products and services that meet their growing needs.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w:t>
      </w:r>
    </w:p>
    <w:p>
      <w:pPr>
        <w:spacing w:after="0" w:line="185" w:lineRule="exact"/>
        <w:rPr>
          <w:sz w:val="20"/>
          <w:szCs w:val="20"/>
          <w:color w:val="auto"/>
        </w:rPr>
      </w:pPr>
    </w:p>
    <w:p>
      <w:pPr>
        <w:jc w:val="both"/>
        <w:ind w:left="660" w:hanging="328"/>
        <w:spacing w:after="0" w:line="26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Continue to grow our Consumer Real Estate Solutions business (the products, services and technologies typically used by self-directed home buyers and sellers) primarily through Owners.com: Owners.com provides self-directed home buyers and sellers with a full suite of real estate services from which to choose. We are focused on growing Owners.com by building brand awareness, driving customer engagement and increasing consumer adoption of our buy side and sell side brokerage services. With a growing segment of the population demonstrating a desire to engage in self-directed transactions, we believe Owners.com is well positioned to become a market leader.</w:t>
      </w:r>
    </w:p>
    <w:p>
      <w:pPr>
        <w:spacing w:after="0" w:line="3" w:lineRule="exact"/>
        <w:rPr>
          <w:rFonts w:ascii="Arial" w:cs="Arial" w:eastAsia="Arial" w:hAnsi="Arial"/>
          <w:sz w:val="17"/>
          <w:szCs w:val="17"/>
          <w:color w:val="auto"/>
        </w:rPr>
      </w:pPr>
    </w:p>
    <w:p>
      <w:pPr>
        <w:jc w:val="both"/>
        <w:ind w:left="660" w:hanging="328"/>
        <w:spacing w:after="0" w:line="29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Continue to grow our Real Estate Investor Solutions business (the products, services and technologies typically used by participants in residential real estate investments): We are focused on supporting the growth of our existing customers, expanding services purchased by our existing customer base and attracting new customers. With our real estate brokerage operation, vendor network, property management and renovation footprint, existing customer base and growing suite of technologies (e.g., Investability and RentRange), we believe we are well positioned to grow.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growth from our strategic initiatives will be successful or our operations will be profitable.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Revenue from Ocwen represented 56% of our revenue for the three months ended March 31, 2016. Additionally, 19% of our revenue for the three months ended March 31, 2016 was earned on the portfolios serviced by Ocwen, when a party other than Ocwen selected Altisource as the service provider.</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requests for information and other actions and is subject to pending legal proceedings that have or could result in adverse regulatory or other actions against Ocwen. While not all inclusive, regulatory actions to date have included subjecting Ocwen to independent oversight of its operations and placing certain restrictions on its ability to acquire servicing rights. Ocwen may become subject to future federal and state regulatory investigations, inquiries, requests for information and legal proceedings, any of which could also result in adverse regulatory or other actions against Ocwen (see Note 22 to the condensed consolidated financial statements). Management cannot predict the outcome of the Ocwen Related Matters or the impact they may have on Altisource. However, in the event these Ocwen Related Matters materially negatively impact Altisource, we believe the impact to Altisource would occur over an extended period of time and the variable nature of our cost structure would allow us to realign our cost structure in line with remaining revenue.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regard, we have a plan that we believe would allow us to efficiently execute on this realignment. We believe that transfers of Ocwen’s servicing rights to a successor servicer(s) would take an extended period of time because of the approval required from many parties, including regulators, rating agencies, residential mortgage-backed securities trustees, lenders and others. During this period of time, we believe we would continue to generate revenue from the services we provide to the transferred portfolio. Additionally, we have several growth initiatives that focus on diversifying and growing our revenue and customer base. Our major growth initiatives are described in Altisource’s Vision and Growth Initiatives section above. We have an established sales and marketing strategy to support each of these initiatives.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will be sufficient to meet working capital, capital expenditures, debt service and other cash needs. However, there can be no assurance that our plans would be successful or our operations would be profitable.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225" w:lineRule="exact"/>
        <w:rPr>
          <w:sz w:val="20"/>
          <w:szCs w:val="20"/>
          <w:color w:val="auto"/>
        </w:rPr>
      </w:pPr>
    </w:p>
    <w:p>
      <w:pPr>
        <w:jc w:val="both"/>
        <w:ind w:left="660" w:hanging="328"/>
        <w:spacing w:after="0" w:line="288"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average number of loans serviced by Ocwen on REALServicing was 1.5 million for the three months ended March 31, 2016 compared to 2.4 million for the three months ended March 31, 2015. The average number of delinquent non-GSE loans serviced by Ocwen on REALServicing was 238 thousand for the three months ended March 31, 2016 compared to 310 thousand for the three months ended March 31, 2015;</w:t>
      </w: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October 9, 2015, we acquired GoldenGator, LLC (doing business as RentRange) (“RentRange”), REIsmart, LLC (doing business as Investability) (“Investability”) and Onit Solutions, LLC, a support company for RentRange and Investability (collectively, “RentRange and Investability”) for $24.8 million, composed of $17.5 million in cash and 247 thousand shares of restricted common stock of the Company with a value of $7.3 million as of the closing date;</w:t>
      </w:r>
    </w:p>
    <w:p>
      <w:pPr>
        <w:spacing w:after="0" w:line="1" w:lineRule="exact"/>
        <w:rPr>
          <w:rFonts w:ascii="Arial" w:cs="Arial" w:eastAsia="Arial" w:hAnsi="Arial"/>
          <w:sz w:val="18"/>
          <w:szCs w:val="18"/>
          <w:color w:val="auto"/>
        </w:rPr>
      </w:pPr>
    </w:p>
    <w:p>
      <w:pPr>
        <w:jc w:val="both"/>
        <w:ind w:left="660" w:right="20" w:hanging="328"/>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July 17, 2015, we acquired CastleLine Holdings, LLC and its subsidiaries (“CastleLine”) for $33.4 million. The purchase consideration was composed of $12.3 million of cash at closing, $10.5 million of cash payable over four years from the acquisition date and 495 thousand shares of restricted common stock of the Company with a value of $14.4 million as of the closing date. Of the cash payable following acquisition, $3.8 million is contingent on certain future employment conditions of certain of the sellers, and therefore excluded from the purchase price;</w:t>
      </w: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the three months ended March 31, 2015, we recognized a $3.3 million impairment loss on our investment in HLSS equity securities;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March 31, 2015, we terminated the Data Access and Services Agreement with Ocwen.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20" w:type="dxa"/>
            <w:vAlign w:val="bottom"/>
          </w:tcPr>
          <w:p>
            <w:pPr>
              <w:spacing w:after="0"/>
              <w:rPr>
                <w:sz w:val="14"/>
                <w:szCs w:val="14"/>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140" w:type="dxa"/>
            <w:vAlign w:val="bottom"/>
          </w:tcPr>
          <w:p>
            <w:pPr>
              <w:jc w:val="right"/>
              <w:ind w:right="134"/>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4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7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7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2"/>
          </w:tcPr>
          <w:p>
            <w:pPr>
              <w:ind w:left="180"/>
              <w:spacing w:after="0"/>
              <w:rPr>
                <w:sz w:val="20"/>
                <w:szCs w:val="20"/>
                <w:color w:val="auto"/>
              </w:rPr>
            </w:pPr>
            <w:r>
              <w:rPr>
                <w:rFonts w:ascii="Arial" w:cs="Arial" w:eastAsia="Arial" w:hAnsi="Arial"/>
                <w:sz w:val="18"/>
                <w:szCs w:val="18"/>
                <w:color w:val="auto"/>
              </w:rPr>
              <w:t>Mortgage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183,162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144,381</w:t>
            </w:r>
          </w:p>
        </w:tc>
        <w:tc>
          <w:tcPr>
            <w:tcW w:w="1240" w:type="dxa"/>
            <w:vAlign w:val="bottom"/>
            <w:gridSpan w:val="2"/>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Financial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20,076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22,313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400" w:type="dxa"/>
            <w:vAlign w:val="bottom"/>
            <w:gridSpan w:val="2"/>
          </w:tcPr>
          <w:p>
            <w:pPr>
              <w:ind w:left="180"/>
              <w:spacing w:after="0"/>
              <w:rPr>
                <w:sz w:val="20"/>
                <w:szCs w:val="20"/>
                <w:color w:val="auto"/>
              </w:rPr>
            </w:pPr>
            <w:r>
              <w:rPr>
                <w:rFonts w:ascii="Arial" w:cs="Arial" w:eastAsia="Arial" w:hAnsi="Arial"/>
                <w:sz w:val="18"/>
                <w:szCs w:val="18"/>
                <w:color w:val="auto"/>
              </w:rPr>
              <w:t>Technology Services</w:t>
            </w:r>
          </w:p>
        </w:tc>
        <w:tc>
          <w:tcPr>
            <w:tcW w:w="3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40,647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51,970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(9,605)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(10,848)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7400" w:type="dxa"/>
            <w:vAlign w:val="bottom"/>
            <w:gridSpan w:val="2"/>
          </w:tcPr>
          <w:p>
            <w:pPr>
              <w:ind w:left="400"/>
              <w:spacing w:after="0"/>
              <w:rPr>
                <w:sz w:val="20"/>
                <w:szCs w:val="20"/>
                <w:color w:val="auto"/>
              </w:rPr>
            </w:pPr>
            <w:r>
              <w:rPr>
                <w:rFonts w:ascii="Arial" w:cs="Arial" w:eastAsia="Arial" w:hAnsi="Arial"/>
                <w:sz w:val="18"/>
                <w:szCs w:val="18"/>
                <w:color w:val="auto"/>
              </w:rPr>
              <w:t>Total service revenue</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234,280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207,816</w:t>
            </w:r>
          </w:p>
        </w:tc>
        <w:tc>
          <w:tcPr>
            <w:tcW w:w="1240" w:type="dxa"/>
            <w:vAlign w:val="bottom"/>
            <w:gridSpan w:val="2"/>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15,454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31,956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710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250,132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240,482</w:t>
            </w:r>
          </w:p>
        </w:tc>
        <w:tc>
          <w:tcPr>
            <w:tcW w:w="12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168,863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172,826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81,269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67,656</w:t>
            </w:r>
          </w:p>
        </w:tc>
        <w:tc>
          <w:tcPr>
            <w:tcW w:w="12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53,616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52,406</w:t>
            </w:r>
          </w:p>
        </w:tc>
        <w:tc>
          <w:tcPr>
            <w:tcW w:w="1240" w:type="dxa"/>
            <w:vAlign w:val="bottom"/>
            <w:gridSpan w:val="2"/>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27,653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15,250</w:t>
            </w:r>
          </w:p>
        </w:tc>
        <w:tc>
          <w:tcPr>
            <w:tcW w:w="12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(7,160)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400" w:type="dxa"/>
            <w:vAlign w:val="bottom"/>
            <w:gridSpan w:val="2"/>
          </w:tcPr>
          <w:p>
            <w:pPr>
              <w:ind w:left="180"/>
              <w:spacing w:after="0"/>
              <w:rPr>
                <w:sz w:val="20"/>
                <w:szCs w:val="20"/>
                <w:color w:val="auto"/>
              </w:rPr>
            </w:pPr>
            <w:r>
              <w:rPr>
                <w:rFonts w:ascii="Arial" w:cs="Arial" w:eastAsia="Arial" w:hAnsi="Arial"/>
                <w:sz w:val="18"/>
                <w:szCs w:val="18"/>
                <w:color w:val="auto"/>
              </w:rPr>
              <w:t>Other than temporary impairment loss on securities</w:t>
            </w:r>
          </w:p>
        </w:tc>
        <w:tc>
          <w:tcPr>
            <w:tcW w:w="3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(3,285)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(6,568)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(10,442)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3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21,085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18,892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4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18,494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3,698</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0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service revenue of $234.3 million for the three months ended March 31, 2016, a 13% increase compared to the three months ended March 31, 2015. The increase was primarily due to revenue growth in the asset management services businesses primarily from higher volumes of property inspection and preservation referrals and growth in the number of non-Ocwen properties sold on Hubzu in the Mortgage Services segment, partially offset by a decrease in IT infrastructure services in the Technology Services segment, which are typically billed on a cost plus basis, and lower mortgage charge-off collections in the Financial Services segment. During the fourth quarter of 2015, we began transitioning resources supporting technology infrastructure to Ocwen as a part of the previously announced separation of technology infrastructure. We anticipate this transition to be largely complete during the fourth quarter of 2016. In addition, in early 2015, the pricing model to Ocwen for REO preservation services within asset management services changed. Historically, we billed (1) a fixed fee per REO asset (which was recognized as service revenue) and (2) actual vendor costs (which were recognized as reimbursable expenses revenue). For new REO referrals, beginning</w:t>
      </w:r>
    </w:p>
    <w:p>
      <w:pPr>
        <w:sectPr>
          <w:pgSz w:w="11900" w:h="16838" w:orient="portrait"/>
          <w:cols w:equalWidth="0" w:num="1">
            <w:col w:w="11420"/>
          </w:cols>
          <w:pgMar w:left="240" w:top="125" w:right="239" w:bottom="285"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285"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early 2015, our pricing is on a per service basis (which is recognized as service revenue). This change results in certain services that were historically reimbursable expenses revenue becoming service revenue. As a result, service revenue in the Mortgage Services segment asset management services businesses increased and reimbursable expenses revenue decreased.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Mortgage Services’ revenue is impacted by REO sales and lawn maintenance, which tend to be at their lowest level during the fall and winter months and at their highest level during the spring and summer months. Financial Services’ asset recovery management revenue tends to be higher in the first quarter, as borrowers may utilize tax refunds and bonuses to pay debts, and generally declines throughout the rest of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costs, and depreciation and amortization of operating assets.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cost of revenue of $168.9 million for the three months ended March 31, 2016, a 2% decrease compared to the three months ended March 31, 2015. The decrease is primarily attributable to a decrease in compensation and benefits costs and reimbursable expenses, partially offset by higher outside fees and services. The compensation and benefits cost decrease resulted from the 2015 implementation of cost savings initiatives and the transition of resources supporting technology infrastructure to Ocwen, partially offset by higher headcount to support certain of our growth initiatives in the Mortgage Services segment businesses. Reimbursable expenses declined as a result of the change in billing discussed in the revenue section above. Outside fees and services increased from a higher volume of property inspection and preservation referrals and the change in billing discussed in the revenue section above, partially offset by the March 31, 2015 termination of the Data Access and Services Agreement.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increased to $81.3 million, representing 35% of service revenue, for the three months ended March 31, 2016 compared to $67.7 million, representing 33% of service revenue, for the three months ended March 31, 2015. Gross profit as a percentage of service revenue increased from growth in service revenue in the higher margin Mortgage Services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(“SG&amp;A”) include payroll for personnel employed in executive, finance, law, compliance, human resources, vendor management, risk, sales and marketing roles. This category also includes occupancy costs, amortization of intangible assets, professional services, marketing costs, and depreciation and amortization.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SG&amp;A of $53.6 million for the three months ended March 31, 2016, a 2% increase compared to the three months ended March 31, 2015. This increase was primarily driven by higher amortization of intangible assets, partially offset by lower other costs. The amortization of intangible assets increased due to the acquisitions of RentRange and Investability as well as CastleLine in the second half of 2015 and higher service revenue from the Homeward Residential, Inc. (“Homeward”) and Residential Capital, LLC (“ResCap”) portfolios. The decrease in other costs was primarily due to a favorable loss accrual adjustment for the three months ended March 31, 2016.</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increased to $27.7 million, representing 12% of service revenue, for the three months ended March 31, 2016 compared to $15.3 million, representing 7% of service revenue, for the three months ended March 31, 2015. The increase in operating income margin is primarily driven by the higher gross profit, as discussed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(expense), net principally includes interest expense, interest income and an other than temporary impairment loss on HLSS securities. Interest expense was $6.5 million for the three months ended March 31, 2016, a decrease of $0.6 million compared to the three months ended March 31, 2015, primarily from the 2015 repurchases of $49.0 million of principal amount of our senior secured term loan.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months ended March 31, 2015, we purchased 1.6 million shares of HLSS common stock for $30.0 million in the open market. This investment was classified as available for sale and reflected at fair value at March 31, 2015. Based on HLSS’ April 6, 2015 sale of substantially all of its assets and its plan of complete liquidation and dissolution, we determined that our investment in HLSS was other than temporarily impaired. Accordingly, we recognized an other than temporary impairment loss of $3.3 million during the three months ended March 31, 2015 (no comparative amount in 2016). This amount reflects the difference between the cost and fair value of the HLSS securities as of March 31, 2015.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recognized an income tax provision of $2.2 million for the three months ended March 31, 2016 compared to $0.4 million for the three months ended March 31, 2015. Our effective tax rate was 10.4% and 8.3% for the three months ended March 31, 2016 and March 31, 2015, respectively. Our effective tax rate differs from the Luxembourg statutory tax rate of 29.2% primarily due to the effect of certain deductions in Luxembourg from a tax ruling, which expires in 2019 unless extended or renewed, and the mix of income and losses with varying tax rates in multiple taxing jurisdictions. Our consolidated effective income tax rate for financial reporting purposes may change periodically due to changes in enacted tax rates, fluctuations in the mix of income earned from our domestic and international operations and our ability to utilize net operating loss and tax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 Intercompany transactions primarily consist of IT infrastructure management services. We reflect these as service revenue in the Technology Services segment and technology and telecommunications costs within cost of revenue and SG&amp;A in the segment receiving the services.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3"/>
              </w:rPr>
              <w:t>Three months ended March 31, 2016</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13"/>
                <w:szCs w:val="13"/>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Financial</w:t>
            </w:r>
          </w:p>
        </w:tc>
        <w:tc>
          <w:tcPr>
            <w:tcW w:w="24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2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Items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Eliminations</w:t>
            </w: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43"/>
        </w:trPr>
        <w:tc>
          <w:tcPr>
            <w:tcW w:w="4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183,162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20,076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40,647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234,280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15,454</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198,986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40,647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250,132</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121,518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14,258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41,893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168,863</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77,468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81,269</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26,969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4,309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15,780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53,616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50,499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(7,804)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27,653</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93"/>
              <w:spacing w:after="0"/>
              <w:rPr>
                <w:sz w:val="20"/>
                <w:szCs w:val="20"/>
                <w:color w:val="auto"/>
              </w:rPr>
            </w:pPr>
            <w:r>
              <w:rPr>
                <w:rFonts w:ascii="Arial" w:cs="Arial" w:eastAsia="Arial" w:hAnsi="Arial"/>
                <w:sz w:val="18"/>
                <w:szCs w:val="18"/>
                <w:color w:val="auto"/>
              </w:rPr>
              <w:t>50,513</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94"/>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13"/>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(23,181)</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3"/>
              <w:spacing w:after="0"/>
              <w:rPr>
                <w:sz w:val="20"/>
                <w:szCs w:val="20"/>
                <w:color w:val="auto"/>
              </w:rPr>
            </w:pPr>
            <w:r>
              <w:rPr>
                <w:rFonts w:ascii="Arial" w:cs="Arial" w:eastAsia="Arial" w:hAnsi="Arial"/>
                <w:sz w:val="18"/>
                <w:szCs w:val="18"/>
                <w:color w:val="auto"/>
              </w:rPr>
              <w:t>21,085</w:t>
            </w: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Gross profit/service revenue</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9"/>
        </w:trPr>
        <w:tc>
          <w:tcPr>
            <w:tcW w:w="44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3"/>
              </w:rPr>
              <w:t>Three months ended March 31, 2015</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13"/>
                <w:szCs w:val="13"/>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Financial</w:t>
            </w:r>
          </w:p>
        </w:tc>
        <w:tc>
          <w:tcPr>
            <w:tcW w:w="24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2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Items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Eliminations</w:t>
            </w: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43"/>
        </w:trPr>
        <w:tc>
          <w:tcPr>
            <w:tcW w:w="4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144,381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22,313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51,970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207,816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31,956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177,006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51,970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240,482</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114,804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15,103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52,723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172,826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62,202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67,656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20,561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4,715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7,315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19,815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52,406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41,641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(10,442)</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93"/>
              <w:spacing w:after="0"/>
              <w:rPr>
                <w:sz w:val="20"/>
                <w:szCs w:val="20"/>
                <w:color w:val="auto"/>
              </w:rPr>
            </w:pPr>
            <w:r>
              <w:rPr>
                <w:rFonts w:ascii="Arial" w:cs="Arial" w:eastAsia="Arial" w:hAnsi="Arial"/>
                <w:sz w:val="18"/>
                <w:szCs w:val="18"/>
                <w:color w:val="auto"/>
              </w:rPr>
              <w:t>41,637</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94"/>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13"/>
              <w:spacing w:after="0"/>
              <w:rPr>
                <w:sz w:val="20"/>
                <w:szCs w:val="20"/>
                <w:color w:val="auto"/>
              </w:rPr>
            </w:pPr>
            <w:r>
              <w:rPr>
                <w:rFonts w:ascii="Arial" w:cs="Arial" w:eastAsia="Arial" w:hAnsi="Arial"/>
                <w:sz w:val="18"/>
                <w:szCs w:val="18"/>
                <w:color w:val="auto"/>
              </w:rPr>
              <w:t>(8,067)</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(31,286)</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3"/>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125" w:right="239" w:bottom="105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054"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7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132,976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89,584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23,642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560" w:type="dxa"/>
            <w:vAlign w:val="bottom"/>
            <w:gridSpan w:val="2"/>
          </w:tcPr>
          <w:p>
            <w:pPr>
              <w:ind w:left="180"/>
              <w:spacing w:after="0"/>
              <w:rPr>
                <w:sz w:val="20"/>
                <w:szCs w:val="20"/>
                <w:color w:val="auto"/>
              </w:rPr>
            </w:pPr>
            <w:r>
              <w:rPr>
                <w:rFonts w:ascii="Arial" w:cs="Arial" w:eastAsia="Arial" w:hAnsi="Arial"/>
                <w:sz w:val="18"/>
                <w:szCs w:val="18"/>
                <w:color w:val="auto"/>
              </w:rPr>
              <w:t>Residential property valuation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17,533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19,447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Default management services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560" w:type="dxa"/>
            <w:vAlign w:val="bottom"/>
            <w:gridSpan w:val="2"/>
          </w:tcPr>
          <w:p>
            <w:pPr>
              <w:ind w:left="180"/>
              <w:spacing w:after="0"/>
              <w:rPr>
                <w:sz w:val="20"/>
                <w:szCs w:val="20"/>
                <w:color w:val="auto"/>
              </w:rPr>
            </w:pPr>
            <w:r>
              <w:rPr>
                <w:rFonts w:ascii="Arial" w:cs="Arial" w:eastAsia="Arial" w:hAnsi="Arial"/>
                <w:sz w:val="18"/>
                <w:szCs w:val="18"/>
                <w:color w:val="auto"/>
              </w:rPr>
              <w:t>Origination management services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144,381</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12,063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30,003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7560" w:type="dxa"/>
            <w:vAlign w:val="bottom"/>
            <w:gridSpan w:val="2"/>
          </w:tcPr>
          <w:p>
            <w:pPr>
              <w:ind w:left="180"/>
              <w:spacing w:after="0"/>
              <w:rPr>
                <w:sz w:val="20"/>
                <w:szCs w:val="20"/>
                <w:color w:val="auto"/>
              </w:rPr>
            </w:pPr>
            <w:r>
              <w:rPr>
                <w:rFonts w:ascii="Arial" w:cs="Arial" w:eastAsia="Arial" w:hAnsi="Arial"/>
                <w:sz w:val="18"/>
                <w:szCs w:val="18"/>
                <w:color w:val="auto"/>
              </w:rPr>
              <w:t>Default management services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541</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management services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756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56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198,986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177,006</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We recognized service revenue of $183.2 million for the three months ended March 31, 2016, a 27% increase compared to the three months ended March 31, 2015. The increase was primarily due to revenue growth in the asset management services businesses primarily from higher volumes of property inspection and preservation referrals and growth in the number of non-Ocwen properties sold on Hubzu. In addition, in early 2015, the pricing model to Ocwen for REO preservation services within asset management services changed. Historically, we billed (1) a fixed fee per REO asset (which was recognized as service revenue) and (2) actual vendor costs (which were recognized as reimbursable expenses revenue). For new REO referrals, beginning in early 2015, our pricing is on a per service basis (which is recognized as service revenue). This change results in certain services that were historically reimbursable expenses revenue becoming service revenue. As a result, service revenue in the asset management services businesses increased and reimbursable expenses revenue decreased.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Mortgage Services businesses are impacted by seasonality. REO sales and lawn maintenance services within the asset management services business are generally lowest during the fall and winter months and highest during the spring and summer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7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20,805</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71,089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52,593</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31,915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8,414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8,674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817</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121,518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114,804</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the three months ended March 31, 2016 of $121.5 million increased by 6% compared to the three months ended March 31, 2015. The increase is primarily attributable to higher outside fees and services and compensation and benefits costs, partially offset by a decrease in reimbursable expenses. Outside fees and services increased from a higher volume of property inspection and preservation referrals and the change in billing discussed in the revenue section above, partially offset by the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termination of the Data Access and Services Agreement effective March 31, 2015. Compensation and benefits costs increased from higher headcount to support certain of our growth initiatives. Reimbursable expenses declined primarily as a result of the change in billing discussed in the revenue section above.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increased to $77.5 million, representing 42% of service revenue, for the three months ended March 31, 2016 compared to $62.2 million, representing 43% of service revenue, for the three months ended March 31, 2015. Gross profit as a percentage of service revenue decreased slightly as we experienced higher growth in the lower margin property inspection and preservation services, partially offset by the March 31, 2015 termination of the Data Access and Services Agreement with Ocwen.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margins can vary substantially depending upon service revenue mix.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140" w:type="dxa"/>
            <w:vAlign w:val="bottom"/>
          </w:tcPr>
          <w:p>
            <w:pPr>
              <w:jc w:val="right"/>
              <w:ind w:right="142"/>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7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4,542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2,600</w:t>
            </w: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6,439</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w:t>
            </w: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3,934</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26,969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20,561</w:t>
            </w: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5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SG&amp;A for the three months ended March 31, 2016 of $27.0 million increased by 31% compared to the three months ended March 31, 2015. This increase was primarily driven by higher amortization of intangible assets, compensation and benefits costs and marketing costs, partially offset by lower other costs. The amortization of intangible assets increased due to the acquisitions of RentRange and Investability as well as CastleLine in the second half of 2015 and higher service revenue from the Homeward and ResCap portfolios. Compensation and benefits costs increased primarily due to growth of the sales and marketing organizations to support our revenue and customer diversification initiatives and higher headcount to support certain of our growth initiatives. The increase in marketing costs relates to Owners.com, as we launched our marketing campaign in two geographies in the first quarter of 2016. The decrease in other costs was primarily due to a favorable loss accrual adjustment for the three months ended March 31, 2016.</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increased to $50.5 million, representing 28% of service revenue, for the three months ended March 31, 2016 compared to $41.6 million, representing 29% of service revenue, for the three months ended March 31, 2015. The decrease in operating income margin is primarily the result of lower gross profit margins and higher SG&amp;A expenses, as discussed above.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7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gridSpan w:val="2"/>
          </w:tcPr>
          <w:p>
            <w:pPr>
              <w:ind w:left="180"/>
              <w:spacing w:after="0"/>
              <w:rPr>
                <w:sz w:val="20"/>
                <w:szCs w:val="20"/>
                <w:color w:val="auto"/>
              </w:rPr>
            </w:pPr>
            <w:r>
              <w:rPr>
                <w:rFonts w:ascii="Arial" w:cs="Arial" w:eastAsia="Arial" w:hAnsi="Arial"/>
                <w:sz w:val="18"/>
                <w:szCs w:val="18"/>
                <w:color w:val="auto"/>
              </w:rPr>
              <w:t>Customer relationship management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10,901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11,396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10,917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756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20,076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22,313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756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56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20,104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22,354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recognized service revenue of $20.1 million for the three months ended March 31, 2016, a 10% decrease compared to the three months ended March 31, 2015, primarily due to lower mortgage charge-off collections driven by a decline in referrals.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of our Financial Services businesses are impacted by seasonality. Revenue in the asset recovery management business tends to be higher in the first quarter, as borrowers may utilize tax refunds and bonuses to pay debts, and generally declines throughout the rest of the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7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10,987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697</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2,907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14,258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15,103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for the three months ended March 31, 2016 of $14.3 million decreased by 6% compared to the three months ended March 31, 2015. The decrease in cost of revenue was primarily due to lower technology and telecommunications costs resulting from the implementation of cost savings initiatives in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decreased to $5.8 million, representing 29% of service revenue, for the three months ended March 31, 2016 compared to $7.3 million, representing 32% of service revenue, for the three months ended March 31, 2015. Gross profit margin decreased primarily due to revenue mix as a higher percentage of the revenue decline was in the higher margin mortgage charge-off collections business.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140" w:type="dxa"/>
            <w:vAlign w:val="bottom"/>
          </w:tcPr>
          <w:p>
            <w:pPr>
              <w:jc w:val="right"/>
              <w:ind w:right="142"/>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7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7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1,127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w:t>
            </w: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890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4,309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7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SG&amp;A for the three months ended March 31, 2016 of $4.3 million decreased by 9% compared to the three months ended March 31, 2015. The decrease is primarily due to the decrease in amortization of intangible assets, driven by lower service revenues from the mortgage charge-off collections services.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decreased to $1.5 million, representing 8% of service revenue, for the three months ended March 31, 2016 compared to $2.5 million, representing 11% of service revenue, for the three months ended March 31, 2015. The decrease in operating income as a percentage of service revenue is primarily the result of lower gross profit margins as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240" w:type="dxa"/>
            <w:vAlign w:val="bottom"/>
          </w:tcPr>
          <w:p>
            <w:pPr>
              <w:jc w:val="right"/>
              <w:ind w:right="20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7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Software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29,335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32,624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IT infrastructure services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19,346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40,647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51,970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recognized service revenue of $40.6 million for the three months ended March 31, 2016, a 22% decrease compared to the three months ended March 31, 2015. This was primarily driven by a decrease in IT infrastructure services due to the implementation of cost reduction initiatives and the transitioning of resources supporting Ocwen’s technology infrastructure to Ocwen, both of which are typically billed on a cost plus basis. Software services revenue decreased due to lower rates charged to Ocwen for certain services and lower volumes of certain software services.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segment presentation purposes, revenue from services provided by Technology Services to our other reportable segments is eliminated in consolidation. This intercompany revenue is included as revenue in the Technology Services segment and as technology and telecommunications costs, a component of cost of revenue and SG&amp;A, in our other reportable segments.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240" w:type="dxa"/>
            <w:vAlign w:val="bottom"/>
          </w:tcPr>
          <w:p>
            <w:pPr>
              <w:jc w:val="right"/>
              <w:ind w:right="202"/>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24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7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37,534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2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10,073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5,196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5,116</w:t>
            </w:r>
          </w:p>
        </w:tc>
        <w:tc>
          <w:tcPr>
            <w:tcW w:w="1360" w:type="dxa"/>
            <w:vAlign w:val="bottom"/>
            <w:gridSpan w:val="2"/>
          </w:tcPr>
          <w:p>
            <w:pPr>
              <w:jc w:val="right"/>
              <w:ind w:right="2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41,893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52,723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the three months ended March 31, 2016 of $41.9 million decreased by 21% compared to the three months ended March 31, 2015. The decrease was primarily due to decreases in compensation and benefits and technology and telecommunications costs as a result of the implementation of cost savings initiatives in 2015. Compensation and benefits costs for the three months ended March 31, 2015 included $2.8 million of severance expense related to the elimination of staff.</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Gross loss increased to $(1.2) million, representing (3)% of service revenue, for the three months ended March 31, 2016 compared to $(0.8) million, representing (1)% of service revenue, for the three months ended March 31, 2015 as the decline in revenue exceeded the decline in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Loss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240" w:type="dxa"/>
            <w:vAlign w:val="bottom"/>
          </w:tcPr>
          <w:p>
            <w:pPr>
              <w:jc w:val="right"/>
              <w:ind w:right="20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7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838</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6,558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SG&amp;A for the three months ended March 31, 2016 of $6.6 million decreased by 10% compared to the three months ended March 31, 2015. The decrease was primarily driven by lower occupancy related costs related to facility consolidations during 2015.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Loss from operations decreased to $(7.8) million, representing (19)% of service revenue, for the three months ended March 31, 2016 compared to loss from operations of $(8.1) million, representing (16)% of service revenue, for the three months ended March 31, 2015. Loss from operations as a percentage of service revenue increased primarily due to the increase in gross loss, as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Items and Eliminations include interest expense, other than temporary impairment loss on HLSS securities and costs related to corporate support functions including executive, finance, law, compliance, human resources, vendor management, risk, sales and marketing cost not allocated to the business units. It also includes eliminations of transactions between the reportable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Corporate costs consist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7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11,334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768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19,815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10,427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0" w:name="page41"/>
    <w:bookmarkEnd w:id="40"/>
    <w:p>
      <w:pPr>
        <w:ind w:left="40"/>
        <w:spacing w:after="0"/>
        <w:tabs>
          <w:tab w:leader="none" w:pos="7560" w:val="left"/>
          <w:tab w:leader="none" w:pos="8200" w:val="left"/>
          <w:tab w:leader="none" w:pos="8920" w:val="left"/>
          <w:tab w:leader="none" w:pos="9560" w:val="left"/>
          <w:tab w:leader="none" w:pos="11080" w:val="left"/>
        </w:tabs>
        <w:rPr>
          <w:sz w:val="20"/>
          <w:szCs w:val="20"/>
          <w:color w:val="auto"/>
        </w:rPr>
      </w:pPr>
      <w:r>
        <w:rPr>
          <w:rFonts w:ascii="Arial" w:cs="Arial" w:eastAsia="Arial" w:hAnsi="Arial"/>
          <w:sz w:val="18"/>
          <w:szCs w:val="18"/>
          <w:color w:val="auto"/>
        </w:rPr>
        <w:t>Total corporate costs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22,382</w:t>
        <w:tab/>
        <w:t>$</w:t>
      </w:r>
      <w:r>
        <w:rPr>
          <w:sz w:val="20"/>
          <w:szCs w:val="20"/>
          <w:color w:val="auto"/>
        </w:rPr>
        <w:tab/>
      </w:r>
      <w:r>
        <w:rPr>
          <w:rFonts w:ascii="Arial" w:cs="Arial" w:eastAsia="Arial" w:hAnsi="Arial"/>
          <w:sz w:val="18"/>
          <w:szCs w:val="18"/>
          <w:color w:val="auto"/>
        </w:rPr>
        <w:t>30,242</w:t>
      </w:r>
      <w:r>
        <w:rPr>
          <w:sz w:val="20"/>
          <w:szCs w:val="20"/>
          <w:color w:val="auto"/>
        </w:rPr>
        <w:tab/>
      </w: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31750</wp:posOffset>
            </wp:positionV>
            <wp:extent cx="166370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2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Corporate costs for the three months ended March 31, 2016 of $22.4 million decreased by 26% compared to the three months ended March 31, 2015. The decrease was primarily due to lower compensation and benefits, occupancy related and marketing costs as a larger portion of these costs were allocated to the segments and there was lower severance expense for the three months ended March 31, 2016. In addition, we recorded a $3.3 million loss related to an other than temporary impairment of HLSS securities for the three months ended March 31, 2015 with no comparative amount in 2016.</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for the three months ended March 31, 2016 of $6.5 million decreased by 9% compared to the three months ended March 31, 2015, primarily from 2015 repurchases of $49.0 million of principal amount of our senior secured term loan.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Intercompany revenue that is eliminated in consolidation decreased for the three months ended March 31, 2016 compared to the three months ended March 31, 2015. These intercompany transactions primarily consisted of IT infrastructure services which decreased for the three months ended March 31, 2016 compared to the three months ended March 31, 2015. This is consistent with the lower IT infrastructure services revenue described in the Technology Services revenue discussion above. While the expenses are recognized in the Mortgage Services and Financial Services segments above, the elimination of these expenses is reflected in Corporate Items and Eliminations.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 of liquidity is cash flows from operations. We seek to deploy excess cash generated in a disciplined manner. Principally, we intend to use excess cash to develop complementary services and businesses that we believe will generate attractive margins in line with our core capabilities and strategy. We also use cash to repurchase and repay our senior secured term loan and repurchase shares of our common stock. We also consider and evaluate business acquisitions that may arise from time to time that are aligned with our strategy.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2016, we used $13.2 million to repurchase Altisource common stock and make a contractual repayment of our senior secured 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wholly-owned subsidiaries are guarantors of the term loan.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 The lenders of the senior secured term loan, as amended, have no obligation to provide any such additional debt under the accordion provision. As of March 31, 2016, $535.1 million was outstanding under the senior secured term loan agreement, as amended, compared to $536.6 million as of December 31, 2015.</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After giving effect to the third amendment entered into on August 1, 2014, the term loan must be repaid in equal consecutive quarterly principal installments of $1.5 million, which commenced on September 30, 2014,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loan agreement upon the occurrence of any event of default under the senior secured term loan agreement. However, if the leverage ratio exceeds 3.00 to 1.00, as calculated in accordance with the provisions of the senior secured term loan agreement, a percentage of cash flows must be used to repay principal (the percentage increases if the leverage ratio exceeds 3.50 to 1.00). No mandatory prepayments were required for the three months ended March 31, 2016. The interest rate as of March 31, 2016 was 4.50%.</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2016, we repurchased a portion of our senior secured term loan with a par value of $28.0 million at a 13.1% discount. The early extinguishment of a portion of the debt will be recorded in the second quarter of 2016.</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debt covenants in the senior secured term loan agreement limit, among other things, our ability to incur additional debt, pay dividends and repurchase shares of our common stock. In the event we require additional liquidity, our ability to obtain it may be limited by the senior secured term loan.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4"/>
                <w:szCs w:val="14"/>
                <w:color w:val="auto"/>
              </w:rPr>
            </w:pPr>
          </w:p>
        </w:tc>
        <w:tc>
          <w:tcPr>
            <w:tcW w:w="114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80" w:type="dxa"/>
            <w:vAlign w:val="bottom"/>
          </w:tcPr>
          <w:p>
            <w:pPr>
              <w:jc w:val="right"/>
              <w:ind w:right="302"/>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4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adjusted for non-cash items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27,043</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(42,981)</w:t>
            </w:r>
          </w:p>
        </w:tc>
        <w:tc>
          <w:tcPr>
            <w:tcW w:w="1580" w:type="dxa"/>
            <w:vAlign w:val="bottom"/>
            <w:gridSpan w:val="2"/>
          </w:tcPr>
          <w:p>
            <w:pPr>
              <w:jc w:val="right"/>
              <w:ind w:right="2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provided by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(33,901)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(55,738)</w:t>
            </w:r>
          </w:p>
        </w:tc>
        <w:tc>
          <w:tcPr>
            <w:tcW w:w="1580" w:type="dxa"/>
            <w:vAlign w:val="bottom"/>
            <w:gridSpan w:val="2"/>
          </w:tcPr>
          <w:p>
            <w:pPr>
              <w:jc w:val="right"/>
              <w:ind w:right="2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161,361</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159,705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105,623</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flows from operating activities generally consist of the cash effects of transactions and events that enter into the determination of net income. For the three months ended March 31, 2016, we generated cash flows from operating activities of $29.0 million, or approximately $0.12 for every dollar of service revenue compared to negative cash flows from operating activities of $(15.9) million, or approximately $(0.08) for every dollar of service revenue for the three months ended March 31, 2015. The increase in cash flows from operations for the three months ended March 31, 2016 compared to the three months ended March 31, 2015 is principally driven by higher net income, higher depreciation and amortization and intangible asset amortization, and lower unfavorable working capital changes. Changes in working capital were principally driven by higher collections of accounts receivable and the timing of payment of accounts payable and other accrued expenses, partially offset by higher prepaid expenses and other current assets.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(e.g., the foreclosure is complete, the REO asset is sold, etc.) and our cash flows from operations may be negatively impacted when comparing one interim period to another.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from investing activities primarily include capital expenditures and purchases of available for sale securities. For the three months ended March 31, 2016 and 2015, we spent $6.0 million and $3.9 million, respectively, primarily related to investments in IT infrastructure, the development of certain software applications and facility build-outs. Capital expenditures for the three months ended March 31, 2016 increased primarily as a result of higher spending on software applications and facilities. In addition, during the three months ended March 31, 2016, we purchased 2.5 million shares of Residential common stock for $29.4 million, including brokers commissions, in the open market and during the three months ended March 31, 2015, we purchased 1.6 million shares of HLSS common stock for $30.0 million, including brokers commissions, in the open market. The shares of HLSS common stock were sold in the second quarter of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from financing activities for the three months ended March 31, 2016 and 2015 include activities associated with share repurchases, debt repayment, stock option exercises and payments to non-controlling interests. During the three months ended March 31, 2016 and 2015, we spent $11.7 million and $4.0 million, respectively, increasing our repurchases of common stock. During each of the three months ended March 31, 2016 and 2015, we used $1.5 million to repay the senior secured term loan. Stock option exercises provided proceeds of $0.4 million and $0.2 million for the three months ended March 31, 2016 and 2015, respectively. Distributions to non-controlling interests were $0.4 million and $0.7 million for the three months ended March 31, 2016 and 2015,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March 31, 2016</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12, 2014, we acquired certain assets and assumed certain liabilities of Mortgage Builder Software, Inc. (“Mortgage Builder”). The Mortgage Builder purchase agreement provides for the payment of up to $7.0 million in potential additional consideration based on Adjusted Revenue (as defined in the purchase agreement). We have estimated the fair value of the Mortgage Builder potential additional consideration to be $1.8 million as of March 31, 2016. The amount ultimately paid will depend on Mortgage Builder’s Adjusted Revenue in the three consecutive 12-month periods following closing. There have been no payments made related to the first 12-month period following closing.</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21, 2014, we acquired certain assets and assumed certain liabilities of Owners Advantage, LLC (“Owners”). The Owners purchase agreement provides for a payment of up to $7.0 million of potential additional consideration based on Adjusted Revenue (as defined in the purchase agreement) earned in the two consecutive 12-month periods following closing. We estimated the fair value of the Owners contingent consideration to be $2.3 million as of March 31, 2016. The amount ultimately paid will depend on Owners’ Adjusted Revenue earned in the two consecutive 12-month periods following closing. There have been no payments made related to the first 12-month period following closing.</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17, 2015, we acquired CastleLine. A portion of the purchase consideration totaling $10.5 million is payable to the sellers over four years from the acquisition date, including $3.8 million to be paid to certain of the sellers that is contingent on future employment. As of March 31, 2016, $1.9 million of the $10.5 million that is payable over four years from the acquisition date and none of the $3.8 million purchase consideration that is contingent on future employment has been paid to the sellers.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2016, we expect to distribute $0.4 million to the Lenders One members representing non-controlling interests and repay $1.5 million of the senior secured term loan. In April 2016, we repurchased a portion of our senior secured term loan with a par value of $28.0 million at a 13.1% discount.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we will generate sufficient cash flows from operations to fund capital expenditures and required debt and interest payments for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March 31, 2016, there were no significant changes to our contractual obligations from those identified in our Form 10-K for the fiscal year ended December 31, 2015, other than those that occur in the normal course of business. See Note 22 to the interim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critical accounting policies are described in the MD&amp;A section of our Form 10-K for the year ended December 31, 2015 filed with the SEC on March 15, 2016. Those policies have not changed during the three months ended March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condensed consolidated financial statements for a discussion of the future adoption of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2016, the interest rate charged on the senior secured term loan was 4.50%. The interest rate is calculated based on the Adjusted Eurodollar Rate (as defined in the senior secured term loan agreement) with a minimum floor of 1.00% plus 3.50%.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at March 31, 2016, a one percentage point increase in the Eurodollar Rate would increase our annual interest expense by approximately $2.3 million, based on the March 31, 2016 Adjusted Eurodollar Rate. There would be no change in our annual interest expense if there was a one percentage point decrease in the Eurodollar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foreign currency denominated expenses, assets, liabilities and cash flows. Our most significant foreign currency exposure relates to the Indian rupee. Based on expenses incurred in Indian rupees during the three months ended March 31, 2016, a one percentage point increase or decrease in value of the Indian rupee in relation to the United States dollar would increase or decrease our annual expenses by approximately $1.1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Management, under the supervision of and with the participation of our Chief Executive Officer and our Chief Financial Officer, has evaluated the effectiveness of our disclosure controls and procedures (as defined in Rule 13a-15(e) and Rule 15d-15(e) of the Securities Exchange Act of 1934, as amended (the “Exchange Act”)) as of the end of the period covered by this quarterly report. Based on such evaluation and solely because of the previously disclosed material weakness in internal control over financial reporting (see our Annual Report on Form 10-K for the year ended December 31, 2015) related to ineffective controls related to the review of impairment indicators of long-lived assets, including premises and equipment, and the impairment analysis of indefinite-lived assets, primarily goodwill, management concluded that our internal control over financial reporting was not effective as of March 31, 2016.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implement remediation measures to address the above-described material weakness and enhance the Company’s internal control over financial reporting related to the review of impairment indicators of long-lived assets and the impairment analysis of indefinite-lived assets by taking the following actions:</w:t>
      </w:r>
    </w:p>
    <w:p>
      <w:pPr>
        <w:spacing w:after="0" w:line="14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processes related to the impairment assessment of long-lived and indefinite-lived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Enhance review controls relating to the review of impairment indicators of long-lived assets and the impairment analysis of indefinite-lived assets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Test and evaluate the design and operating effectiveness of the control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Assess the effectiveness of the remediation plan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2016, we are preparing our remediation plans, but we do not yet have an expected timetable for the execution and completion of the remediation. We believe the remediation measures will strengthen the Company’s internal control over financial reporting related to the review of impairment indicators of long-lived assets and the impairment analysis of indefinite-lived assets and remediate the material weakness identified. We will continue to monitor the effectiveness of these remediation measures and will make any changes and take such other actions that we deem appropriate given the circumstances.</w:t>
      </w:r>
    </w:p>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March 31, 2016, that have materially affected, or are reasonably likely to materially affect, our internal control over financial reporting.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Portfolio Solutions S.A. share prices. The Court subsequently appointed the Pension Fund for the International Union of Painters and Allied Trades District Council 35 and the Annuity Fund for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Altisource Portfolio Solutions S.A. securities between April 25, 2013 and December 21, 2014 and an unspecified amount of damages. Altisource Portfolio Solutions S.A. moved to dismiss the suit on March 23, 2015. On September 4, 2015, the Court granted the defendants’ motion to dismiss, finding that the Lead Plaintiffs’ amended complaint failed to state a claim as to any of the defendants, but permitting the Lead Plaintiffs to file another amended complaint. Lead Plaintiffs subsequently filed second and third amended complaints with substantially similar claims and theories. Altisource Portfolio Solutions S.A. moved to dismiss the third amended complaint on October 22, 2015. On December 22, 2015, the Court issued an order dismissing with prejudice all claims against Ocwen Financial Corporation and certain claims against Altisource Portfolio Solutions S.A. and the officer and director defendants, but denying the motion to dismiss as to other claims. Altisource Portfolio Solutions S.A. intends to continue to vigorously defend this suit.</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February 11, 2015, W.A. Sokolowski, an alleged shareholder of Ocwen Financial Corporation, filed an amended shareholder derivative complaint in the United States District Court for the Southern District of Florida against Ocwen Financial Corporation (as a nominal defendant), certain of its current or former officers and directors, Altisource Portfolio Solutions S.A. and other companies. The suit seeks recovery of an unspecified amount of damages for alleged breaches of fiduciary duty by Ocwen Financial Corporation’s officers and directors, which were allegedly aided and abetted by Altisource Portfolio Solutions S.A. and other defendants. Altisource Portfolio Solutions S.A. filed a motion to dismiss the complaint on November 9, 2015. While that motion was pending, additional lawsuits alleging similar claims for alleged breaches of fiduciary duties by current or former Ocwen Financial Corporation officers and directors were filed in or transferred to the Court. The Court subsequently consolidated these actions and denied Altisource Portfolio Solutions S.A.’s motion to dismiss the Sokolowski complaint without prejudice to re-file following appointment of lead counsel for the consolidated action and the filing or designation of an operative complaint. Lead counsel for plaintiffs filed their Consolidated Verified Shareholder Derivative Complaint (the “Consolidated Complaint”) on March 8, 2016. The Consolidated Complaint alleges claims that Altisource Portfolio Solutions S.A., its subsidiary Beltline Road Insurance Agency, Inc. and other defendants aided and abetted alleged breaches of fiduciary duties by Ocwen Financial Corporation officers and directors and/or were unjustly enriched in connection with business dealings with Ocwen Financial Corporation. The Consolidated Complaint also seeks contribution from Altisource Portfolio Solutions S.A., its subsidiary Beltline Road Insurance Agency, Inc. and other defendants for amounts Ocwen Financial Corporation paid in connection with a settlement with the New York State Department of Financial Services. The current deadline for defendants to respond to the Consolidated Complaint is May 13, 2016. Altisource Portfolio Solutions S.A. and Beltline Road Insurance Agency, Inc. intend to vigorously defend the lawsuit and to move to dismiss all claims against them.</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(as a nominal defendant), certain of its current or former officers and directors, Altisource Portfolio Solutions S.A. and other companies. The suit seeks recovery of an unspecified amount of damages for alleged breaches of fiduciary duties by the current or former Ocwen Financial Corporation officers and directors, which were allegedly aided and abetted by Altisource Portfolio Solutions S.A. and other defendants. On November 9, 2015, the Court entered an order staying all proceedings in the case pending further order of the Court. If the litigation proceeds, Altisource Portfolio Solutions S.A. intends to vigorously defend the lawsuit and to move to dismiss all claims against it.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is unable to predict the outcomes of these lawsuits or reasonably estimate the potential loss, if any, arising from the suits, given that the forthcoming motions to dismiss in the second and third cases have not yet been adjudicated, a stay has been entered in the third case and significant legal and factual issues remain to be determined in all three cases.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2015 filed with the SEC on March 15,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March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2"/>
                <w:szCs w:val="12"/>
                <w:color w:val="auto"/>
              </w:rPr>
            </w:pPr>
          </w:p>
        </w:tc>
        <w:tc>
          <w:tcPr>
            <w:tcW w:w="15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Weighted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of shares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number of</w:t>
            </w:r>
          </w:p>
        </w:tc>
        <w:tc>
          <w:tcPr>
            <w:tcW w:w="38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shares</w:t>
            </w:r>
          </w:p>
        </w:tc>
        <w:tc>
          <w:tcPr>
            <w:tcW w:w="380" w:type="dxa"/>
            <w:vAlign w:val="bottom"/>
          </w:tcPr>
          <w:p>
            <w:pPr>
              <w:spacing w:after="0"/>
              <w:rPr>
                <w:sz w:val="12"/>
                <w:szCs w:val="12"/>
                <w:color w:val="auto"/>
              </w:rPr>
            </w:pPr>
          </w:p>
        </w:tc>
        <w:tc>
          <w:tcPr>
            <w:tcW w:w="15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8"/>
                <w:szCs w:val="8"/>
                <w:b w:val="1"/>
                <w:bCs w:val="1"/>
                <w:color w:val="auto"/>
                <w:w w:val="91"/>
              </w:rPr>
              <w:t>(1)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b w:val="1"/>
                <w:bCs w:val="1"/>
                <w:color w:val="auto"/>
                <w:w w:val="95"/>
              </w:rPr>
              <w:t>(2)</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360"/>
              <w:spacing w:after="0"/>
              <w:rPr>
                <w:sz w:val="20"/>
                <w:szCs w:val="20"/>
                <w:color w:val="auto"/>
              </w:rPr>
            </w:pPr>
            <w:r>
              <w:rPr>
                <w:rFonts w:ascii="Arial" w:cs="Arial" w:eastAsia="Arial" w:hAnsi="Arial"/>
                <w:sz w:val="18"/>
                <w:szCs w:val="18"/>
                <w:color w:val="auto"/>
              </w:rPr>
              <w:t>January 1 — 31, 2016</w:t>
            </w:r>
          </w:p>
        </w:tc>
        <w:tc>
          <w:tcPr>
            <w:tcW w:w="1840" w:type="dxa"/>
            <w:vAlign w:val="bottom"/>
          </w:tcPr>
          <w:p>
            <w:pPr>
              <w:jc w:val="right"/>
              <w:ind w:right="39"/>
              <w:spacing w:after="0"/>
              <w:rPr>
                <w:sz w:val="20"/>
                <w:szCs w:val="20"/>
                <w:color w:val="auto"/>
              </w:rPr>
            </w:pPr>
            <w:r>
              <w:rPr>
                <w:rFonts w:ascii="Arial" w:cs="Arial" w:eastAsia="Arial" w:hAnsi="Arial"/>
                <w:sz w:val="18"/>
                <w:szCs w:val="18"/>
                <w:color w:val="auto"/>
              </w:rPr>
              <w:t>181,296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27.58</w:t>
            </w:r>
          </w:p>
        </w:tc>
        <w:tc>
          <w:tcPr>
            <w:tcW w:w="120" w:type="dxa"/>
            <w:vAlign w:val="bottom"/>
          </w:tcPr>
          <w:p>
            <w:pPr>
              <w:spacing w:after="0"/>
              <w:rPr>
                <w:sz w:val="21"/>
                <w:szCs w:val="21"/>
                <w:color w:val="auto"/>
              </w:rPr>
            </w:pP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181,296</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1,250,284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February 1 — 29, 2016</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1,250,284</w:t>
            </w:r>
          </w:p>
        </w:tc>
        <w:tc>
          <w:tcPr>
            <w:tcW w:w="0" w:type="dxa"/>
            <w:vAlign w:val="bottom"/>
          </w:tcPr>
          <w:p>
            <w:pPr>
              <w:spacing w:after="0"/>
              <w:rPr>
                <w:sz w:val="1"/>
                <w:szCs w:val="1"/>
                <w:color w:val="auto"/>
              </w:rPr>
            </w:pPr>
          </w:p>
        </w:tc>
      </w:tr>
      <w:tr>
        <w:trPr>
          <w:trHeight w:val="243"/>
        </w:trPr>
        <w:tc>
          <w:tcPr>
            <w:tcW w:w="3780" w:type="dxa"/>
            <w:vAlign w:val="bottom"/>
            <w:gridSpan w:val="2"/>
          </w:tcPr>
          <w:p>
            <w:pPr>
              <w:ind w:left="360"/>
              <w:spacing w:after="0"/>
              <w:rPr>
                <w:sz w:val="20"/>
                <w:szCs w:val="20"/>
                <w:color w:val="auto"/>
              </w:rPr>
            </w:pPr>
            <w:r>
              <w:rPr>
                <w:rFonts w:ascii="Arial" w:cs="Arial" w:eastAsia="Arial" w:hAnsi="Arial"/>
                <w:sz w:val="18"/>
                <w:szCs w:val="18"/>
                <w:color w:val="auto"/>
              </w:rPr>
              <w:t>March 1 — 31, 2016</w:t>
            </w:r>
          </w:p>
        </w:tc>
        <w:tc>
          <w:tcPr>
            <w:tcW w:w="1840" w:type="dxa"/>
            <w:vAlign w:val="bottom"/>
          </w:tcPr>
          <w:p>
            <w:pPr>
              <w:jc w:val="right"/>
              <w:ind w:right="39"/>
              <w:spacing w:after="0"/>
              <w:rPr>
                <w:sz w:val="20"/>
                <w:szCs w:val="20"/>
                <w:color w:val="auto"/>
              </w:rPr>
            </w:pPr>
            <w:r>
              <w:rPr>
                <w:rFonts w:ascii="Arial" w:cs="Arial" w:eastAsia="Arial" w:hAnsi="Arial"/>
                <w:sz w:val="18"/>
                <w:szCs w:val="18"/>
                <w:color w:val="auto"/>
              </w:rPr>
              <w:t>282,642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21"/>
                <w:szCs w:val="21"/>
                <w:color w:val="auto"/>
              </w:rPr>
            </w:pP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282,642</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967,642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9"/>
              <w:spacing w:after="0"/>
              <w:rPr>
                <w:sz w:val="20"/>
                <w:szCs w:val="20"/>
                <w:color w:val="auto"/>
              </w:rPr>
            </w:pPr>
            <w:r>
              <w:rPr>
                <w:rFonts w:ascii="Arial" w:cs="Arial" w:eastAsia="Arial" w:hAnsi="Arial"/>
                <w:sz w:val="18"/>
                <w:szCs w:val="18"/>
                <w:color w:val="auto"/>
              </w:rPr>
              <w:t>463,938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25.17</w:t>
            </w:r>
          </w:p>
        </w:tc>
        <w:tc>
          <w:tcPr>
            <w:tcW w:w="120" w:type="dxa"/>
            <w:vAlign w:val="bottom"/>
          </w:tcPr>
          <w:p>
            <w:pPr>
              <w:spacing w:after="0"/>
              <w:rPr>
                <w:sz w:val="21"/>
                <w:szCs w:val="21"/>
                <w:color w:val="auto"/>
              </w:rPr>
            </w:pP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463,938</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967,642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80" w:hanging="258"/>
        <w:spacing w:after="0"/>
        <w:tabs>
          <w:tab w:leader="none" w:pos="28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May include shares withheld from employees to satisfy tax withholding obligations that arose from the exercise of stock options.</w:t>
      </w:r>
    </w:p>
    <w:p>
      <w:pPr>
        <w:spacing w:after="0" w:line="309" w:lineRule="exact"/>
        <w:rPr>
          <w:rFonts w:ascii="Arial" w:cs="Arial" w:eastAsia="Arial" w:hAnsi="Arial"/>
          <w:sz w:val="25"/>
          <w:szCs w:val="25"/>
          <w:color w:val="auto"/>
          <w:vertAlign w:val="superscript"/>
        </w:rPr>
      </w:pPr>
    </w:p>
    <w:p>
      <w:pPr>
        <w:ind w:left="280" w:hanging="258"/>
        <w:spacing w:after="0" w:line="216" w:lineRule="auto"/>
        <w:tabs>
          <w:tab w:leader="none" w:pos="28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On May 20, 2015, our shareholders authorized a new share repurchase program that replaces the prior program and authorizes us to purchase up to 3.0 million shares of our common stock in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1100" w:hanging="14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31.1   Section 302 Certification of the Chief Executive Officer pursuant to Exchange Act Rule 13a-14(a)</w:t>
      </w:r>
    </w:p>
    <w:p>
      <w:pPr>
        <w:spacing w:after="0" w:line="184" w:lineRule="exact"/>
        <w:rPr>
          <w:rFonts w:ascii="Arial" w:cs="Arial" w:eastAsia="Arial" w:hAnsi="Arial"/>
          <w:sz w:val="18"/>
          <w:szCs w:val="18"/>
          <w:color w:val="auto"/>
        </w:rPr>
      </w:pPr>
    </w:p>
    <w:p>
      <w:pPr>
        <w:ind w:left="1100" w:hanging="14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31.2   Section 302 Certification of the Chief Financial Officer pursuant to Exchange Act Rule 13a-14(a)</w:t>
      </w:r>
    </w:p>
    <w:p>
      <w:pPr>
        <w:spacing w:after="0" w:line="184" w:lineRule="exact"/>
        <w:rPr>
          <w:rFonts w:ascii="Arial" w:cs="Arial" w:eastAsia="Arial" w:hAnsi="Arial"/>
          <w:sz w:val="18"/>
          <w:szCs w:val="18"/>
          <w:color w:val="auto"/>
        </w:rPr>
      </w:pPr>
    </w:p>
    <w:p>
      <w:pPr>
        <w:ind w:left="1620" w:right="20" w:hanging="662"/>
        <w:spacing w:after="0" w:line="277" w:lineRule="auto"/>
        <w:tabs>
          <w:tab w:leader="none" w:pos="10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32.1 Certification by the Chief Executive Officer and Chief Financial Officer pursuant to Section 906 of the Sarbanes-Oxley Act of 2002</w:t>
      </w:r>
    </w:p>
    <w:p>
      <w:pPr>
        <w:spacing w:after="0" w:line="129" w:lineRule="exact"/>
        <w:rPr>
          <w:rFonts w:ascii="Arial" w:cs="Arial" w:eastAsia="Arial" w:hAnsi="Arial"/>
          <w:sz w:val="18"/>
          <w:szCs w:val="18"/>
          <w:color w:val="auto"/>
        </w:rPr>
      </w:pPr>
    </w:p>
    <w:p>
      <w:pPr>
        <w:ind w:left="1620" w:hanging="662"/>
        <w:spacing w:after="0" w:line="293" w:lineRule="auto"/>
        <w:tabs>
          <w:tab w:leader="none" w:pos="1093" w:val="left"/>
        </w:tabs>
        <w:numPr>
          <w:ilvl w:val="0"/>
          <w:numId w:val="16"/>
        </w:numPr>
        <w:rPr>
          <w:rFonts w:ascii="Arial" w:cs="Arial" w:eastAsia="Arial" w:hAnsi="Arial"/>
          <w:sz w:val="16"/>
          <w:szCs w:val="16"/>
          <w:color w:val="auto"/>
        </w:rPr>
      </w:pPr>
      <w:r>
        <w:rPr>
          <w:rFonts w:ascii="Arial" w:cs="Arial" w:eastAsia="Arial" w:hAnsi="Arial"/>
          <w:sz w:val="16"/>
          <w:szCs w:val="16"/>
          <w:color w:val="auto"/>
        </w:rPr>
        <w:t>101 Pursuant to Rule 405 of Regulation S-T, the following financial information from the Company’s Quarterly Report on Form 10-Q for the period ended March 31, 2016 is formatted in XBRL interactive data files: (i) Condensed Consolidated Balance Sheets at March 31, 2016 and December 31, 2015; (ii) Condensed Consolidated Statements of Operations and Comprehensive Income for the three months ended March 31, 2016 and 2015; (iii) Condensed Consolidated Statements of Equity for the three months ended March 31, 2016 and 2015; (iv) Condensed Consolidated Statements of Cash Flows for the three months ended March 31, 2016 and 2015; and (v) Notes to Condensed Consolidated Financial Statements.</w:t>
      </w:r>
    </w:p>
    <w:p>
      <w:pPr>
        <w:spacing w:after="0" w:line="326" w:lineRule="exact"/>
        <w:rPr>
          <w:rFonts w:ascii="Arial" w:cs="Arial" w:eastAsia="Arial" w:hAnsi="Arial"/>
          <w:sz w:val="16"/>
          <w:szCs w:val="16"/>
          <w:color w:val="auto"/>
        </w:rPr>
      </w:pPr>
    </w:p>
    <w:p>
      <w:pPr>
        <w:ind w:left="1100" w:hanging="14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60"/>
          </w:cols>
          <w:pgMar w:left="240" w:top="125" w:right="10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ALTISOURCE PORTFOLIO SOLUTIONS S.A.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700" w:val="left"/>
          <w:tab w:leader="none" w:pos="5620" w:val="left"/>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2016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280"/>
        <w:spacing w:after="0"/>
        <w:tabs>
          <w:tab w:leader="none" w:pos="7220" w:val="left"/>
          <w:tab w:leader="none" w:pos="7900" w:val="left"/>
        </w:tabs>
        <w:rPr>
          <w:sz w:val="20"/>
          <w:szCs w:val="20"/>
          <w:color w:val="auto"/>
        </w:rPr>
      </w:pPr>
      <w:r>
        <w:rPr>
          <w:rFonts w:ascii="Arial" w:cs="Arial" w:eastAsia="Arial" w:hAnsi="Arial"/>
          <w:sz w:val="18"/>
          <w:szCs w:val="18"/>
          <w:color w:val="auto"/>
        </w:rPr>
        <w:t>Date: April 28,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2016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5620" w:val="left"/>
          <w:tab w:leader="none" w:pos="6300" w:val="left"/>
        </w:tabs>
        <w:rPr>
          <w:sz w:val="20"/>
          <w:szCs w:val="20"/>
          <w:color w:val="auto"/>
        </w:rPr>
      </w:pPr>
      <w:r>
        <w:rPr>
          <w:rFonts w:ascii="Arial" w:cs="Arial" w:eastAsia="Arial" w:hAnsi="Arial"/>
          <w:sz w:val="18"/>
          <w:szCs w:val="18"/>
          <w:color w:val="auto"/>
        </w:rPr>
        <w:t>Date: April 28,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2016</w:t>
      </w:r>
    </w:p>
    <w:p>
      <w:pPr>
        <w:spacing w:after="0" w:line="200" w:lineRule="exact"/>
        <w:rPr>
          <w:sz w:val="20"/>
          <w:szCs w:val="20"/>
          <w:color w:val="auto"/>
        </w:rPr>
      </w:pP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(the “Company”) for the quarterly period ended March 31, 2016,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56"/>
        </w:trPr>
        <w:tc>
          <w:tcPr>
            <w:tcW w:w="54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April 28, 2016</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April 28, 2016</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352"/>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1."/>
      <w:numFmt w:val="decimal"/>
      <w:start w:val="3"/>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2019-12-29T13:08:26Z</dcterms:created>
  <dcterms:modified xsi:type="dcterms:W3CDTF">2019-12-29T13:08:26Z</dcterms:modified>
</cp:coreProperties>
</file>