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9cai1maa-live.xml.htm"/>
      <w:bookmarkStart w:id="1" w:name="ksf4_a1eus000009cai1maa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MORETTINI JOSEPH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1375 PORTMARNOCK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ALTISOURCE PORTFOLIO SOLUTIONS S.A.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 Exercise Stakeholder Warrants (ASPSZ)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2,031.3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21,688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Net Settle Stakeholder Warrants (ASPSW)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2,031.3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open market sale of Altisource Portfolio Solutions S.A. ("ASPS") Cash Exercise Stakeholder Warrants (ASPSZ).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Cash Exercise Stakeholder Warrant is exercisable into 0.20313 shares of ASPS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an open market sale of ASPS Net Settle Stakeholder Warrants (ASPSW).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Net Settle Stakeholder Warrant is exercisable into 0.20313 shares of ASPS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Teresa L. Szupello,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6137" TargetMode="External"/><Relationship Id="rId5" Type="http://schemas.openxmlformats.org/officeDocument/2006/relationships/hyperlink" Target="http://www.sec.gov/cgi-bin/browse-edgar?action=getcompany&amp;CIK=00014624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3629</Characters>
  <CharactersWithSpaces>4196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