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166370</wp:posOffset>
            </wp:positionH>
            <wp:positionV relativeFrom="page">
              <wp:posOffset>397510</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-199390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86" w:lineRule="exact"/>
        <w:rPr>
          <w:sz w:val="24"/>
          <w:szCs w:val="24"/>
          <w:color w:val="auto"/>
        </w:rPr>
      </w:pPr>
    </w:p>
    <w:p>
      <w:pPr>
        <w:ind w:left="980" w:hanging="594"/>
        <w:spacing w:after="0"/>
        <w:tabs>
          <w:tab w:leader="none" w:pos="98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-248285</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 the quarterly period ended September 30, 2014</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jc w:val="center"/>
        <w:ind w:left="4380" w:right="1280" w:hanging="3953"/>
        <w:spacing w:after="0" w:line="291" w:lineRule="auto"/>
        <w:tabs>
          <w:tab w:leader="none" w:pos="984"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128905</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ALTISOURCE PORTFOLIO SOLUTIONS S.A.</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163830</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p>
      <w:pPr>
        <w:spacing w:after="0" w:line="200" w:lineRule="exact"/>
        <w:rPr>
          <w:sz w:val="24"/>
          <w:szCs w:val="24"/>
          <w:color w:val="auto"/>
        </w:rPr>
      </w:pPr>
    </w:p>
    <w:p>
      <w:pPr>
        <w:spacing w:after="0" w:line="215"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Luxembourg</w:t>
      </w:r>
    </w:p>
    <w:p>
      <w:pPr>
        <w:spacing w:after="0" w:line="20" w:lineRule="exact"/>
        <w:rPr>
          <w:sz w:val="24"/>
          <w:szCs w:val="24"/>
          <w:color w:val="auto"/>
        </w:rPr>
      </w:pPr>
      <w:r>
        <w:rPr>
          <w:sz w:val="24"/>
          <w:szCs w:val="24"/>
          <w:color w:val="auto"/>
        </w:rPr>
        <w:br w:type="column"/>
      </w:r>
    </w:p>
    <w:p>
      <w:pPr>
        <w:spacing w:after="0" w:line="3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98-0554932</w:t>
      </w:r>
    </w:p>
    <w:p>
      <w:pPr>
        <w:spacing w:after="0" w:line="90" w:lineRule="exact"/>
        <w:rPr>
          <w:sz w:val="24"/>
          <w:szCs w:val="24"/>
          <w:color w:val="auto"/>
        </w:rPr>
      </w:pPr>
    </w:p>
    <w:p>
      <w:pPr>
        <w:sectPr>
          <w:pgSz w:w="11900" w:h="16838" w:orient="portrait"/>
          <w:cols w:equalWidth="0" w:num="2">
            <w:col w:w="7400" w:space="720"/>
            <w:col w:w="3300"/>
          </w:cols>
          <w:pgMar w:left="240" w:top="756" w:right="23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20" w:space="720"/>
            <w:col w:w="4180"/>
          </w:cols>
          <w:pgMar w:left="240" w:top="756"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 avenue Monterey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L-2163 Luxembourg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+352 2469 7900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w:t>
      </w:r>
    </w:p>
    <w:p>
      <w:pPr>
        <w:spacing w:after="0" w:line="211" w:lineRule="exact"/>
        <w:rPr>
          <w:sz w:val="24"/>
          <w:szCs w:val="24"/>
          <w:color w:val="auto"/>
        </w:rPr>
      </w:pPr>
    </w:p>
    <w:p>
      <w:pPr>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154"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w:t>
      </w:r>
    </w:p>
    <w:p>
      <w:pPr>
        <w:spacing w:after="0" w:line="1" w:lineRule="exact"/>
        <w:rPr>
          <w:sz w:val="24"/>
          <w:szCs w:val="24"/>
          <w:color w:val="auto"/>
        </w:rPr>
      </w:pPr>
    </w:p>
    <w:p>
      <w:pPr>
        <w:ind w:left="240" w:hanging="232"/>
        <w:spacing w:after="0"/>
        <w:tabs>
          <w:tab w:leader="none" w:pos="2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Arial" w:cs="Arial" w:eastAsia="Arial" w:hAnsi="Arial"/>
          <w:sz w:val="16"/>
          <w:szCs w:val="16"/>
          <w:b w:val="1"/>
          <w:bCs w:val="1"/>
          <w:color w:val="auto"/>
        </w:rPr>
        <w:t>o</w:t>
      </w:r>
    </w:p>
    <w:p>
      <w:pPr>
        <w:spacing w:after="0" w:line="186"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20"/>
          </w:cols>
          <w:pgMar w:left="240" w:top="756" w:right="239" w:bottom="1440" w:gutter="0" w:footer="0" w:header="0"/>
          <w:type w:val="continuous"/>
        </w:sectPr>
      </w:pPr>
    </w:p>
    <w:p>
      <w:pPr>
        <w:spacing w:after="0" w:line="89" w:lineRule="exact"/>
        <w:rPr>
          <w:sz w:val="24"/>
          <w:szCs w:val="24"/>
          <w:color w:val="auto"/>
        </w:rPr>
      </w:pPr>
    </w:p>
    <w:p>
      <w:pPr>
        <w:ind w:left="1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84" w:lineRule="exact"/>
        <w:rPr>
          <w:sz w:val="24"/>
          <w:szCs w:val="24"/>
          <w:color w:val="auto"/>
        </w:rPr>
      </w:pPr>
    </w:p>
    <w:p>
      <w:pPr>
        <w:sectPr>
          <w:pgSz w:w="11900" w:h="16838" w:orient="portrait"/>
          <w:cols w:equalWidth="0" w:num="2">
            <w:col w:w="7560" w:space="720"/>
            <w:col w:w="3140"/>
          </w:cols>
          <w:pgMar w:left="240" w:top="756" w:right="239" w:bottom="1440" w:gutter="0" w:footer="0" w:header="0"/>
          <w:type w:val="continuous"/>
        </w:sectPr>
      </w:pPr>
    </w:p>
    <w:p>
      <w:pPr>
        <w:ind w:left="16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200" w:lineRule="exact"/>
        <w:rPr>
          <w:sz w:val="24"/>
          <w:szCs w:val="24"/>
          <w:color w:val="auto"/>
        </w:rPr>
      </w:pPr>
    </w:p>
    <w:p>
      <w:pPr>
        <w:sectPr>
          <w:pgSz w:w="11900" w:h="16838" w:orient="portrait"/>
          <w:cols w:equalWidth="0" w:num="2">
            <w:col w:w="7560" w:space="720"/>
            <w:col w:w="3140"/>
          </w:cols>
          <w:pgMar w:left="240" w:top="756" w:right="239" w:bottom="1440" w:gutter="0" w:footer="0" w:header="0"/>
          <w:type w:val="continuous"/>
        </w:sectPr>
      </w:pP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20, 2014, there were 20,271,929 outstanding shares of the registrant’s shares of beneficial interest (excluding 5,140,819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195580</wp:posOffset>
            </wp:positionV>
            <wp:extent cx="7229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109855</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2380" w:type="dxa"/>
            <w:vAlign w:val="bottom"/>
            <w:tcBorders>
              <w:bottom w:val="single" w:sz="8" w:color="0000EE"/>
            </w:tcBorders>
            <w:gridSpan w:val="8"/>
          </w:tcPr>
          <w:p>
            <w:pPr>
              <w:spacing w:after="0" w:line="189" w:lineRule="exact"/>
              <w:rPr>
                <w:rFonts w:ascii="Arial" w:cs="Arial" w:eastAsia="Arial" w:hAnsi="Arial"/>
                <w:sz w:val="18"/>
                <w:szCs w:val="18"/>
                <w:color w:val="0000EE"/>
                <w:w w:val="93"/>
              </w:rPr>
            </w:pPr>
            <w:hyperlink w:anchor="page2">
              <w:r>
                <w:rPr>
                  <w:rFonts w:ascii="Arial" w:cs="Arial" w:eastAsia="Arial" w:hAnsi="Arial"/>
                  <w:sz w:val="18"/>
                  <w:szCs w:val="18"/>
                  <w:color w:val="0000EE"/>
                  <w:w w:val="93"/>
                </w:rPr>
                <w:t>PART I — Financial Information</w:t>
              </w:r>
            </w:hyperlink>
          </w:p>
        </w:tc>
        <w:tc>
          <w:tcPr>
            <w:tcW w:w="7980" w:type="dxa"/>
            <w:vAlign w:val="bottom"/>
            <w:gridSpan w:val="14"/>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85"/>
        </w:trPr>
        <w:tc>
          <w:tcPr>
            <w:tcW w:w="100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w:t>
              </w:r>
            </w:hyperlink>
          </w:p>
        </w:tc>
        <w:tc>
          <w:tcPr>
            <w:tcW w:w="520" w:type="dxa"/>
            <w:vAlign w:val="bottom"/>
            <w:gridSpan w:val="3"/>
          </w:tcPr>
          <w:p>
            <w:pPr>
              <w:spacing w:after="0"/>
              <w:rPr>
                <w:sz w:val="24"/>
                <w:szCs w:val="24"/>
                <w:color w:val="auto"/>
              </w:rPr>
            </w:pPr>
          </w:p>
        </w:tc>
        <w:tc>
          <w:tcPr>
            <w:tcW w:w="83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Condensed Consolidated Financial Statements (Unaudited)</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100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900" w:type="dxa"/>
            <w:vAlign w:val="bottom"/>
            <w:tcBorders>
              <w:top w:val="single" w:sz="8" w:color="0000EE"/>
            </w:tcBorders>
            <w:gridSpan w:val="7"/>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w:t>
              </w:r>
            </w:hyperlink>
          </w:p>
        </w:tc>
        <w:tc>
          <w:tcPr>
            <w:tcW w:w="1760" w:type="dxa"/>
            <w:vAlign w:val="bottom"/>
            <w:tcBorders>
              <w:top w:val="single" w:sz="8" w:color="0000EE"/>
            </w:tcBorders>
            <w:gridSpan w:val="6"/>
          </w:tcPr>
          <w:p>
            <w:pPr>
              <w:spacing w:after="0"/>
              <w:rPr>
                <w:sz w:val="21"/>
                <w:szCs w:val="21"/>
                <w:color w:val="auto"/>
              </w:rPr>
            </w:pPr>
          </w:p>
        </w:tc>
        <w:tc>
          <w:tcPr>
            <w:tcW w:w="3520" w:type="dxa"/>
            <w:vAlign w:val="bottom"/>
            <w:gridSpan w:val="2"/>
          </w:tcPr>
          <w:p>
            <w:pPr>
              <w:spacing w:after="0"/>
              <w:rPr>
                <w:sz w:val="21"/>
                <w:szCs w:val="21"/>
                <w:color w:val="auto"/>
              </w:rPr>
            </w:pPr>
          </w:p>
        </w:tc>
        <w:tc>
          <w:tcPr>
            <w:tcW w:w="100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1000" w:type="dxa"/>
            <w:vAlign w:val="bottom"/>
            <w:gridSpan w:val="4"/>
          </w:tcPr>
          <w:p>
            <w:pPr>
              <w:jc w:val="right"/>
              <w:ind w:right="40"/>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20" w:type="dxa"/>
            <w:vAlign w:val="bottom"/>
            <w:gridSpan w:val="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Equity</w:t>
              </w:r>
            </w:hyperlink>
          </w:p>
        </w:tc>
        <w:tc>
          <w:tcPr>
            <w:tcW w:w="300" w:type="dxa"/>
            <w:vAlign w:val="bottom"/>
          </w:tcPr>
          <w:p>
            <w:pPr>
              <w:spacing w:after="0"/>
              <w:rPr>
                <w:sz w:val="21"/>
                <w:szCs w:val="21"/>
                <w:color w:val="auto"/>
              </w:rPr>
            </w:pPr>
          </w:p>
        </w:tc>
        <w:tc>
          <w:tcPr>
            <w:tcW w:w="4560" w:type="dxa"/>
            <w:vAlign w:val="bottom"/>
            <w:gridSpan w:val="6"/>
          </w:tcPr>
          <w:p>
            <w:pPr>
              <w:spacing w:after="0"/>
              <w:rPr>
                <w:sz w:val="21"/>
                <w:szCs w:val="21"/>
                <w:color w:val="auto"/>
              </w:rPr>
            </w:pPr>
          </w:p>
        </w:tc>
        <w:tc>
          <w:tcPr>
            <w:tcW w:w="100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80" w:type="dxa"/>
            <w:vAlign w:val="bottom"/>
            <w:gridSpan w:val="10"/>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w:t>
              </w:r>
            </w:hyperlink>
          </w:p>
        </w:tc>
        <w:tc>
          <w:tcPr>
            <w:tcW w:w="4500" w:type="dxa"/>
            <w:vAlign w:val="bottom"/>
            <w:gridSpan w:val="5"/>
          </w:tcPr>
          <w:p>
            <w:pPr>
              <w:spacing w:after="0"/>
              <w:rPr>
                <w:sz w:val="21"/>
                <w:szCs w:val="21"/>
                <w:color w:val="auto"/>
              </w:rPr>
            </w:pPr>
          </w:p>
        </w:tc>
        <w:tc>
          <w:tcPr>
            <w:tcW w:w="1000" w:type="dxa"/>
            <w:vAlign w:val="bottom"/>
            <w:gridSpan w:val="4"/>
          </w:tcPr>
          <w:p>
            <w:pPr>
              <w:jc w:val="right"/>
              <w:ind w:right="40"/>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60" w:type="dxa"/>
            <w:vAlign w:val="bottom"/>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220" w:type="dxa"/>
            <w:vAlign w:val="bottom"/>
            <w:gridSpan w:val="4"/>
          </w:tcPr>
          <w:p>
            <w:pPr>
              <w:spacing w:after="0"/>
              <w:rPr>
                <w:sz w:val="21"/>
                <w:szCs w:val="21"/>
                <w:color w:val="auto"/>
              </w:rPr>
            </w:pPr>
          </w:p>
        </w:tc>
        <w:tc>
          <w:tcPr>
            <w:tcW w:w="1000" w:type="dxa"/>
            <w:vAlign w:val="bottom"/>
            <w:gridSpan w:val="4"/>
          </w:tcPr>
          <w:p>
            <w:pPr>
              <w:jc w:val="right"/>
              <w:ind w:right="4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500" w:type="dxa"/>
            <w:vAlign w:val="bottom"/>
            <w:gridSpan w:val="3"/>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Item 2</w:t>
              </w:r>
            </w:hyperlink>
          </w:p>
        </w:tc>
        <w:tc>
          <w:tcPr>
            <w:tcW w:w="500" w:type="dxa"/>
            <w:vAlign w:val="bottom"/>
            <w:gridSpan w:val="2"/>
          </w:tcPr>
          <w:p>
            <w:pPr>
              <w:spacing w:after="0"/>
              <w:rPr>
                <w:sz w:val="24"/>
                <w:szCs w:val="24"/>
                <w:color w:val="auto"/>
              </w:rPr>
            </w:pPr>
          </w:p>
        </w:tc>
        <w:tc>
          <w:tcPr>
            <w:tcW w:w="836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1000" w:type="dxa"/>
            <w:vAlign w:val="bottom"/>
            <w:gridSpan w:val="4"/>
          </w:tcPr>
          <w:p>
            <w:pPr>
              <w:jc w:val="right"/>
              <w:ind w:right="4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500" w:type="dxa"/>
            <w:vAlign w:val="bottom"/>
            <w:gridSpan w:val="3"/>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Item 3</w:t>
              </w:r>
            </w:hyperlink>
          </w:p>
        </w:tc>
        <w:tc>
          <w:tcPr>
            <w:tcW w:w="500" w:type="dxa"/>
            <w:vAlign w:val="bottom"/>
            <w:gridSpan w:val="2"/>
          </w:tcPr>
          <w:p>
            <w:pPr>
              <w:spacing w:after="0"/>
              <w:rPr>
                <w:sz w:val="24"/>
                <w:szCs w:val="24"/>
                <w:color w:val="auto"/>
              </w:rPr>
            </w:pPr>
          </w:p>
        </w:tc>
        <w:tc>
          <w:tcPr>
            <w:tcW w:w="4320" w:type="dxa"/>
            <w:vAlign w:val="bottom"/>
            <w:gridSpan w:val="13"/>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Quantitative and Qualitative Disclosures about Market Risk</w:t>
              </w:r>
            </w:hyperlink>
          </w:p>
        </w:tc>
        <w:tc>
          <w:tcPr>
            <w:tcW w:w="2140" w:type="dxa"/>
            <w:vAlign w:val="bottom"/>
            <w:gridSpan w:val="2"/>
          </w:tcPr>
          <w:p>
            <w:pPr>
              <w:spacing w:after="0"/>
              <w:rPr>
                <w:sz w:val="24"/>
                <w:szCs w:val="24"/>
                <w:color w:val="auto"/>
              </w:rPr>
            </w:pPr>
          </w:p>
        </w:tc>
        <w:tc>
          <w:tcPr>
            <w:tcW w:w="1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500" w:type="dxa"/>
            <w:vAlign w:val="bottom"/>
            <w:gridSpan w:val="3"/>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Item 4</w:t>
              </w:r>
            </w:hyperlink>
          </w:p>
        </w:tc>
        <w:tc>
          <w:tcPr>
            <w:tcW w:w="500" w:type="dxa"/>
            <w:vAlign w:val="bottom"/>
            <w:gridSpan w:val="2"/>
          </w:tcPr>
          <w:p>
            <w:pPr>
              <w:spacing w:after="0"/>
              <w:rPr>
                <w:sz w:val="24"/>
                <w:szCs w:val="24"/>
                <w:color w:val="auto"/>
              </w:rPr>
            </w:pPr>
          </w:p>
        </w:tc>
        <w:tc>
          <w:tcPr>
            <w:tcW w:w="1780" w:type="dxa"/>
            <w:vAlign w:val="bottom"/>
            <w:gridSpan w:val="6"/>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Controls and Procedures</w:t>
              </w:r>
            </w:hyperlink>
          </w:p>
        </w:tc>
        <w:tc>
          <w:tcPr>
            <w:tcW w:w="2540" w:type="dxa"/>
            <w:vAlign w:val="bottom"/>
            <w:gridSpan w:val="7"/>
          </w:tcPr>
          <w:p>
            <w:pPr>
              <w:spacing w:after="0"/>
              <w:rPr>
                <w:sz w:val="24"/>
                <w:szCs w:val="24"/>
                <w:color w:val="auto"/>
              </w:rPr>
            </w:pPr>
          </w:p>
        </w:tc>
        <w:tc>
          <w:tcPr>
            <w:tcW w:w="404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218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PART II — Other Information</w:t>
              </w:r>
            </w:hyperlink>
          </w:p>
        </w:tc>
        <w:tc>
          <w:tcPr>
            <w:tcW w:w="8180" w:type="dxa"/>
            <w:vAlign w:val="bottom"/>
            <w:gridSpan w:val="15"/>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1000" w:type="dxa"/>
            <w:vAlign w:val="bottom"/>
          </w:tcPr>
          <w:p>
            <w:pPr>
              <w:spacing w:after="0"/>
              <w:rPr>
                <w:sz w:val="24"/>
                <w:szCs w:val="24"/>
                <w:color w:val="auto"/>
              </w:rPr>
            </w:pPr>
          </w:p>
        </w:tc>
        <w:tc>
          <w:tcPr>
            <w:tcW w:w="500" w:type="dxa"/>
            <w:vAlign w:val="bottom"/>
            <w:gridSpan w:val="3"/>
          </w:tcPr>
          <w:p>
            <w:pPr>
              <w:spacing w:after="0"/>
              <w:rPr>
                <w:rFonts w:ascii="Arial" w:cs="Arial" w:eastAsia="Arial" w:hAnsi="Arial"/>
                <w:sz w:val="18"/>
                <w:szCs w:val="18"/>
                <w:color w:val="0000EE"/>
                <w:w w:val="95"/>
              </w:rPr>
            </w:pPr>
            <w:hyperlink w:anchor="page46">
              <w:r>
                <w:rPr>
                  <w:rFonts w:ascii="Arial" w:cs="Arial" w:eastAsia="Arial" w:hAnsi="Arial"/>
                  <w:sz w:val="18"/>
                  <w:szCs w:val="18"/>
                  <w:color w:val="0000EE"/>
                  <w:w w:val="95"/>
                </w:rPr>
                <w:t>Item 1</w:t>
              </w:r>
            </w:hyperlink>
          </w:p>
        </w:tc>
        <w:tc>
          <w:tcPr>
            <w:tcW w:w="500" w:type="dxa"/>
            <w:vAlign w:val="bottom"/>
            <w:gridSpan w:val="2"/>
          </w:tcPr>
          <w:p>
            <w:pPr>
              <w:spacing w:after="0"/>
              <w:rPr>
                <w:sz w:val="24"/>
                <w:szCs w:val="24"/>
                <w:color w:val="auto"/>
              </w:rPr>
            </w:pPr>
          </w:p>
        </w:tc>
        <w:tc>
          <w:tcPr>
            <w:tcW w:w="8360" w:type="dxa"/>
            <w:vAlign w:val="bottom"/>
            <w:gridSpan w:val="1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1000" w:type="dxa"/>
            <w:vAlign w:val="bottom"/>
            <w:gridSpan w:val="4"/>
          </w:tcPr>
          <w:p>
            <w:pPr>
              <w:jc w:val="right"/>
              <w:ind w:right="40"/>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100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1A</w:t>
              </w:r>
            </w:hyperlink>
          </w:p>
        </w:tc>
        <w:tc>
          <w:tcPr>
            <w:tcW w:w="8360" w:type="dxa"/>
            <w:vAlign w:val="bottom"/>
            <w:gridSpan w:val="1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1000" w:type="dxa"/>
            <w:vAlign w:val="bottom"/>
            <w:gridSpan w:val="4"/>
          </w:tcPr>
          <w:p>
            <w:pPr>
              <w:jc w:val="right"/>
              <w:ind w:right="40"/>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500" w:type="dxa"/>
            <w:vAlign w:val="bottom"/>
            <w:gridSpan w:val="3"/>
          </w:tcPr>
          <w:p>
            <w:pPr>
              <w:spacing w:after="0"/>
              <w:rPr>
                <w:rFonts w:ascii="Arial" w:cs="Arial" w:eastAsia="Arial" w:hAnsi="Arial"/>
                <w:sz w:val="18"/>
                <w:szCs w:val="18"/>
                <w:color w:val="0000EE"/>
                <w:w w:val="95"/>
              </w:rPr>
            </w:pPr>
            <w:hyperlink w:anchor="page47">
              <w:r>
                <w:rPr>
                  <w:rFonts w:ascii="Arial" w:cs="Arial" w:eastAsia="Arial" w:hAnsi="Arial"/>
                  <w:sz w:val="18"/>
                  <w:szCs w:val="18"/>
                  <w:color w:val="0000EE"/>
                  <w:w w:val="95"/>
                </w:rPr>
                <w:t>Item 2</w:t>
              </w:r>
            </w:hyperlink>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gridSpan w:val="7"/>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Issuer Purchases of Equity Securities</w:t>
              </w:r>
            </w:hyperlink>
          </w:p>
        </w:tc>
        <w:tc>
          <w:tcPr>
            <w:tcW w:w="568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480" w:type="dxa"/>
            <w:vAlign w:val="bottom"/>
            <w:gridSpan w:val="2"/>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Item 6</w:t>
              </w:r>
            </w:hyperlink>
          </w:p>
        </w:tc>
        <w:tc>
          <w:tcPr>
            <w:tcW w:w="2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268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568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2000" w:type="dxa"/>
            <w:vAlign w:val="bottom"/>
            <w:gridSpan w:val="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SIGNATURES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0" w:type="dxa"/>
            <w:vAlign w:val="bottom"/>
            <w:gridSpan w:val="4"/>
          </w:tcPr>
          <w:p>
            <w:pPr>
              <w:jc w:val="right"/>
              <w:ind w:right="4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723"/>
        </w:trPr>
        <w:tc>
          <w:tcPr>
            <w:tcW w:w="10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0" w:type="dxa"/>
            <w:vAlign w:val="bottom"/>
            <w:gridSpan w:val="10"/>
          </w:tcPr>
          <w:p>
            <w:pPr>
              <w:ind w:left="36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4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r>
      <w:tr>
        <w:trPr>
          <w:trHeight w:val="243"/>
        </w:trPr>
        <w:tc>
          <w:tcPr>
            <w:tcW w:w="8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8400" w:type="dxa"/>
            <w:vAlign w:val="bottom"/>
          </w:tcPr>
          <w:p>
            <w:pPr>
              <w:ind w:left="538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176,589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130,429</w:t>
            </w: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104,787</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17,454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10,891</w:t>
            </w: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 net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2,837</w:t>
            </w:r>
          </w:p>
        </w:tc>
      </w:tr>
      <w:tr>
        <w:trPr>
          <w:trHeight w:val="237"/>
        </w:trPr>
        <w:tc>
          <w:tcPr>
            <w:tcW w:w="84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356,845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248,944</w:t>
            </w: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Premises and equipment, net</w:t>
            </w: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115,773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87,252</w:t>
            </w: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72,384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99,414</w:t>
            </w: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250,315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276,162</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17,658</w:t>
            </w:r>
          </w:p>
        </w:tc>
      </w:tr>
      <w:tr>
        <w:trPr>
          <w:trHeight w:val="27"/>
        </w:trPr>
        <w:tc>
          <w:tcPr>
            <w:tcW w:w="8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304"/>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816,592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730,052</w:t>
            </w:r>
          </w:p>
        </w:tc>
      </w:tr>
      <w:tr>
        <w:trPr>
          <w:trHeight w:val="230"/>
        </w:trPr>
        <w:tc>
          <w:tcPr>
            <w:tcW w:w="8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3"/>
        </w:trPr>
        <w:tc>
          <w:tcPr>
            <w:tcW w:w="8400" w:type="dxa"/>
            <w:vAlign w:val="bottom"/>
          </w:tcPr>
          <w:p>
            <w:pPr>
              <w:ind w:left="4620"/>
              <w:spacing w:after="0"/>
              <w:rPr>
                <w:sz w:val="20"/>
                <w:szCs w:val="20"/>
                <w:color w:val="auto"/>
              </w:rPr>
            </w:pPr>
            <w:r>
              <w:rPr>
                <w:rFonts w:ascii="Arial" w:cs="Arial" w:eastAsia="Arial" w:hAnsi="Arial"/>
                <w:sz w:val="18"/>
                <w:szCs w:val="18"/>
                <w:color w:val="auto"/>
              </w:rPr>
              <w:t>LIABILITIES AND EQUITY</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99,598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84,706</w:t>
            </w: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3,975</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13,504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36,742</w:t>
            </w: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10,131</w:t>
            </w:r>
          </w:p>
        </w:tc>
      </w:tr>
      <w:tr>
        <w:trPr>
          <w:trHeight w:val="237"/>
        </w:trPr>
        <w:tc>
          <w:tcPr>
            <w:tcW w:w="84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128,730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135,554</w:t>
            </w: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584,028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391,281</w:t>
            </w: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45,476</w:t>
            </w:r>
          </w:p>
        </w:tc>
      </w:tr>
      <w:tr>
        <w:trPr>
          <w:trHeight w:val="243"/>
        </w:trPr>
        <w:tc>
          <w:tcPr>
            <w:tcW w:w="8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contingencies and regulatory matters (Note 18)</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400" w:type="dxa"/>
            <w:vAlign w:val="bottom"/>
          </w:tcPr>
          <w:p>
            <w:pPr>
              <w:ind w:left="180"/>
              <w:spacing w:after="0"/>
              <w:rPr>
                <w:sz w:val="20"/>
                <w:szCs w:val="20"/>
                <w:color w:val="auto"/>
              </w:rPr>
            </w:pPr>
            <w:r>
              <w:rPr>
                <w:rFonts w:ascii="Arial" w:cs="Arial" w:eastAsia="Arial" w:hAnsi="Arial"/>
                <w:sz w:val="18"/>
                <w:szCs w:val="18"/>
                <w:color w:val="auto"/>
                <w:w w:val="97"/>
              </w:rPr>
              <w:t>Common stock ($1.00 par value; 100,000 shares authorized; 25,413 issued and 20,747 outstanding as of</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400" w:type="dxa"/>
            <w:vAlign w:val="bottom"/>
          </w:tcPr>
          <w:p>
            <w:pPr>
              <w:ind w:left="340"/>
              <w:spacing w:after="0"/>
              <w:rPr>
                <w:sz w:val="20"/>
                <w:szCs w:val="20"/>
                <w:color w:val="auto"/>
              </w:rPr>
            </w:pPr>
            <w:r>
              <w:rPr>
                <w:rFonts w:ascii="Arial" w:cs="Arial" w:eastAsia="Arial" w:hAnsi="Arial"/>
                <w:sz w:val="18"/>
                <w:szCs w:val="18"/>
                <w:color w:val="auto"/>
              </w:rPr>
              <w:t>September 30, 2014; 25,413 issued and 22,629 outstanding as of December 31, 2013)</w:t>
            </w:r>
          </w:p>
        </w:tc>
        <w:tc>
          <w:tcPr>
            <w:tcW w:w="18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25,413</w:t>
            </w: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89,273</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369,952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239,561</w:t>
            </w: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Treasury stock, at cost (4,666 shares as of September 30, 2014 and 2,784 shares as of December 31, 2013)</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(398,217)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(197,548)</w:t>
            </w:r>
          </w:p>
        </w:tc>
      </w:tr>
      <w:tr>
        <w:trPr>
          <w:trHeight w:val="237"/>
        </w:trPr>
        <w:tc>
          <w:tcPr>
            <w:tcW w:w="8400" w:type="dxa"/>
            <w:vAlign w:val="bottom"/>
          </w:tcPr>
          <w:p>
            <w:pPr>
              <w:ind w:left="500"/>
              <w:spacing w:after="0"/>
              <w:rPr>
                <w:sz w:val="20"/>
                <w:szCs w:val="20"/>
                <w:color w:val="auto"/>
              </w:rPr>
            </w:pPr>
            <w:r>
              <w:rPr>
                <w:rFonts w:ascii="Arial" w:cs="Arial" w:eastAsia="Arial" w:hAnsi="Arial"/>
                <w:sz w:val="18"/>
                <w:szCs w:val="18"/>
                <w:color w:val="auto"/>
              </w:rPr>
              <w:t>Altisource equity</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88,059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156,699</w:t>
            </w: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1,042</w:t>
            </w:r>
          </w:p>
        </w:tc>
      </w:tr>
      <w:tr>
        <w:trPr>
          <w:trHeight w:val="27"/>
        </w:trPr>
        <w:tc>
          <w:tcPr>
            <w:tcW w:w="8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157,741</w:t>
            </w:r>
          </w:p>
        </w:tc>
      </w:tr>
      <w:tr>
        <w:trPr>
          <w:trHeight w:val="237"/>
        </w:trPr>
        <w:tc>
          <w:tcPr>
            <w:tcW w:w="8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64"/>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816,592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730,052</w:t>
            </w:r>
          </w:p>
        </w:tc>
      </w:tr>
      <w:tr>
        <w:trPr>
          <w:trHeight w:val="20"/>
        </w:trPr>
        <w:tc>
          <w:tcPr>
            <w:tcW w:w="8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6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264"/>
        </w:trPr>
        <w:tc>
          <w:tcPr>
            <w:tcW w:w="6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9"/>
              </w:rPr>
              <w:t>2013</w:t>
            </w:r>
          </w:p>
        </w:tc>
      </w:tr>
      <w:tr>
        <w:trPr>
          <w:trHeight w:val="243"/>
        </w:trPr>
        <w:tc>
          <w:tcPr>
            <w:tcW w:w="6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287,688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210,835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823,029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545,772</w:t>
            </w:r>
          </w:p>
        </w:tc>
      </w:tr>
      <w:tr>
        <w:trPr>
          <w:trHeight w:val="27"/>
        </w:trPr>
        <w:tc>
          <w:tcPr>
            <w:tcW w:w="6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188,724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134,261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520,528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348,195</w:t>
            </w:r>
          </w:p>
        </w:tc>
      </w:tr>
      <w:tr>
        <w:trPr>
          <w:trHeight w:val="237"/>
        </w:trPr>
        <w:tc>
          <w:tcPr>
            <w:tcW w:w="6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302,501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197,577</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46,748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31,519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139,303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80,027</w:t>
            </w:r>
          </w:p>
        </w:tc>
      </w:tr>
      <w:tr>
        <w:trPr>
          <w:trHeight w:val="27"/>
        </w:trPr>
        <w:tc>
          <w:tcPr>
            <w:tcW w:w="6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52,216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45,055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163,198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117,550</w:t>
            </w:r>
          </w:p>
        </w:tc>
      </w:tr>
      <w:tr>
        <w:trPr>
          <w:trHeight w:val="27"/>
        </w:trPr>
        <w:tc>
          <w:tcPr>
            <w:tcW w:w="6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(14,302)</w:t>
            </w:r>
          </w:p>
        </w:tc>
      </w:tr>
      <w:tr>
        <w:trPr>
          <w:trHeight w:val="27"/>
        </w:trPr>
        <w:tc>
          <w:tcPr>
            <w:tcW w:w="6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w:t>
            </w:r>
          </w:p>
        </w:tc>
      </w:tr>
      <w:tr>
        <w:trPr>
          <w:trHeight w:val="237"/>
        </w:trPr>
        <w:tc>
          <w:tcPr>
            <w:tcW w:w="6200" w:type="dxa"/>
            <w:vAlign w:val="bottom"/>
          </w:tcPr>
          <w:p>
            <w:pPr>
              <w:ind w:left="3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(13,773)</w:t>
            </w:r>
          </w:p>
        </w:tc>
      </w:tr>
      <w:tr>
        <w:trPr>
          <w:trHeight w:val="27"/>
        </w:trPr>
        <w:tc>
          <w:tcPr>
            <w:tcW w:w="6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6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45,867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38,614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147,293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103,777</w:t>
            </w:r>
          </w:p>
        </w:tc>
      </w:tr>
      <w:tr>
        <w:trPr>
          <w:trHeight w:val="27"/>
        </w:trPr>
        <w:tc>
          <w:tcPr>
            <w:tcW w:w="6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(6,227)</w:t>
            </w:r>
          </w:p>
        </w:tc>
      </w:tr>
      <w:tr>
        <w:trPr>
          <w:trHeight w:val="237"/>
        </w:trPr>
        <w:tc>
          <w:tcPr>
            <w:tcW w:w="6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137,993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97,550</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(3,093)</w:t>
            </w:r>
          </w:p>
        </w:tc>
      </w:tr>
      <w:tr>
        <w:trPr>
          <w:trHeight w:val="27"/>
        </w:trPr>
        <w:tc>
          <w:tcPr>
            <w:tcW w:w="6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304"/>
        </w:trPr>
        <w:tc>
          <w:tcPr>
            <w:tcW w:w="6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42,287</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36,008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136,019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94,457</w:t>
            </w:r>
          </w:p>
        </w:tc>
      </w:tr>
      <w:tr>
        <w:trPr>
          <w:trHeight w:val="230"/>
        </w:trPr>
        <w:tc>
          <w:tcPr>
            <w:tcW w:w="6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64"/>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4.07</w:t>
            </w:r>
          </w:p>
        </w:tc>
      </w:tr>
      <w:tr>
        <w:trPr>
          <w:trHeight w:val="20"/>
        </w:trPr>
        <w:tc>
          <w:tcPr>
            <w:tcW w:w="6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91"/>
        </w:trPr>
        <w:tc>
          <w:tcPr>
            <w:tcW w:w="6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3.77</w:t>
            </w:r>
          </w:p>
        </w:tc>
      </w:tr>
      <w:tr>
        <w:trPr>
          <w:trHeight w:val="230"/>
        </w:trPr>
        <w:tc>
          <w:tcPr>
            <w:tcW w:w="6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64"/>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21,626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23,025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22,071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23,185</w:t>
            </w:r>
          </w:p>
        </w:tc>
      </w:tr>
      <w:tr>
        <w:trPr>
          <w:trHeight w:val="20"/>
        </w:trPr>
        <w:tc>
          <w:tcPr>
            <w:tcW w:w="6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91"/>
        </w:trPr>
        <w:tc>
          <w:tcPr>
            <w:tcW w:w="6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23,640</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25,333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24,152</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25,070</w:t>
            </w:r>
          </w:p>
        </w:tc>
      </w:tr>
      <w:tr>
        <w:trPr>
          <w:trHeight w:val="230"/>
        </w:trPr>
        <w:tc>
          <w:tcPr>
            <w:tcW w:w="6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Transactions with related parties included above:</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178,151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143,557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502,736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354,889</w:t>
            </w: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11,062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5,045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27,904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13,959</w:t>
            </w:r>
          </w:p>
        </w:tc>
      </w:tr>
      <w:tr>
        <w:trPr>
          <w:trHeight w:val="27"/>
        </w:trPr>
        <w:tc>
          <w:tcPr>
            <w:tcW w:w="6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w:t>
            </w:r>
          </w:p>
        </w:tc>
      </w:tr>
      <w:tr>
        <w:trPr>
          <w:trHeight w:val="243"/>
        </w:trPr>
        <w:tc>
          <w:tcPr>
            <w:tcW w:w="620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773</w:t>
            </w: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3"/>
              </w:rPr>
              <w:t>Altisource Equity</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40" w:type="dxa"/>
            <w:vAlign w:val="bottom"/>
          </w:tcPr>
          <w:p>
            <w:pPr>
              <w:spacing w:after="0"/>
              <w:rPr>
                <w:sz w:val="13"/>
                <w:szCs w:val="13"/>
                <w:color w:val="auto"/>
              </w:rPr>
            </w:pPr>
          </w:p>
        </w:tc>
        <w:tc>
          <w:tcPr>
            <w:tcW w:w="15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3"/>
                <w:szCs w:val="13"/>
                <w:color w:val="auto"/>
              </w:rPr>
            </w:pPr>
          </w:p>
        </w:tc>
        <w:tc>
          <w:tcPr>
            <w:tcW w:w="10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Treasury stock,</w:t>
            </w:r>
          </w:p>
        </w:tc>
        <w:tc>
          <w:tcPr>
            <w:tcW w:w="11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3"/>
                <w:szCs w:val="13"/>
                <w:color w:val="auto"/>
              </w:rPr>
            </w:pPr>
          </w:p>
        </w:tc>
        <w:tc>
          <w:tcPr>
            <w:tcW w:w="8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at cost</w:t>
            </w:r>
          </w:p>
        </w:tc>
        <w:tc>
          <w:tcPr>
            <w:tcW w:w="20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4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4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4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Balance, December 31, 2012</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25,413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86,873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124,127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(77,954)</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159,829</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94,457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97,550</w:t>
            </w:r>
          </w:p>
        </w:tc>
        <w:tc>
          <w:tcPr>
            <w:tcW w:w="0" w:type="dxa"/>
            <w:vAlign w:val="bottom"/>
          </w:tcPr>
          <w:p>
            <w:pPr>
              <w:spacing w:after="0"/>
              <w:rPr>
                <w:sz w:val="1"/>
                <w:szCs w:val="1"/>
                <w:color w:val="auto"/>
              </w:rPr>
            </w:pPr>
          </w:p>
        </w:tc>
      </w:tr>
      <w:tr>
        <w:trPr>
          <w:trHeight w:val="229"/>
        </w:trPr>
        <w:tc>
          <w:tcPr>
            <w:tcW w:w="2840" w:type="dxa"/>
            <w:vAlign w:val="bottom"/>
          </w:tcPr>
          <w:p>
            <w:pPr>
              <w:ind w:left="40"/>
              <w:spacing w:after="0"/>
              <w:rPr>
                <w:sz w:val="20"/>
                <w:szCs w:val="20"/>
                <w:color w:val="auto"/>
              </w:rPr>
            </w:pPr>
            <w:r>
              <w:rPr>
                <w:rFonts w:ascii="Arial" w:cs="Arial" w:eastAsia="Arial" w:hAnsi="Arial"/>
                <w:sz w:val="18"/>
                <w:szCs w:val="18"/>
                <w:color w:val="auto"/>
              </w:rPr>
              <w:t>Contributions from non-controlling</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interest holders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holders</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w w:val="94"/>
              </w:rPr>
              <w:t>Share-based compensation expense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(87,418)</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September 30, 2013</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25,413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88,949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209,783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(151,861)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1,247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173,531</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Balance, December 31, 2013</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25,413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89,273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239,561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(197,548)</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157,741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136,019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137,993</w:t>
            </w:r>
          </w:p>
        </w:tc>
        <w:tc>
          <w:tcPr>
            <w:tcW w:w="0" w:type="dxa"/>
            <w:vAlign w:val="bottom"/>
          </w:tcPr>
          <w:p>
            <w:pPr>
              <w:spacing w:after="0"/>
              <w:rPr>
                <w:sz w:val="1"/>
                <w:szCs w:val="1"/>
                <w:color w:val="auto"/>
              </w:rPr>
            </w:pPr>
          </w:p>
        </w:tc>
      </w:tr>
      <w:tr>
        <w:trPr>
          <w:trHeight w:val="229"/>
        </w:trPr>
        <w:tc>
          <w:tcPr>
            <w:tcW w:w="284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interest holders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Share-based compensation expense</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(208,820)</w:t>
            </w: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2014</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25,413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90,911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369,952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89,262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840" w:type="dxa"/>
            <w:vAlign w:val="bottom"/>
          </w:tcPr>
          <w:p>
            <w:pPr>
              <w:spacing w:after="0"/>
              <w:rPr>
                <w:sz w:val="24"/>
                <w:szCs w:val="24"/>
                <w:color w:val="auto"/>
              </w:rPr>
            </w:pPr>
          </w:p>
        </w:tc>
        <w:tc>
          <w:tcPr>
            <w:tcW w:w="6340" w:type="dxa"/>
            <w:vAlign w:val="bottom"/>
            <w:gridSpan w:val="14"/>
          </w:tcPr>
          <w:p>
            <w:pPr>
              <w:ind w:left="2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55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48"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r>
      <w:tr>
        <w:trPr>
          <w:trHeight w:val="258"/>
        </w:trPr>
        <w:tc>
          <w:tcPr>
            <w:tcW w:w="86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2013</w:t>
            </w: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137,993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97,550</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21,086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13,791</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18,857</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Change in the fair value of Equator Earn Out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2,076</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losses of investment in affiliate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4,667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1,338</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702</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Loss on disposal of fixed assets</w:t>
            </w: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1,178</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(58,725)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3,762</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(6,142)</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(1,871)</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4,574</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Other current and non-current liabilities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(1,535)</w:t>
            </w:r>
          </w:p>
        </w:tc>
      </w:tr>
      <w:tr>
        <w:trPr>
          <w:trHeight w:val="27"/>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125,696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134,640</w:t>
            </w:r>
          </w:p>
        </w:tc>
      </w:tr>
      <w:tr>
        <w:trPr>
          <w:trHeight w:val="237"/>
        </w:trPr>
        <w:tc>
          <w:tcPr>
            <w:tcW w:w="86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Additions to premises and equipment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(48,119)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(20,528)</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(204,567)</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Proceeds from loan to Ocwen</w:t>
            </w:r>
          </w:p>
        </w:tc>
        <w:tc>
          <w:tcPr>
            <w:tcW w:w="30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75,000</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equity affiliate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12,648</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(63,344)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(137,497)</w:t>
            </w:r>
          </w:p>
        </w:tc>
      </w:tr>
      <w:tr>
        <w:trPr>
          <w:trHeight w:val="237"/>
        </w:trPr>
        <w:tc>
          <w:tcPr>
            <w:tcW w:w="86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198,000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201,000</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long-term debt and payments on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(2,400)</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stock option exercises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4,710</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(208,820)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(87,418)</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(3,234)</w:t>
            </w:r>
          </w:p>
        </w:tc>
      </w:tr>
      <w:tr>
        <w:trPr>
          <w:trHeight w:val="27"/>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109,940</w:t>
            </w:r>
          </w:p>
        </w:tc>
      </w:tr>
      <w:tr>
        <w:trPr>
          <w:trHeight w:val="237"/>
        </w:trPr>
        <w:tc>
          <w:tcPr>
            <w:tcW w:w="86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107,083</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130,429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105,502</w:t>
            </w:r>
          </w:p>
        </w:tc>
      </w:tr>
      <w:tr>
        <w:trPr>
          <w:trHeight w:val="27"/>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8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30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176,589</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212,585</w:t>
            </w:r>
          </w:p>
        </w:tc>
      </w:tr>
      <w:tr>
        <w:trPr>
          <w:trHeight w:val="230"/>
        </w:trPr>
        <w:tc>
          <w:tcPr>
            <w:tcW w:w="8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Supplemental cash flow information:</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13,592</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Income taxes paid, net</w:t>
            </w: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12,112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2,360</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86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payables for purchases of premises and equipment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1,947</w:t>
            </w: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Decrease in acquisition of businesses from subsequent working capital true-ups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(2,039)</w:t>
            </w: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ectPr>
          <w:pgSz w:w="11900" w:h="16838" w:orient="portrait"/>
          <w:cols w:equalWidth="0" w:num="1">
            <w:col w:w="11420"/>
          </w:cols>
          <w:pgMar w:left="240" w:top="125" w:right="23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368"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 premier marketplace and transaction solutions provider for the real estate, mortgage and consumer debt industries offering both distribution and content. We leverage proprietary business process, vendor and electronic payment management software and behavioral science based analytics to improve outcomes for marketplace participants.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incorporated under the laws of Luxembourg and are publicly traded on the NASDAQ Global Select Market under the symbol “ASPS.”</w:t>
      </w:r>
    </w:p>
    <w:p>
      <w:pPr>
        <w:spacing w:after="0" w:line="225" w:lineRule="exact"/>
        <w:rPr>
          <w:sz w:val="20"/>
          <w:szCs w:val="20"/>
          <w:color w:val="auto"/>
        </w:rPr>
      </w:pPr>
    </w:p>
    <w:p>
      <w:pPr>
        <w:ind w:right="360"/>
        <w:spacing w:after="0" w:line="227" w:lineRule="auto"/>
        <w:rPr>
          <w:sz w:val="20"/>
          <w:szCs w:val="20"/>
          <w:color w:val="auto"/>
        </w:rPr>
      </w:pPr>
      <w:r>
        <w:rPr>
          <w:rFonts w:ascii="Arial" w:cs="Arial" w:eastAsia="Arial" w:hAnsi="Arial"/>
          <w:sz w:val="17"/>
          <w:szCs w:val="17"/>
          <w:color w:val="auto"/>
        </w:rPr>
        <w:t>Altisource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operations are conducted through three reporting segments: Mortgage Services, Financial Services and Technology Services. In addition, we report our corporate-related expenditures and eliminations separately (see Note 19 for a description of our business segments).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these estimates. Intercompany and inter-segment transactions and accounts are eliminated in consolidation.</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Mortgage Partnership of America, L.L.C. (“MPA”), a wholly-owned subsidiary of Altisource, serves as the manager of Best Partners Mortgage Cooperative, Inc. doing business as Lenders One Mortgage Cooperative (“Lenders One”). MPA provides services to Lenders One under a management agreement that ends on December 31, 2025. The management agreement between MPA and Lenders One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members, pursuant to which MPA is the management company of Lenders One, represents a variable interest in a variable interest entity. MPA is the primary beneficiary of Lenders One as it has the power to direct the activities that most significantly impact Lenders One’s economic performance and the obligation to absorb losses or the right to receive benefits from Lenders One. As a result, Lenders One is presented in the accompanying condensed consolidated financial statements on a consolidated basis with the interests of the members reflected as non-controlling interests. As of September 30, 2014, Lenders One had total assets of $7.0 million and total liabilities of $5.8 million. As of December 31, 2013, Lenders One had total assets of $4.6 million and total liabilities of $3.5 million.</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consolidated financial statements and notes thereto contained in our Form 10-K for the year ended December 31, 2013, filed with the SEC on February 13, 2014, which contains a summary of our significant accounting policies. Certain footnote detail in the Form 10-K is omitted from the information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of Immaterial Errors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As previously disclosed, during the second quarter of 2014, we determined that while we properly identified our related parties in previously issued financial statements, disclosures of certain immaterial related party expenses were omitted. We have corrected the previously presented disclosures of related party expenses in Note 2 — </w:t>
      </w:r>
      <w:r>
        <w:rPr>
          <w:rFonts w:ascii="Arial" w:cs="Arial" w:eastAsia="Arial" w:hAnsi="Arial"/>
          <w:sz w:val="17"/>
          <w:szCs w:val="17"/>
          <w:i w:val="1"/>
          <w:iCs w:val="1"/>
          <w:color w:val="auto"/>
        </w:rPr>
        <w:t>Transactions with Related Parties</w:t>
      </w:r>
      <w:r>
        <w:rPr>
          <w:rFonts w:ascii="Arial" w:cs="Arial" w:eastAsia="Arial" w:hAnsi="Arial"/>
          <w:sz w:val="17"/>
          <w:szCs w:val="17"/>
          <w:color w:val="auto"/>
        </w:rPr>
        <w:t xml:space="preserve"> and on the face of the condensed consolidated statements of operations for the three and nine months ended September 30, 2013. The impact of correcting these items in the notes to the condensed consolidated financial statements had the effect of increasing the amounts disclosed as related party cost of revenue from Ocwen Financial Corporation, together with its subsidiaries (“Ocwen”), by $14.0 million for the nine months ended September 30, 2013 ($5.0 million for the third quarter of 2013), increasing the amounts disclosed as selling, general and administrative expenses from Ocwen billings to Altisource by $1.0 million for the nine months ended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September 30, 2013 ($0.8 million for the third quarter of 2013), decreasing the amounts disclosed as selling, general and administrative expenses from Altisource billings to Ocwen by $0.1 million for the nine months ended September 30, 2013 (less than $0.1 million for the third quarter of 2013) and decreasing the amounts disclosed as selling, general and administrative expenses from Altisource billings to Altisource Asset Management Corporation (“AAMC”) by $0.3 million for the nine months ended September 30, 2013 ($0.1 million for the third quarter of 2013). Correcting these items on the face of the condensed consolidated statements of operations resulted in the disclosure of related party cost of revenue of $14.0 million for the nine months ended September 30, 2013 ($5.0 million for the third quarter of 2013) and a decrease in previously disclosed related party selling, general and administrative expenses by $1.8 million for the nine months ended September 30, 2013 ($0.1 million for the third quarter of 2013).</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accordance with Accounting Standards Codification (“ASC”) Topic 250,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the Company evaluated the effect of the disclosure and presentation errors on its previously issued annual and quarterly financial statements, both qualitatively and quantitatively, and concluded that the related party disclosures in the Company’s previously issued annual and quarterly financial statements are not materially misstated.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May 2014, the Financial Accounting Standards Board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standard establishes a single comprehensive model for entities to use in accounting for revenue arising from contracts with customers and supersedes most current revenue recognition guidance. The core principle of the new standard is an entity should recognize revenue to depict the transfer of promised goods or services to customers in an amount that reflects the consideration to which the entity expects to be entitled in exchange for those goods or services. This new standard will be effective for annual reporting periods beginning after December 15, 2016, including interim periods within that reporting period. Early adoption is not permitted. The Company is currently evaluating the impact this new guidance may have on its results of operations and financial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established a three-level hierarchy that prioritizes the inputs used to measure fair value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 — Observable inputs other than quoted prices included in Level 1</w:t>
      </w:r>
    </w:p>
    <w:p>
      <w:pPr>
        <w:spacing w:after="0" w:line="9" w:lineRule="exact"/>
        <w:rPr>
          <w:sz w:val="20"/>
          <w:szCs w:val="20"/>
          <w:color w:val="auto"/>
        </w:rPr>
      </w:pPr>
    </w:p>
    <w:p>
      <w:pPr>
        <w:ind w:right="2100"/>
        <w:spacing w:after="0" w:line="261"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assets or liabilities.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financial assets and liabilities primarily include cash and cash equivalents, restricted cash, long-term debt and acquisition-related contingent consideration. Cash and cash equivalents and restricted cash are carried at amounts that approximate their fair value due to the short-term nature of these instruments. The fair value for cash and cash equivalents and restricted cash was measured using level 1 inputs. The carrying amount of long-term debt approximates fair value due to the variable interest rate and consistent credit rating of the Company. The fair value of long-term debt was measured using level 2 inputs. The carrying amount of acquisition-related contingent consideration is equal to its fair value. The fair value of acquisition-related contingent consideration was measured using level 3 inputs, which included sensitivities pertaining to discount rates and financial projections. See Note 3 for further discussion of the change in fair value of contingent consideration.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TRANSACTIONS WITH RELATED PARTIES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Chairman, William C. Erbey, also serves as Executive Chairman of Ocwen and Chairman of Home Loan Servicing Solutions, Ltd. (“HLSS”), Altisource Residential Corporation (“Residential”) and AAMC. As a result, he has obligations to Altisource as well as Ocwen, HLSS, Residential and AAMC. As of September 30, 2014, Mr. Erbey owned or controlled approximately 29% of the common stock of Altisource, approximately 14% of the common stock of Ocwen, approximately 1% of the common stock of HLSS, approximately 4% of the common stock of Residential and approximately 28% of the common stock of AAMC. As of September 30, 2014, Mr. Erbey also held 873,501 options to purchase Altisource common stock (all of which were exercisable), 3,620,498 options to purchase Ocwen common stock (3,220,498 of which were exercisable) and 87,350 options to purchase AAMC common stock (all of which were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Ocwen is our largest customer. Ocwen purchases certain mortgage services and technology services from us under the terms of the master services agreements and amendments to the master services agreements (collectively, the “Service Agreements”) with terms extending through August 2025. The Service Agreements, among other things, contain a “most favored nation” provision and the parties to the Service Agreements have the right to renegotiate pricing. In connection with our March 29, 2013 acquisition from Ocwen of the fee-based businesses of Homeward Residential, Inc. (“Homeward”) and the April 12, 2013 transaction with Ocwen related to the fee-based businesses of Residential Capital, LLC (“ResCap”) (see Note 3), our Service Agreements with Ocwen were amended to extend the term from 2020 to 2025. Further, as part of the amendments, Ocwen agreed not to establish similar fee-based businesses that would directly or indirectly compete with Altisource’s services with respect to the Homeward and ResCap businesses. During the third quarter of 2014, we agreed with Ocwen to apply a negligence standard with respect to indemnification obligations arising out of property preservation and inspection services. Previously, Altisource and Ocwen applied a gross negligence standard with respect to these indemnification obligations. We settle amounts with Ocwen on a daily, weekly or monthly basis depending upon the nature of the service and when the service is provided.</w:t>
      </w:r>
    </w:p>
    <w:p>
      <w:pPr>
        <w:spacing w:after="0" w:line="16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Related party revenue consists of revenue earned directly from Ocwen and revenue earned from the loans serviced by Ocwen when Ocwen designates us as the service provider. We earn additional revenue on the portfolios serviced by Ocwen that are not considered related party revenue when a party other than Ocwen selects Altisource as the service provider. Related party revenue from Ocwen as a percentage of segment and consolidated revenue was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4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ind w:left="880"/>
              <w:spacing w:after="0"/>
              <w:rPr>
                <w:sz w:val="20"/>
                <w:szCs w:val="20"/>
                <w:color w:val="auto"/>
              </w:rPr>
            </w:pPr>
            <w:r>
              <w:rPr>
                <w:rFonts w:ascii="Arial" w:cs="Arial" w:eastAsia="Arial" w:hAnsi="Arial"/>
                <w:sz w:val="14"/>
                <w:szCs w:val="14"/>
                <w:b w:val="1"/>
                <w:bCs w:val="1"/>
                <w:color w:val="auto"/>
                <w:w w:val="90"/>
              </w:rPr>
              <w:t>Nine months ended</w:t>
            </w:r>
          </w:p>
        </w:tc>
        <w:tc>
          <w:tcPr>
            <w:tcW w:w="860" w:type="dxa"/>
            <w:vAlign w:val="bottom"/>
          </w:tcPr>
          <w:p>
            <w:pPr>
              <w:spacing w:after="0"/>
              <w:rPr>
                <w:sz w:val="14"/>
                <w:szCs w:val="14"/>
                <w:color w:val="auto"/>
              </w:rPr>
            </w:pPr>
          </w:p>
        </w:tc>
      </w:tr>
      <w:tr>
        <w:trPr>
          <w:trHeight w:val="192"/>
        </w:trPr>
        <w:tc>
          <w:tcPr>
            <w:tcW w:w="54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6340" w:type="dxa"/>
            <w:vAlign w:val="bottom"/>
            <w:gridSpan w:val="2"/>
          </w:tcPr>
          <w:p>
            <w:pPr>
              <w:ind w:left="5960"/>
              <w:spacing w:after="0"/>
              <w:rPr>
                <w:sz w:val="20"/>
                <w:szCs w:val="20"/>
                <w:color w:val="auto"/>
              </w:rPr>
            </w:pPr>
            <w:r>
              <w:rPr>
                <w:rFonts w:ascii="Arial" w:cs="Arial" w:eastAsia="Arial" w:hAnsi="Arial"/>
                <w:sz w:val="14"/>
                <w:szCs w:val="14"/>
                <w:b w:val="1"/>
                <w:bCs w:val="1"/>
                <w:color w:val="auto"/>
              </w:rPr>
              <w:t>2014</w:t>
            </w:r>
          </w:p>
        </w:tc>
        <w:tc>
          <w:tcPr>
            <w:tcW w:w="15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ind w:left="56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ind w:right="474"/>
              <w:spacing w:after="0"/>
              <w:rPr>
                <w:sz w:val="20"/>
                <w:szCs w:val="20"/>
                <w:color w:val="auto"/>
              </w:rPr>
            </w:pPr>
            <w:r>
              <w:rPr>
                <w:rFonts w:ascii="Arial" w:cs="Arial" w:eastAsia="Arial" w:hAnsi="Arial"/>
                <w:sz w:val="14"/>
                <w:szCs w:val="14"/>
                <w:b w:val="1"/>
                <w:bCs w:val="1"/>
                <w:color w:val="auto"/>
                <w:w w:val="89"/>
              </w:rPr>
              <w:t>2013</w:t>
            </w:r>
          </w:p>
        </w:tc>
      </w:tr>
      <w:tr>
        <w:trPr>
          <w:trHeight w:val="243"/>
        </w:trPr>
        <w:tc>
          <w:tcPr>
            <w:tcW w:w="542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r>
      <w:tr>
        <w:trPr>
          <w:trHeight w:val="243"/>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Mortgage Services</w:t>
            </w:r>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67%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Services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28%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Technology Services</w:t>
            </w: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39%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6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Consolidated revenue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60%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5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revenue we earn from Ocwen under the Service Agreements at rates we believe to be market rates as we believe they are consistent with the fees we charge to other customers for comparable services and/or fees charged by our competitors.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times, we use Ocwen’s contractors and/or employees to support Altisource related services. Ocwen bills us for these contractors and/or employees based on their fully-allocated cost. Additionally, we purchase certain data relating to Ocwen’s servicing portfolio in connection with a Data Access and Services Agreement. The Data Access and Services Agreement may be renegotiated and may be cancelled by either Altisource or Ocwen with 90 days prior written notice. Ocwen bills us a per asset fee for this data. For the nine months ended September 30, 2014 and 2013, Ocwen billed us $27.9 million and $14.0 million, respectively ($11.1 million and $5.0 million for the third quarter of 2014 and 2013, respectively). These amounts are reflected as a component of cost of revenue in the condensed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certain other services to Ocwen and Ocwen provides certain other services to us. These services include such areas as human resources, vendor management, vendor oversight, corporate services, operational effectiveness, quality assurance, quantitative analytics, tax and treasury. Billings for these services are based on the fully-allocated cost of providing the service based on an estimate of the time and expense of providing the service or estimates thereof. For the nine months ended September 30, 2014 and 2013, we billed Ocwen $3.4 million and $1.9 million, respectively ($1.2 million and $0.6 million for the third quarter of 2014 and 2013, respectively), and Ocwen billed us $4.3 million and $3.1 million, respectively ($1.9 million and $1.5 million for the third quarter of 2014 and 2013, respectively). These amounts are reflected as a component of selling, general and administrative expenses in the condensed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Unsecured Term Loan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27, 2012, we entered into a senior unsecured term loan agreement with Ocwen under which we loaned $75.0 million to Ocwen. Payments of interest were due quarterly at a rate per annum equal to the Eurodollar Rate (as defined in the agreement)</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plus 6.75%, provided that the Eurodollar Rate is not less than 1.50%. On February 15, 2013, Ocwen repaid the outstanding principal amount of this loan and all accrued and unpaid interest and the term loan was terminated. Interest income related to this loan was $0.8 million for the nine months ended September 30, 2013, all of which was recognized in the first quarter of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Transactions Related to Fee-Based Businesses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2013, we entered into non-binding letters of intent with Ocwen to acquire certain fee-based businesses associated with Ocwen’s acquisitions of the Homeward and ResCap servicing portfolios. Ocwen acquired the Homeward servicing portfolio on December 27, 2012 and the ResCap servicing portfolio on February 15, 2013. Altisource acquired the Homeward fee-based businesses from Ocwen on March 29, 2013 (see Note 3). Altisource entered into an agreement with Ocwen on April 12, 2013 to establish additional terms related to our services in connection with the ResCap fee-based businesses (see Note 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Correspondent One and HLSS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2011, we acquired an equity interest in Correspondent One S.A. (“Correspondent One”). Correspondent One purchased closed conforming and government guaranteed residential mortgages from approved mortgage bankers. On March 31, 2013, we sold our 49% interest in Correspondent One to Ocwen for $12.6 million. Prior to the sale to Ocwen, we provided Correspondent One certain finance, human resources, legal support, facilities, technology, vendor management and risk management services under a support services agreement. For the nine months ended September 30, 2013, we billed Correspondent One $0.1 million (no comparative amounts for 2014 and the third quarter of 2013). This amount was reflected as a component of selling, general and administrative expenses in the condensed consolidated statements of operations. We also provided certain origination related services to Correspondent One. We earned revenue of $0.1 million for the nine months ended September 30, 2013 for these services (no comparative amounts for 2014 and the third quarter of 2013).</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HLSS is a publicly traded company whose primary objective is the acquisition of mortgage servicing rights and related servicing advances, loans held for investment and other residential mortgage related assets. Under a support services agreement, we provide HLSS certain finance, human resources, tax and facilities services. We billed HLSS $0.7 million and $0.5 million for the nine months ended September 30, 2014 and 2013, respectively ($0.2 million in each period for the third quarter of 2014 and 2013). These amounts are reflected as a component of selling, general and administrative expenses in the condensed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and AAMC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Residential and AAMC were established, capitalized and their equity was distributed to our shareholders on December 21, 2012 and they are each separate publicly traded companies. Residential is focused on acquiring and managing single family rental properties by acquiring portfolios of sub-performing and non-performing residential mortgage loans throughout the United States. AAMC is an asset management company providing portfolio management and corporate governance services to Residential.</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purposes of governing certain ongoing relationships between Altisource, Residential and AAMC, we entered into certain agreements with Residential and AAMC. We have agreements to provide Residential with renovation management, lease management and property management services. We have an agreement with AAMC's subsidiary, Newsource Reinsurance Company Ltd. to provide a variety of title insurance related services. In addition, we have agreements with Residential and AAMC to provide services such as finance, human resources, facilities, technology and risk management. Further, we have separate agreements for certain services related to income tax matters, trademark licenses and technology products and services.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nine months ended September 30, 2014 and 2013, we billed Residential $8.9 million and $1.3 million, respectively ($4.2 million and $0.9 million for the third quarter of 2014 and 2013, respectively). This excludes revenue from services we provide to Residential's loans serviced by Ocwen where we are retained by Ocwen. That revenue is included in Ocwen related party revenue. For the nine months ended September 30, 2014 and 2013, we billed AAMC $2.2 million and less than $0.1 million, respectively ($2.1 million and less than $0.1 million for the third quarter of 2014 and 2013, respectively), under the services agreements. These amounts are reflected in revenue in the condensed consolidated statements of operations. In addition, for the nine months ended September 30, 2014 and 2013, we billed AAMC $0.7 million and $0.3 million, respectively ($0.2 million and $0.1 million for the third quarter of 2014 and 2013, respectively), under the services agreements. These amounts are reflected as a component of selling, general and administrative expenses in the condensed consolidated statements of operations.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Homeward Fee-Based Businesses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29, 2013, we acquired certain fee-based businesses associated with Ocwen’s acquisition of Homeward. As part of the acquisition, Ocwen agreed not to develop similar fee-based businesses that would directly or indirectly compete with services provided by Altisource relative to the Homeward servicing portfolio. Additionally, the terms of our Service Agreements with Ocwen were amended to extend the term from 2020 to 2025 (see Note 2). We paid $75.8 million, after a working capital and pre-acquisition net income adjustment payment by Ocwen of $11.1 million, which we received in September 2013.</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the acquisition date, management adjusted the purchase price allocation and assigned associated asset lives based upon information that has become available. In addition to the working capital adjustment, we also reduced premises and equipment by $1.2 million based on a post-acquisition detailed analysis of software licenses received and increased current liabilities by $2.0 million based on a subsequent detailed analysis of obligations payable as of the closing date, which we paid in July 2014. Consequently, the Company retrospectively adjusted the fair value of the assets acquired and liabilities assumed in the condensed consolidated balance sheet as of December 31, 2013 as well as disclosed the corresponding amount of non-cash investing and financing activities in the condensed consolidated statement of cash flows for the nine months ended September 30,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final adjusted allocation of the purchase price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12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3"/>
        </w:trPr>
        <w:tc>
          <w:tcPr>
            <w:tcW w:w="9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9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Customer relationship</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75,609</w:t>
            </w:r>
          </w:p>
        </w:tc>
      </w:tr>
      <w:tr>
        <w:trPr>
          <w:trHeight w:val="27"/>
        </w:trPr>
        <w:tc>
          <w:tcPr>
            <w:tcW w:w="9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r>
      <w:tr>
        <w:trPr>
          <w:trHeight w:val="237"/>
        </w:trPr>
        <w:tc>
          <w:tcPr>
            <w:tcW w:w="9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79,207</w:t>
            </w:r>
          </w:p>
        </w:tc>
      </w:tr>
      <w:tr>
        <w:trPr>
          <w:trHeight w:val="27"/>
        </w:trPr>
        <w:tc>
          <w:tcPr>
            <w:tcW w:w="9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37"/>
        </w:trPr>
        <w:tc>
          <w:tcPr>
            <w:tcW w:w="9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6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75,817</w:t>
            </w:r>
          </w:p>
        </w:tc>
      </w:tr>
      <w:tr>
        <w:trPr>
          <w:trHeight w:val="20"/>
        </w:trPr>
        <w:tc>
          <w:tcPr>
            <w:tcW w:w="9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5"/>
        </w:trPr>
        <w:tc>
          <w:tcPr>
            <w:tcW w:w="9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4"/>
              <w:spacing w:after="0"/>
              <w:rPr>
                <w:sz w:val="20"/>
                <w:szCs w:val="20"/>
                <w:color w:val="auto"/>
              </w:rPr>
            </w:pPr>
            <w:r>
              <w:rPr>
                <w:rFonts w:ascii="Arial" w:cs="Arial" w:eastAsia="Arial" w:hAnsi="Arial"/>
                <w:sz w:val="14"/>
                <w:szCs w:val="14"/>
                <w:b w:val="1"/>
                <w:bCs w:val="1"/>
                <w:color w:val="auto"/>
              </w:rPr>
              <w:t>Estimated life</w:t>
            </w:r>
          </w:p>
        </w:tc>
      </w:tr>
      <w:tr>
        <w:trPr>
          <w:trHeight w:val="192"/>
        </w:trPr>
        <w:tc>
          <w:tcPr>
            <w:tcW w:w="9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(in years)</w:t>
            </w:r>
          </w:p>
        </w:tc>
      </w:tr>
      <w:tr>
        <w:trPr>
          <w:trHeight w:val="270"/>
        </w:trPr>
        <w:tc>
          <w:tcPr>
            <w:tcW w:w="9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3 - 5</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Customer relationship</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ResCap Fee-Based Businesses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12, 2013, we entered into an agreement with Ocwen to establish additional terms related to the existing servicing arrangements between Altisource and Ocwen in connection with certain mortgage servicing platform assets of ResCap (the “ResCap Business”). The agreement provides that (i) Altisource will be a provider to Ocwen of certain services related to the ResCap Business, (ii) Ocwen will not establish similar fee-based businesses that would directly or indirectly compete with Altisource’s services as they relate to the ResCap Business and (iii) Ocwen will market and promote the utilization of Altisource’s services to their various third party relationships. Additionally, the parties agreed to use commercially reasonable best efforts to ensure that the loans associated with the ResCap Business are boarded onto Altisource’s mortgage servicing platform. We paid $128.8 million to Ocwen in connection with the ResCap fee-based businesses agreement.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acquired no tangible assets and assumed no liabilities in connection with the ResCap transaction. However, certain employees as well as practices and processes developed to support the ResCap servicing portfolio were components of the transaction. We accounted for this transaction as a business combination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prepared a final purchase price allocation and assigned associated asset lives based upon available information at the time of the agreement and until finalized as of December 31, 2013. The agreement consideration of $128.8 million was fully allocated to the customer relationship intangible asset with an estimated average useful life of 7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Equator Acquisition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15, 2013, we completed the acquisition of all of the outstanding limited liability company interests of Equator, LLC (“Equator”) pursuant to a Purchase and Sale Agreement dated August 19, 2013 (the “Purchase Agreement”). Pursuant to the terms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of the Purchase Agreement, we paid $63.4 million at closing in cash (net of closing working capital adjustments), subject to certain post-closing adjustments based on current assets and current liabilities of Equator at closing. After the acquisition date, management adjusted the purchase price allocation based upon information that has subsequently become available relating to acquisition date working capital, resulting in an obligation of the Company to pay the sellers an additional $3.7 million. Consequently, the Company retrospectively adjusted the fair value of the assets acquired and liabilities assumed in the condensed consolidated balance sheet as of December 31, 2013 as well as disclosed the corresponding amount of non-cash investing and financing activities in the condensed consolidated statement of cash flows for the nine months ended September 30, 2014.</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Purchase Agreement also provides for the payment of up to $80 million in potential additional consideration (the “Earn Out”). The Earn Out is determined based on Equator’s Adjusted EBITA (as defined in the Purchase Agreement) in the three consecutive 12-month periods following closing. Up to $22.5 million of the Earn Out can be earned in each of the first two 12-month periods, and up to $35.0 million can be earned in the third 12-month period. Any amounts earned upon the achievement of Adjusted EBITA thresholds are payable through 2017. We may, in our discretion, pay up to 20% of each payment of any Earn Out in shares of Company restricted stock, with the balance to be paid in cash. As of the closing date, we estimated the fair value of the Earn Out to be $46.0 million, determined based on the present value of future estimated Earn Out payments at such date, which has subsequently been reduced to $8.1 million, as further described below. The acquisition date fair value of the Earn Out is included as a component of the purchase price of Equator.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final adjusted allocation of the purchase price is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Initial purchase price</w:t>
            </w:r>
          </w:p>
        </w:tc>
        <w:tc>
          <w:tcPr>
            <w:tcW w:w="280" w:type="dxa"/>
            <w:vAlign w:val="bottom"/>
          </w:tcPr>
          <w:p>
            <w:pPr>
              <w:spacing w:after="0"/>
              <w:rPr>
                <w:sz w:val="14"/>
                <w:szCs w:val="14"/>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16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91"/>
              </w:rPr>
              <w:t>Adjusted purchase price</w:t>
            </w:r>
          </w:p>
        </w:tc>
        <w:tc>
          <w:tcPr>
            <w:tcW w:w="0" w:type="dxa"/>
            <w:vAlign w:val="bottom"/>
          </w:tcPr>
          <w:p>
            <w:pPr>
              <w:spacing w:after="0"/>
              <w:rPr>
                <w:sz w:val="1"/>
                <w:szCs w:val="1"/>
                <w:color w:val="auto"/>
              </w:rPr>
            </w:pPr>
          </w:p>
        </w:tc>
      </w:tr>
      <w:tr>
        <w:trPr>
          <w:trHeight w:val="192"/>
        </w:trPr>
        <w:tc>
          <w:tcPr>
            <w:tcW w:w="6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allocation</w:t>
            </w:r>
          </w:p>
        </w:tc>
        <w:tc>
          <w:tcPr>
            <w:tcW w:w="2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jc w:val="right"/>
              <w:ind w:right="528"/>
              <w:spacing w:after="0"/>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243"/>
        </w:trPr>
        <w:tc>
          <w:tcPr>
            <w:tcW w:w="5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28"/>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12,783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8"/>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Premises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16,974</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Customer relationships and trade names</w:t>
            </w:r>
          </w:p>
        </w:tc>
        <w:tc>
          <w:tcPr>
            <w:tcW w:w="16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43,393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60" w:type="dxa"/>
            <w:vAlign w:val="bottom"/>
            <w:gridSpan w:val="2"/>
          </w:tcPr>
          <w:p>
            <w:pPr>
              <w:jc w:val="right"/>
              <w:ind w:right="28"/>
              <w:spacing w:after="0"/>
              <w:rPr>
                <w:sz w:val="20"/>
                <w:szCs w:val="20"/>
                <w:color w:val="auto"/>
              </w:rPr>
            </w:pPr>
            <w:r>
              <w:rPr>
                <w:rFonts w:ascii="Arial" w:cs="Arial" w:eastAsia="Arial" w:hAnsi="Arial"/>
                <w:sz w:val="18"/>
                <w:szCs w:val="18"/>
                <w:color w:val="auto"/>
              </w:rPr>
              <w:t>43,393</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82,460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82,460</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8"/>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Assets acquired</w:t>
            </w: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153,316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156,491</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(6,696)</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(36,689)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(36,689)</w:t>
            </w:r>
          </w:p>
        </w:tc>
        <w:tc>
          <w:tcPr>
            <w:tcW w:w="0" w:type="dxa"/>
            <w:vAlign w:val="bottom"/>
          </w:tcPr>
          <w:p>
            <w:pPr>
              <w:spacing w:after="0"/>
              <w:rPr>
                <w:sz w:val="1"/>
                <w:szCs w:val="1"/>
                <w:color w:val="auto"/>
              </w:rPr>
            </w:pPr>
          </w:p>
        </w:tc>
      </w:tr>
      <w:tr>
        <w:trPr>
          <w:trHeight w:val="237"/>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Liabilities assumed</w:t>
            </w: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(43,921)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(43,385)</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Purchase price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109,395</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113,106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jc w:val="right"/>
              <w:ind w:right="328"/>
              <w:spacing w:after="0"/>
              <w:rPr>
                <w:sz w:val="20"/>
                <w:szCs w:val="20"/>
                <w:color w:val="auto"/>
              </w:rPr>
            </w:pPr>
            <w:r>
              <w:rPr>
                <w:rFonts w:ascii="Arial" w:cs="Arial" w:eastAsia="Arial" w:hAnsi="Arial"/>
                <w:sz w:val="14"/>
                <w:szCs w:val="14"/>
                <w:b w:val="1"/>
                <w:bCs w:val="1"/>
                <w:color w:val="auto"/>
              </w:rPr>
              <w:t>Estimated life</w:t>
            </w:r>
          </w:p>
        </w:tc>
        <w:tc>
          <w:tcPr>
            <w:tcW w:w="0" w:type="dxa"/>
            <w:vAlign w:val="bottom"/>
          </w:tcPr>
          <w:p>
            <w:pPr>
              <w:spacing w:after="0"/>
              <w:rPr>
                <w:sz w:val="1"/>
                <w:szCs w:val="1"/>
                <w:color w:val="auto"/>
              </w:rPr>
            </w:pPr>
          </w:p>
        </w:tc>
      </w:t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Premises and equipment (excluding internally developed software)</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3 - 5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Internally developed software (included in premises and equipment)</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 (weighted average)</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the liability for Earn Out payments is remeasured to fair value each period until the contingency is resolved with the change in fair value recognized in earnings. As of the closing date, December 31, 2013 and March 31, 2014, we estimated the fair value of the Earn Out to be $46.0 million, determined based on the present value of future estimated Earn Out payments. As of June 30, 2014 and September 30, 2014, we estimated the fair value of the Earn Out to be $8.1 million, determined based on the present value of future estimated Earn Out payments. The lower fair value of the Earn Out is based on management’s revised estimates that expected earnings of Equator will be lower than projected at the time of acquisition. The reduction in fair value of $37.9 million was recorded in the second quarter of 2014 and is reflected as a reduction of selling, general and administrative expenses in the condensed consolidated statements of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decline in fair value of the Earn Out, management evaluated and determined that Equator goodwill should be tested for impairment. Consequently, we initiated a quantitative two-step goodwill impairment test by comparing the carrying value of the net assets of Equator to its fair value based on a discounted cash flow analysis. In the second quarter of 2014, we determined, based on a preliminary assessment, that the fair value of Equator was less than its carrying value. Based on this</w:t>
      </w:r>
    </w:p>
    <w:p>
      <w:pPr>
        <w:sectPr>
          <w:pgSz w:w="11900" w:h="16838" w:orient="portrait"/>
          <w:cols w:equalWidth="0" w:num="1">
            <w:col w:w="11420"/>
          </w:cols>
          <w:pgMar w:left="240" w:top="125" w:right="239" w:bottom="1149"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149"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preliminary assessment, management has estimated that the Equator goodwill impairment was approximately $37.5 million, which is reflected as a component of selling, general and administrative expenses in the condensed consolidated statements of operations (see Note 15). This assessment was preliminary due to the timing of revisions to forecasted results of operations and cash flows and the volatility of the markets in which Equator’s customers operate. We completed our Equator goodwill impairment assessment in the third quarter of 2014 resulting in no further adjustment to the goodwill impairment recorded in the second quarter of 2014.</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impact of the change in the fair value of the Equator Earn Out and Equator goodwill impairment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2014, which are included in selling, general and administrative expenses in the condensed consolidated statements of operations: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234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37,473</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9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994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7"/>
        </w:trPr>
        <w:tc>
          <w:tcPr>
            <w:tcW w:w="99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unaudited pro forma consolidated results of operations for the third quarter of 2013 and the nine months ended September 30, 2013 as if the Homeward, ResCap Business and Equator transactions had occurred at the beginning of the period presented.</w:t>
      </w:r>
    </w:p>
    <w:p>
      <w:pPr>
        <w:spacing w:after="0" w:line="324" w:lineRule="exact"/>
        <w:rPr>
          <w:sz w:val="20"/>
          <w:szCs w:val="20"/>
          <w:color w:val="auto"/>
        </w:rPr>
      </w:pPr>
    </w:p>
    <w:p>
      <w:pPr>
        <w:jc w:val="right"/>
        <w:ind w:right="9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right"/>
        <w:ind w:right="900"/>
        <w:spacing w:after="0"/>
        <w:rPr>
          <w:sz w:val="20"/>
          <w:szCs w:val="20"/>
          <w:color w:val="auto"/>
        </w:rPr>
      </w:pPr>
      <w:r>
        <w:rPr>
          <w:rFonts w:ascii="Arial" w:cs="Arial" w:eastAsia="Arial" w:hAnsi="Arial"/>
          <w:sz w:val="14"/>
          <w:szCs w:val="14"/>
          <w:b w:val="1"/>
          <w:bCs w:val="1"/>
          <w:color w:val="auto"/>
        </w:rPr>
        <w:t>September 30, 2013</w:t>
      </w:r>
    </w:p>
    <w:p>
      <w:pPr>
        <w:ind w:left="60"/>
        <w:spacing w:after="0"/>
        <w:tabs>
          <w:tab w:leader="none" w:pos="8980" w:val="left"/>
          <w:tab w:leader="none" w:pos="10620" w:val="left"/>
        </w:tabs>
        <w:rPr>
          <w:sz w:val="20"/>
          <w:szCs w:val="20"/>
          <w:color w:val="auto"/>
        </w:rPr>
      </w:pPr>
      <w:r>
        <w:rPr>
          <w:rFonts w:ascii="Arial" w:cs="Arial" w:eastAsia="Arial" w:hAnsi="Arial"/>
          <w:sz w:val="16"/>
          <w:szCs w:val="16"/>
          <w:i w:val="1"/>
          <w:iCs w:val="1"/>
          <w:color w:val="auto"/>
        </w:rPr>
        <w:t>(in thousands, except per share amounts)</w:t>
      </w:r>
      <w:r>
        <w:rPr>
          <w:sz w:val="20"/>
          <w:szCs w:val="20"/>
          <w:color w:val="auto"/>
        </w:rPr>
        <w:tab/>
      </w:r>
      <w:r>
        <w:rPr>
          <w:rFonts w:ascii="Arial" w:cs="Arial" w:eastAsia="Arial" w:hAnsi="Arial"/>
          <w:sz w:val="29"/>
          <w:szCs w:val="29"/>
          <w:b w:val="1"/>
          <w:bCs w:val="1"/>
          <w:color w:val="auto"/>
          <w:vertAlign w:val="subscript"/>
        </w:rPr>
        <w:t>As reported</w:t>
      </w:r>
      <w:r>
        <w:rPr>
          <w:sz w:val="20"/>
          <w:szCs w:val="20"/>
          <w:color w:val="auto"/>
        </w:rPr>
        <w:tab/>
      </w:r>
      <w:r>
        <w:rPr>
          <w:rFonts w:ascii="Arial" w:cs="Arial" w:eastAsia="Arial" w:hAnsi="Arial"/>
          <w:sz w:val="20"/>
          <w:szCs w:val="20"/>
          <w:b w:val="1"/>
          <w:bCs w:val="1"/>
          <w:color w:val="auto"/>
          <w:vertAlign w:val="subscript"/>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8255</wp:posOffset>
            </wp:positionV>
            <wp:extent cx="720344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16319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-170815</wp:posOffset>
            </wp:positionV>
            <wp:extent cx="1903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210,835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225,764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Altisource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34,157</w:t>
            </w:r>
          </w:p>
        </w:tc>
      </w:tr>
      <w:tr>
        <w:trPr>
          <w:trHeight w:val="243"/>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Earnings per share — Diluted</w:t>
            </w:r>
          </w:p>
        </w:tc>
        <w:tc>
          <w:tcPr>
            <w:tcW w:w="22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1.35</w:t>
            </w:r>
          </w:p>
        </w:tc>
      </w:tr>
      <w:tr>
        <w:trPr>
          <w:trHeight w:val="53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September 30, 2013</w:t>
            </w:r>
          </w:p>
        </w:tc>
      </w:tr>
      <w:tr>
        <w:trPr>
          <w:trHeight w:val="264"/>
        </w:trPr>
        <w:tc>
          <w:tcPr>
            <w:tcW w:w="8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amounts)</w:t>
            </w:r>
          </w:p>
        </w:tc>
        <w:tc>
          <w:tcPr>
            <w:tcW w:w="22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Pr>
          <w:p>
            <w:pPr>
              <w:spacing w:after="0"/>
              <w:rPr>
                <w:sz w:val="22"/>
                <w:szCs w:val="22"/>
                <w:color w:val="auto"/>
              </w:rPr>
            </w:pPr>
          </w:p>
        </w:tc>
        <w:tc>
          <w:tcPr>
            <w:tcW w:w="1200" w:type="dxa"/>
            <w:vAlign w:val="bottom"/>
          </w:tcPr>
          <w:p>
            <w:pPr>
              <w:jc w:val="right"/>
              <w:ind w:right="333"/>
              <w:spacing w:after="0"/>
              <w:rPr>
                <w:sz w:val="20"/>
                <w:szCs w:val="20"/>
                <w:color w:val="auto"/>
              </w:rPr>
            </w:pPr>
            <w:r>
              <w:rPr>
                <w:rFonts w:ascii="Arial" w:cs="Arial" w:eastAsia="Arial" w:hAnsi="Arial"/>
                <w:sz w:val="14"/>
                <w:szCs w:val="14"/>
                <w:b w:val="1"/>
                <w:bCs w:val="1"/>
                <w:color w:val="auto"/>
              </w:rPr>
              <w:t>Pro forma</w:t>
            </w:r>
          </w:p>
        </w:tc>
      </w:tr>
      <w:tr>
        <w:trPr>
          <w:trHeight w:val="243"/>
        </w:trPr>
        <w:tc>
          <w:tcPr>
            <w:tcW w:w="82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r>
      <w:tr>
        <w:trPr>
          <w:trHeight w:val="243"/>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545,772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624,049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Altisource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94,457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95,865</w:t>
            </w:r>
          </w:p>
        </w:tc>
      </w:tr>
      <w:tr>
        <w:trPr>
          <w:trHeight w:val="243"/>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Earnings per share — Diluted</w:t>
            </w:r>
          </w:p>
        </w:tc>
        <w:tc>
          <w:tcPr>
            <w:tcW w:w="22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3.82</w:t>
            </w: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unaudited pro forma information presents the combined operating results of Altisource and the Homeward, ResCap Business and Equator transactions. The Homeward, ResCap Business and Equator operating results were derived from their historical financial statements for the most comparable periods available. The results prior to the acquisition dates have been adjusted to include the pro forma impact of the adjustment of amortization of the acquired intangible assets based on the purchase price allocations, the adjustment of interest expense reflecting the portion of our senior secured term loan used in the Homeward, ResCap Business and Equator transactions and to reflect the impact of income taxes on the pro forma adjustments utilizing Altisource’s effective income tax rate.</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unaudited pro forma results are presented for illustrative purposes only and do not reflect additional revenue opportunities, the realization of any potential cost savings and any related integration costs. Certain revenue opportunities and cost savings may result from the transactions and the conversion to the Altisource model; however, there can be no assurance that these revenue opportunities and cost savings will be achieved. These pro forma results do not purport to be indicative of the results that would have actually been obtained if the transactions occurred as of the beginning of the period presented, nor is the pro forma data intended to be a projection of results that may be obtained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Builder Acquisition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12, 2014, we acquired certain assets and assumed certain liabilities of Mortgage Builder Software, Inc. (“Mortgage Builder”) pursuant to a Purchase and Sale Agreement dated July 18, 2014 (“the Purchase and Sale Agreement”). Mortgage Builder is a provider of mortgage loan origination and servicing software systems. Pursuant to the terms of the Purchase and Sale Agreement, we paid $15.7 million at closing in cash (net of closing working capital adjustments). Additionally, the Purchase and Sale Agreement</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provides for the payment of up to $7.0 million in potential additional consideration (the “MB Earn-Out”) based on Adjusted Revenue (as defined in the Purchase and Sale Agreement) in the three consecutive 12-month periods following closing. The Mortgage Builder purchase price includes the fair value of the MB Earn-Out of $1.0 million, determined based on the present value of future estimated MB Earn-Out payments. The Mortgage Builder acquisition is not material in relation to the Company’s results of operations or financial position.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the purchase price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940" w:type="dxa"/>
            <w:vAlign w:val="bottom"/>
            <w:gridSpan w:val="4"/>
          </w:tcPr>
          <w:p>
            <w:pPr>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Borders>
              <w:right w:val="single" w:sz="8" w:color="CCEEFF"/>
            </w:tcBorders>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940" w:type="dxa"/>
            <w:vAlign w:val="bottom"/>
            <w:gridSpan w:val="4"/>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1,120</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Borders>
              <w:right w:val="single" w:sz="8" w:color="CCEEFF"/>
            </w:tcBorders>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940" w:type="dxa"/>
            <w:vAlign w:val="bottom"/>
            <w:gridSpan w:val="4"/>
          </w:tcPr>
          <w:p>
            <w:pPr>
              <w:spacing w:after="0"/>
              <w:rPr>
                <w:sz w:val="20"/>
                <w:szCs w:val="20"/>
                <w:color w:val="auto"/>
              </w:rPr>
            </w:pPr>
            <w:r>
              <w:rPr>
                <w:rFonts w:ascii="Arial" w:cs="Arial" w:eastAsia="Arial" w:hAnsi="Arial"/>
                <w:sz w:val="18"/>
                <w:szCs w:val="18"/>
                <w:color w:val="auto"/>
              </w:rPr>
              <w:t>Premises and equipment, net</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2,068</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Borders>
              <w:right w:val="single" w:sz="8" w:color="CCEEFF"/>
            </w:tcBorders>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Customer relationship</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3,143</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940" w:type="dxa"/>
            <w:vAlign w:val="bottom"/>
            <w:gridSpan w:val="4"/>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10,443</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40" w:type="dxa"/>
            <w:vAlign w:val="bottom"/>
            <w:tcBorders>
              <w:right w:val="single" w:sz="8" w:color="CCEEFF"/>
            </w:tcBorders>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17,538</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940" w:type="dxa"/>
            <w:vAlign w:val="bottom"/>
            <w:gridSpan w:val="4"/>
          </w:tcPr>
          <w:p>
            <w:pPr>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(881)</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0" w:type="dxa"/>
            <w:vAlign w:val="bottom"/>
            <w:tcBorders>
              <w:right w:val="single" w:sz="8" w:color="CCEEFF"/>
            </w:tcBorders>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940" w:type="dxa"/>
            <w:vAlign w:val="bottom"/>
            <w:gridSpan w:val="4"/>
          </w:tcPr>
          <w:p>
            <w:pPr>
              <w:spacing w:after="0"/>
              <w:rPr>
                <w:sz w:val="20"/>
                <w:szCs w:val="20"/>
                <w:color w:val="auto"/>
              </w:rPr>
            </w:pPr>
            <w:r>
              <w:rPr>
                <w:rFonts w:ascii="Arial" w:cs="Arial" w:eastAsia="Arial" w:hAnsi="Arial"/>
                <w:sz w:val="18"/>
                <w:szCs w:val="18"/>
                <w:color w:val="auto"/>
              </w:rPr>
              <w:t>Purchase price</w:t>
            </w: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16,657</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NOTE 4 — ACCOUNTS RECEIVABLE, NET</w:t>
            </w: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42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20" w:type="dxa"/>
            <w:vAlign w:val="bottom"/>
            <w:gridSpan w:val="6"/>
          </w:tcPr>
          <w:p>
            <w:pPr>
              <w:spacing w:after="0"/>
              <w:rPr>
                <w:sz w:val="20"/>
                <w:szCs w:val="20"/>
                <w:color w:val="auto"/>
              </w:rPr>
            </w:pPr>
            <w:r>
              <w:rPr>
                <w:rFonts w:ascii="Arial" w:cs="Arial" w:eastAsia="Arial" w:hAnsi="Arial"/>
                <w:sz w:val="18"/>
                <w:szCs w:val="18"/>
                <w:color w:val="auto"/>
              </w:rPr>
              <w:t>Accounts receivable, net consists of the following: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420" w:type="dxa"/>
            <w:vAlign w:val="bottom"/>
            <w:gridSpan w:val="6"/>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24"/>
                <w:szCs w:val="24"/>
                <w:color w:val="auto"/>
              </w:rPr>
            </w:pPr>
          </w:p>
        </w:tc>
        <w:tc>
          <w:tcPr>
            <w:tcW w:w="12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420" w:type="dxa"/>
            <w:vAlign w:val="bottom"/>
            <w:gridSpan w:val="6"/>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(1)</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5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42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Billed</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right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5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80" w:type="dxa"/>
            <w:vAlign w:val="bottom"/>
            <w:gridSpan w:val="5"/>
          </w:tcPr>
          <w:p>
            <w:pPr>
              <w:ind w:left="140"/>
              <w:spacing w:after="0"/>
              <w:rPr>
                <w:sz w:val="20"/>
                <w:szCs w:val="20"/>
                <w:color w:val="auto"/>
              </w:rPr>
            </w:pPr>
            <w:r>
              <w:rPr>
                <w:rFonts w:ascii="Arial" w:cs="Arial" w:eastAsia="Arial" w:hAnsi="Arial"/>
                <w:sz w:val="18"/>
                <w:szCs w:val="18"/>
                <w:color w:val="auto"/>
              </w:rPr>
              <w:t>Non-related parties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44,768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41,011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Ocwen</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11,658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80" w:type="dxa"/>
            <w:vAlign w:val="bottom"/>
            <w:gridSpan w:val="5"/>
          </w:tcPr>
          <w:p>
            <w:pPr>
              <w:ind w:left="140"/>
              <w:spacing w:after="0"/>
              <w:rPr>
                <w:sz w:val="20"/>
                <w:szCs w:val="20"/>
                <w:color w:val="auto"/>
              </w:rPr>
            </w:pPr>
            <w:r>
              <w:rPr>
                <w:rFonts w:ascii="Arial" w:cs="Arial" w:eastAsia="Arial" w:hAnsi="Arial"/>
                <w:sz w:val="18"/>
                <w:szCs w:val="18"/>
                <w:color w:val="auto"/>
              </w:rPr>
              <w:t>HLSS</w:t>
            </w:r>
          </w:p>
        </w:tc>
        <w:tc>
          <w:tcPr>
            <w:tcW w:w="2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AAMC</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80" w:type="dxa"/>
            <w:vAlign w:val="bottom"/>
            <w:gridSpan w:val="5"/>
          </w:tcPr>
          <w:p>
            <w:pPr>
              <w:ind w:left="140"/>
              <w:spacing w:after="0"/>
              <w:rPr>
                <w:sz w:val="20"/>
                <w:szCs w:val="20"/>
                <w:color w:val="auto"/>
              </w:rPr>
            </w:pPr>
            <w:r>
              <w:rPr>
                <w:rFonts w:ascii="Arial" w:cs="Arial" w:eastAsia="Arial" w:hAnsi="Arial"/>
                <w:sz w:val="18"/>
                <w:szCs w:val="18"/>
                <w:color w:val="auto"/>
              </w:rPr>
              <w:t>Residential</w:t>
            </w:r>
          </w:p>
        </w:tc>
        <w:tc>
          <w:tcPr>
            <w:tcW w:w="2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87,910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56,289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2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Unbilled</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right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55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80" w:type="dxa"/>
            <w:vAlign w:val="bottom"/>
            <w:gridSpan w:val="5"/>
          </w:tcPr>
          <w:p>
            <w:pPr>
              <w:ind w:left="140"/>
              <w:spacing w:after="0"/>
              <w:rPr>
                <w:sz w:val="20"/>
                <w:szCs w:val="20"/>
                <w:color w:val="auto"/>
              </w:rPr>
            </w:pPr>
            <w:r>
              <w:rPr>
                <w:rFonts w:ascii="Arial" w:cs="Arial" w:eastAsia="Arial" w:hAnsi="Arial"/>
                <w:sz w:val="18"/>
                <w:szCs w:val="18"/>
                <w:color w:val="auto"/>
              </w:rPr>
              <w:t>Non-related parties</w:t>
            </w:r>
          </w:p>
        </w:tc>
        <w:tc>
          <w:tcPr>
            <w:tcW w:w="2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71,632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44,102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Ocwen</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80" w:type="dxa"/>
            <w:vAlign w:val="bottom"/>
            <w:gridSpan w:val="5"/>
          </w:tcPr>
          <w:p>
            <w:pPr>
              <w:ind w:left="140"/>
              <w:spacing w:after="0"/>
              <w:rPr>
                <w:sz w:val="20"/>
                <w:szCs w:val="20"/>
                <w:color w:val="auto"/>
              </w:rPr>
            </w:pPr>
            <w:r>
              <w:rPr>
                <w:rFonts w:ascii="Arial" w:cs="Arial" w:eastAsia="Arial" w:hAnsi="Arial"/>
                <w:sz w:val="18"/>
                <w:szCs w:val="18"/>
                <w:color w:val="auto"/>
              </w:rPr>
              <w:t>AAMC</w:t>
            </w:r>
          </w:p>
        </w:tc>
        <w:tc>
          <w:tcPr>
            <w:tcW w:w="2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110,418</w:t>
            </w:r>
          </w:p>
        </w:tc>
        <w:tc>
          <w:tcPr>
            <w:tcW w:w="0" w:type="dxa"/>
            <w:vAlign w:val="bottom"/>
          </w:tcPr>
          <w:p>
            <w:pPr>
              <w:spacing w:after="0"/>
              <w:rPr>
                <w:sz w:val="1"/>
                <w:szCs w:val="1"/>
                <w:color w:val="auto"/>
              </w:rPr>
            </w:pPr>
          </w:p>
        </w:tc>
      </w:tr>
      <w:tr>
        <w:trPr>
          <w:trHeight w:val="243"/>
        </w:trPr>
        <w:tc>
          <w:tcPr>
            <w:tcW w:w="8420" w:type="dxa"/>
            <w:vAlign w:val="bottom"/>
            <w:gridSpan w:val="6"/>
          </w:tcPr>
          <w:p>
            <w:pPr>
              <w:ind w:left="4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(11,085)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5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420" w:type="dxa"/>
            <w:vAlign w:val="bottom"/>
            <w:gridSpan w:val="6"/>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159,965</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104,787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80" w:right="20" w:hanging="172"/>
        <w:spacing w:after="0" w:line="216" w:lineRule="auto"/>
        <w:tabs>
          <w:tab w:leader="none" w:pos="237"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December 31, 2013 accounts receivable has been revised to reflect a purchase accounting measurement period adjustment related to the Equator acquisition. See Note 3.</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consist primarily of asset management and default management services for which we recognize revenues over the service delivery period but bill following completion of the service. We also include in unbilled receivables amounts that are earned during a month and billed in the following month.</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15"/>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43"/>
        </w:trPr>
        <w:tc>
          <w:tcPr>
            <w:tcW w:w="8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agreements, current portion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4,155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2,892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17,454</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10,891</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002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180" w:hanging="172"/>
        <w:spacing w:after="0" w:line="232" w:lineRule="auto"/>
        <w:tabs>
          <w:tab w:leader="none" w:pos="196"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December 31, 2013 prepaid expenses and other current assets have been revised to reflect a purchase accounting measurement period adjustment related to the Equator acquisition. See Note 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PREMISES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8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136,456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103,400</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Office equipment and other</w:t>
            </w: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34,699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28,057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26,215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17,574</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207,532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157,422</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(91,759)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(70,170)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115,773</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87,252</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inclusive of capital leases, amounted to $21.1 million and $13.8 million for the nine months ended September 30, 2014 and 2013, respectively ($7.7 million and $4.5 million for the third quarter of 2014 and 2013, respectively), and is included in cost of revenue for operating assets and in selling, general and administrative expenses for non-operating assets in the accompanying condensed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goodwill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Mortgage</w:t>
            </w:r>
          </w:p>
        </w:tc>
        <w:tc>
          <w:tcPr>
            <w:tcW w:w="2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2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340" w:type="dxa"/>
            <w:vAlign w:val="bottom"/>
          </w:tcPr>
          <w:p>
            <w:pPr>
              <w:spacing w:after="0"/>
              <w:rPr>
                <w:sz w:val="14"/>
                <w:szCs w:val="14"/>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Services</w:t>
            </w:r>
            <w:r>
              <w:rPr>
                <w:rFonts w:ascii="Arial" w:cs="Arial" w:eastAsia="Arial" w:hAnsi="Arial"/>
                <w:sz w:val="8"/>
                <w:szCs w:val="8"/>
                <w:b w:val="1"/>
                <w:bCs w:val="1"/>
                <w:color w:val="auto"/>
              </w:rPr>
              <w:t>(1)</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84,078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99,414</w:t>
            </w:r>
          </w:p>
        </w:tc>
        <w:tc>
          <w:tcPr>
            <w:tcW w:w="0" w:type="dxa"/>
            <w:vAlign w:val="bottom"/>
          </w:tcPr>
          <w:p>
            <w:pPr>
              <w:spacing w:after="0"/>
              <w:rPr>
                <w:sz w:val="1"/>
                <w:szCs w:val="1"/>
                <w:color w:val="auto"/>
              </w:rPr>
            </w:pPr>
          </w:p>
        </w:tc>
      </w:tr>
      <w:tr>
        <w:trPr>
          <w:trHeight w:val="243"/>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Acquisition of Mortgage Builder</w:t>
            </w:r>
          </w:p>
        </w:tc>
        <w:tc>
          <w:tcPr>
            <w:tcW w:w="2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10,443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Impairment of Equator goodwill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(37,473)</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September 30, 2014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12,958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57,048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72,384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8573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182" w:lineRule="exact"/>
        <w:rPr>
          <w:sz w:val="20"/>
          <w:szCs w:val="20"/>
          <w:color w:val="auto"/>
        </w:rPr>
      </w:pPr>
    </w:p>
    <w:p>
      <w:pPr>
        <w:ind w:right="2500" w:firstLine="8"/>
        <w:spacing w:after="0" w:line="293" w:lineRule="auto"/>
        <w:tabs>
          <w:tab w:leader="none" w:pos="178" w:val="left"/>
        </w:tabs>
        <w:numPr>
          <w:ilvl w:val="0"/>
          <w:numId w:val="6"/>
        </w:numPr>
        <w:rPr>
          <w:rFonts w:ascii="Arial" w:cs="Arial" w:eastAsia="Arial" w:hAnsi="Arial"/>
          <w:sz w:val="13"/>
          <w:szCs w:val="13"/>
          <w:color w:val="auto"/>
        </w:rPr>
      </w:pPr>
      <w:r>
        <w:rPr>
          <w:rFonts w:ascii="Arial" w:cs="Arial" w:eastAsia="Arial" w:hAnsi="Arial"/>
          <w:sz w:val="18"/>
          <w:szCs w:val="18"/>
          <w:color w:val="auto"/>
        </w:rPr>
        <w:t>December 31, 2013 goodwill has been revised to reflect a purchase accounting measurement period adjustment related to the Homeward acquisition. See Note 3.</w:t>
      </w:r>
    </w:p>
    <w:p>
      <w:pPr>
        <w:spacing w:after="0" w:line="145" w:lineRule="exact"/>
        <w:rPr>
          <w:rFonts w:ascii="Arial" w:cs="Arial" w:eastAsia="Arial" w:hAnsi="Arial"/>
          <w:sz w:val="13"/>
          <w:szCs w:val="13"/>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See Note 3 for a discussion of the Equator goodwill impairment.</w:t>
      </w:r>
    </w:p>
    <w:p>
      <w:pPr>
        <w:sectPr>
          <w:pgSz w:w="11900" w:h="16838" w:orient="portrait"/>
          <w:cols w:equalWidth="0" w:num="1">
            <w:col w:w="11420"/>
          </w:cols>
          <w:pgMar w:left="240" w:top="125" w:right="239" w:bottom="528"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528"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254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Gross carrying amount</w:t>
            </w:r>
          </w:p>
        </w:tc>
        <w:tc>
          <w:tcPr>
            <w:tcW w:w="140" w:type="dxa"/>
            <w:vAlign w:val="bottom"/>
          </w:tcPr>
          <w:p>
            <w:pPr>
              <w:spacing w:after="0"/>
              <w:rPr>
                <w:sz w:val="14"/>
                <w:szCs w:val="14"/>
                <w:color w:val="auto"/>
              </w:rPr>
            </w:pPr>
          </w:p>
        </w:tc>
        <w:tc>
          <w:tcPr>
            <w:tcW w:w="254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Accumulated amortization</w:t>
            </w:r>
          </w:p>
        </w:tc>
        <w:tc>
          <w:tcPr>
            <w:tcW w:w="140" w:type="dxa"/>
            <w:vAlign w:val="bottom"/>
          </w:tcPr>
          <w:p>
            <w:pPr>
              <w:spacing w:after="0"/>
              <w:rPr>
                <w:sz w:val="14"/>
                <w:szCs w:val="14"/>
                <w:color w:val="auto"/>
              </w:rPr>
            </w:pPr>
          </w:p>
        </w:tc>
        <w:tc>
          <w:tcPr>
            <w:tcW w:w="2400" w:type="dxa"/>
            <w:vAlign w:val="bottom"/>
            <w:gridSpan w:val="4"/>
            <w:vMerge w:val="restart"/>
          </w:tcPr>
          <w:p>
            <w:pPr>
              <w:jc w:val="right"/>
              <w:ind w:right="714"/>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5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40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1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estimated</w:t>
            </w: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4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8"/>
                <w:szCs w:val="8"/>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8"/>
                <w:szCs w:val="8"/>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8"/>
                <w:szCs w:val="8"/>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8"/>
                <w:szCs w:val="8"/>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8"/>
                <w:szCs w:val="8"/>
                <w:color w:val="auto"/>
              </w:rPr>
            </w:pPr>
          </w:p>
        </w:tc>
        <w:tc>
          <w:tcPr>
            <w:tcW w:w="10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9"/>
        </w:trPr>
        <w:tc>
          <w:tcPr>
            <w:tcW w:w="24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useful life (in</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6"/>
                <w:szCs w:val="16"/>
                <w:color w:val="auto"/>
              </w:rPr>
            </w:pPr>
          </w:p>
        </w:tc>
        <w:tc>
          <w:tcPr>
            <w:tcW w:w="1080" w:type="dxa"/>
            <w:vAlign w:val="bottom"/>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2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Definite lived 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180"/>
              <w:spacing w:after="0"/>
              <w:rPr>
                <w:sz w:val="20"/>
                <w:szCs w:val="20"/>
                <w:color w:val="auto"/>
              </w:rPr>
            </w:pPr>
            <w:r>
              <w:rPr>
                <w:rFonts w:ascii="Arial" w:cs="Arial" w:eastAsia="Arial" w:hAnsi="Arial"/>
                <w:sz w:val="18"/>
                <w:szCs w:val="18"/>
                <w:color w:val="auto"/>
              </w:rPr>
              <w:t>Trademarks</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12,249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12,249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(4,889)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7,360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Customer-related intangible</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assets</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287,627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284,484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215,839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240,276</w:t>
            </w:r>
          </w:p>
        </w:tc>
        <w:tc>
          <w:tcPr>
            <w:tcW w:w="0" w:type="dxa"/>
            <w:vAlign w:val="bottom"/>
          </w:tcPr>
          <w:p>
            <w:pPr>
              <w:spacing w:after="0"/>
              <w:rPr>
                <w:sz w:val="1"/>
                <w:szCs w:val="1"/>
                <w:color w:val="auto"/>
              </w:rPr>
            </w:pPr>
          </w:p>
        </w:tc>
      </w:tr>
      <w:tr>
        <w:trPr>
          <w:trHeight w:val="243"/>
        </w:trPr>
        <w:tc>
          <w:tcPr>
            <w:tcW w:w="2400" w:type="dxa"/>
            <w:vAlign w:val="bottom"/>
          </w:tcPr>
          <w:p>
            <w:pPr>
              <w:ind w:left="180"/>
              <w:spacing w:after="0"/>
              <w:rPr>
                <w:sz w:val="20"/>
                <w:szCs w:val="20"/>
                <w:color w:val="auto"/>
              </w:rPr>
            </w:pPr>
            <w:r>
              <w:rPr>
                <w:rFonts w:ascii="Arial" w:cs="Arial" w:eastAsia="Arial" w:hAnsi="Arial"/>
                <w:sz w:val="18"/>
                <w:szCs w:val="18"/>
                <w:color w:val="auto"/>
              </w:rPr>
              <w:t>Operating agreement</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26,834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28,146</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240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40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335,176</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333,033</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(84,861)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(56,871)</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250,315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276,162</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$29.3 million and $18.9 million for the nine months ended September 30, 2014 and 2013, respectively ($9.7 million and $8.6 million for the third quarter of 2014 and 2013, respectively)</w:t>
      </w:r>
      <w:r>
        <w:rPr>
          <w:rFonts w:ascii="Arial" w:cs="Arial" w:eastAsia="Arial" w:hAnsi="Arial"/>
          <w:sz w:val="16"/>
          <w:szCs w:val="16"/>
          <w:color w:val="auto"/>
        </w:rPr>
        <w:t>.</w:t>
      </w:r>
      <w:r>
        <w:rPr>
          <w:rFonts w:ascii="Arial" w:cs="Arial" w:eastAsia="Arial" w:hAnsi="Arial"/>
          <w:sz w:val="18"/>
          <w:szCs w:val="18"/>
          <w:color w:val="auto"/>
        </w:rPr>
        <w:t xml:space="preserve"> Expected annual definite lived intangible asset amortization for 2014 through 2018 is $40.1 million, $40.3 million, $33.9 million, $29.4 million and $25.4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INVESTMENT IN EQUITY AFFILIATE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Correspondent One purchased closed conforming residential mortgages from approved mortgage bankers. Prior to the sale of our interest in Correspondent One to Ocwen on March 31, 2013 (see Note 2), we had significant influence over the general operations of Correspondent One consistent with our 49% ownership level, and therefore, accounted for our investment under the equity method. On March 31, 2013, we sold our 49% interest in Correspondent One to Ocwen for $12.6 million.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net loss on this investment using the equity method was $0.1 million for the nine months ended September 30, 2013 (no comparative amounts for 2014).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4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14"/>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43"/>
        </w:trPr>
        <w:tc>
          <w:tcPr>
            <w:tcW w:w="2760" w:type="dxa"/>
            <w:vAlign w:val="bottom"/>
            <w:tcBorders>
              <w:top w:val="single" w:sz="8" w:color="auto"/>
            </w:tcBorders>
            <w:shd w:val="clear" w:color="auto" w:fill="CCEEFF"/>
          </w:tcPr>
          <w:p>
            <w:pPr>
              <w:spacing w:after="0"/>
              <w:rPr>
                <w:sz w:val="21"/>
                <w:szCs w:val="21"/>
                <w:color w:val="auto"/>
              </w:rPr>
            </w:pPr>
          </w:p>
        </w:tc>
        <w:tc>
          <w:tcPr>
            <w:tcW w:w="5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Security deposits,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issuance costs,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6,687</w:t>
            </w:r>
          </w:p>
        </w:tc>
        <w:tc>
          <w:tcPr>
            <w:tcW w:w="0" w:type="dxa"/>
            <w:vAlign w:val="bottom"/>
          </w:tcPr>
          <w:p>
            <w:pPr>
              <w:spacing w:after="0"/>
              <w:rPr>
                <w:sz w:val="1"/>
                <w:szCs w:val="1"/>
                <w:color w:val="auto"/>
              </w:rPr>
            </w:pP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Maintenance agreements, non-current portion</w:t>
            </w: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2,987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60" w:type="dxa"/>
            <w:vAlign w:val="bottom"/>
            <w:shd w:val="clear" w:color="auto" w:fill="CCEEFF"/>
          </w:tcPr>
          <w:p>
            <w:pPr>
              <w:spacing w:after="0"/>
              <w:rPr>
                <w:sz w:val="20"/>
                <w:szCs w:val="20"/>
                <w:color w:val="auto"/>
              </w:rPr>
            </w:pPr>
          </w:p>
        </w:tc>
        <w:tc>
          <w:tcPr>
            <w:tcW w:w="5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21,117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17,658</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60" w:type="dxa"/>
            <w:vAlign w:val="bottom"/>
            <w:tcBorders>
              <w:bottom w:val="single" w:sz="8" w:color="auto"/>
            </w:tcBorders>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80" w:right="20" w:hanging="172"/>
        <w:spacing w:after="0" w:line="232" w:lineRule="auto"/>
        <w:tabs>
          <w:tab w:leader="none" w:pos="196"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December 31, 2013 security deposits, net and other assets have been revised to reflect a purchase accounting measurement period adjustment related to the Equator acquisition. See Note 3.</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ACCOUNTS PAYABLE,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4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14"/>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43"/>
        </w:trPr>
        <w:tc>
          <w:tcPr>
            <w:tcW w:w="2340" w:type="dxa"/>
            <w:vAlign w:val="bottom"/>
            <w:tcBorders>
              <w:top w:val="single" w:sz="8" w:color="auto"/>
            </w:tcBorders>
          </w:tcPr>
          <w:p>
            <w:pPr>
              <w:spacing w:after="0"/>
              <w:rPr>
                <w:sz w:val="21"/>
                <w:szCs w:val="21"/>
                <w:color w:val="auto"/>
              </w:rPr>
            </w:pPr>
          </w:p>
        </w:tc>
        <w:tc>
          <w:tcPr>
            <w:tcW w:w="5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15,171</w:t>
            </w:r>
          </w:p>
        </w:tc>
        <w:tc>
          <w:tcPr>
            <w:tcW w:w="0" w:type="dxa"/>
            <w:vAlign w:val="bottom"/>
          </w:tcPr>
          <w:p>
            <w:pPr>
              <w:spacing w:after="0"/>
              <w:rPr>
                <w:sz w:val="1"/>
                <w:szCs w:val="1"/>
                <w:color w:val="auto"/>
              </w:rPr>
            </w:pP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Accrued expenses - general</w:t>
            </w: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27,963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20,945</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30,011</w:t>
            </w:r>
          </w:p>
        </w:tc>
        <w:tc>
          <w:tcPr>
            <w:tcW w:w="0" w:type="dxa"/>
            <w:vAlign w:val="bottom"/>
          </w:tcPr>
          <w:p>
            <w:pPr>
              <w:spacing w:after="0"/>
              <w:rPr>
                <w:sz w:val="1"/>
                <w:szCs w:val="1"/>
                <w:color w:val="auto"/>
              </w:rPr>
            </w:pP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9,042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Payable to Ocwen</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7,361</w:t>
            </w:r>
          </w:p>
        </w:tc>
        <w:tc>
          <w:tcPr>
            <w:tcW w:w="0" w:type="dxa"/>
            <w:vAlign w:val="bottom"/>
          </w:tcPr>
          <w:p>
            <w:pPr>
              <w:spacing w:after="0"/>
              <w:rPr>
                <w:sz w:val="1"/>
                <w:szCs w:val="1"/>
                <w:color w:val="auto"/>
              </w:rPr>
            </w:pP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Payable to AAMC</w:t>
            </w: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40" w:type="dxa"/>
            <w:vAlign w:val="bottom"/>
            <w:shd w:val="clear" w:color="auto" w:fill="CCEEFF"/>
          </w:tcPr>
          <w:p>
            <w:pPr>
              <w:spacing w:after="0"/>
              <w:rPr>
                <w:sz w:val="20"/>
                <w:szCs w:val="20"/>
                <w:color w:val="auto"/>
              </w:rPr>
            </w:pPr>
          </w:p>
        </w:tc>
        <w:tc>
          <w:tcPr>
            <w:tcW w:w="5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99,598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84,706</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40" w:type="dxa"/>
            <w:vAlign w:val="bottom"/>
            <w:tcBorders>
              <w:bottom w:val="single" w:sz="8" w:color="auto"/>
            </w:tcBorders>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right="440" w:hanging="172"/>
        <w:spacing w:after="0" w:line="232" w:lineRule="auto"/>
        <w:tabs>
          <w:tab w:leader="none" w:pos="196"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December 31, 2013 payables have been revised to reflect purchase accounting measurement period adjustments related to the Homeward and Equator acquisitions. See Note 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40" w:type="dxa"/>
            <w:vAlign w:val="bottom"/>
          </w:tcPr>
          <w:p>
            <w:pPr>
              <w:jc w:val="center"/>
              <w:ind w:right="15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43"/>
        </w:trPr>
        <w:tc>
          <w:tcPr>
            <w:tcW w:w="8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Book overdrafts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3,936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9,683</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 LONG-TERM DEBT</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2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24"/>
                <w:szCs w:val="24"/>
                <w:color w:val="auto"/>
              </w:rPr>
            </w:pPr>
          </w:p>
        </w:tc>
        <w:tc>
          <w:tcPr>
            <w:tcW w:w="1240" w:type="dxa"/>
            <w:vAlign w:val="bottom"/>
          </w:tcPr>
          <w:p>
            <w:pPr>
              <w:jc w:val="center"/>
              <w:ind w:right="15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43"/>
        </w:trPr>
        <w:tc>
          <w:tcPr>
            <w:tcW w:w="8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593,029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396,503</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Less: unamortized discount, net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589,973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395,256</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584,028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391,281</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27, 2012, Altisource Solutions S.à r.l., a wholly-owned subsidiary of the Company, entered into a senior secured term loan agreement, as subsequently amended, with Bank of America, N.A., as administrative agent, and certain lenders, pursuant to which we borrowed $200.0 million. The senior secured term loan was issued with an original issue discount of $2.0 million, resulting in net proceeds of $198.0 million with the Company and certain wholly-owned subsidiaries acting as guarantors (collectively, the “Guarantors”).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7, 2013, we amended the senior secured term loan agreement to increase the principal amount of the senior secured term loan by $200.0 million (the “Incremental Term Loan”), which was issued with a $1.0 million original issue premium, resulting in gross proceeds to the Company of $201.0 million. Additionally, the Incremental Term Loan amended the senior secured term loan agreement to, among other changes, provide for an additional $200.0 million incremental term loan facility accordion and increase the maximum amount of Restricted Junior Payments (as defined in the senior secured term loan agreement) that may be made by us, including increasing the amount of Company share repurchases permitted.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9, 2013, we entered into an Amendment No. 2 (“Second Amendment”) to the senior secured term loan agreement in which we incurred indebtedness in the form of Refinancing Debt (as defined in the senior secured term loan agreement), the proceeds of which were used to refinance, in full, the $397.5 million of term loans outstanding under the senior secured term loan</w:t>
      </w:r>
    </w:p>
    <w:p>
      <w:pPr>
        <w:sectPr>
          <w:pgSz w:w="11900" w:h="16838" w:orient="portrait"/>
          <w:cols w:equalWidth="0" w:num="1">
            <w:col w:w="11420"/>
          </w:cols>
          <w:pgMar w:left="240" w:top="125" w:right="239" w:bottom="946"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946"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agreement immediately prior to the effectiveness of the Second Amendment. The Refinancing Debt bears interest at lower rates and has a maturity date approximately one year later than the prior term loans. The Second Amendment further modified the senior secured term loan agreement to, among other changes, increase the maximum permitted amount of Restricted Junior Payments, including share repurchases by the Company.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 2014, we entered into Amendment No. 3 (“Third Amendment”) to the senior secured term loan agreement to increase the principal amount of the term loan under the senior secured term loan agreement by $200.0 million, which was issued with a $2.0 million original issue discount, resulting in gross proceeds to the Company of $198.0 million. Additionally, the Third Amendment modified the senior secured term loan agreement to, among other changes, to re-establish the $200.0 million incremental term loan facility accordion and increase the maximum amount of permitted Restricted Junior Payments by $200.0 million.</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After giving effect to the Third Amendment, the Refinancing Debt must be repaid in equal consecutive quarterly principal installments of $1.5 million commencing on September 30, 2014, with the balance due at maturity. All amounts outstanding under the senior secured term loan agreement will become due on the earlier of (i) December 9, 2020, being the seventh anniversary of the closing date of the Second Amendment, and (ii) the date on which the loans are declared to be due and owing by the administrative agent at the request (or with the consent) of the Required Lenders (as defined in the senior secured term loan agreement) upon the occurrence of any event of default under the senior secured term loan agreement.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scheduled principal payments, the Refinancing Debt is (with certain exceptions) subject to mandatory prepayment upon issuances of debt, casualty and condemnation events and sales of assets, as well as from a percentage of excess cash flow (as defined in the senior secured term loan agreement) if the leverage ratio (as defined in the senior secured term loan agreement) is greater than 3.00 to 1.00. No mandatory prepayments were owed for the nine months ended September 30, 2014.</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of the term loans outstanding under the senior secured term loan bear interest at rates based upon, at our option, the Adjusted Eurodollar Rate or the Base Rate (each as defined in the senior secured term loan agreement). Adjusted Eurodollar Rate loans bear interest at a rate per annum equal to the sum of (i) the greater of (x) the Adjusted Eurodollar Rate for the applicable interest period and (y) 1.00% plus (ii) a 3.50% margin. Base Rate loans bear interest at a rate per annum equal to the sum of (i) the greater of (x) the Base Rate and (y) 2.00% plus (ii) a 2.50% margin. The interest rate at September 30, 2014 was 4.50%.</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Payments under the senior secured term loan agreement are guaranteed by the Guarantors and are secured by a pledge of all equity interests of certain subsidiaries as well as a lien on substantially all of the assets of Altisource Solutions S.à r.l. and the Guarantors, subject to certain exceptions.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term loan agreement includes covenants that restrict or limit, among other things, our ability to: create liens and encumbrances; incur additional indebtedness; sell, transfer or dispose of assets; make Restricted Junior Payments including share repurchases;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its fiscal year and engage in mergers and consolidations.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senior secured term loan agreement contains certain events of default, including (i) failure to pay principal when due or interest or any other amount owing on any other obligation under the senior secured term loan agreement within five days of becoming due, (ii) material incorrectness of representations and warranties when made, (iii) breach of covenants, (iv) failure to pay principal or interest on any other debt that equals or exceeds $40.0 million when due,</w:t>
      </w:r>
    </w:p>
    <w:p>
      <w:pPr>
        <w:jc w:val="both"/>
        <w:ind w:firstLine="8"/>
        <w:spacing w:after="0" w:line="281" w:lineRule="auto"/>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default on any other debt that equals or exceeds $40.0 million that causes, or gives the holder or holders of such debt the ability to cause, an acceleration of such debt, (vi) occurrence of a Change of Control (as defined in the senior secured term loan agreement), (vii) bankruptcy and insolvency events (as defined in the senior secured term loan agreement), (viii) entry by a court of one or more judgments against us (as defined in the senior secured term loan agreement) in an amount in excess of $40.0 million that remain unbonded, undischarged or unstayed for a certain number of days after the entry thereof,</w:t>
      </w:r>
    </w:p>
    <w:p>
      <w:pPr>
        <w:spacing w:after="0" w:line="2" w:lineRule="exact"/>
        <w:rPr>
          <w:rFonts w:ascii="Arial" w:cs="Arial" w:eastAsia="Arial" w:hAnsi="Arial"/>
          <w:sz w:val="16"/>
          <w:szCs w:val="16"/>
          <w:color w:val="auto"/>
        </w:rPr>
      </w:pPr>
    </w:p>
    <w:p>
      <w:pPr>
        <w:jc w:val="both"/>
        <w:ind w:firstLine="8"/>
        <w:spacing w:after="0" w:line="277" w:lineRule="auto"/>
        <w:tabs>
          <w:tab w:leader="none" w:pos="30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occurrence of certain ERISA events and (x) the failure of certain Loan Documents (as defined in the senior secured term loan agreement) to be in full force and effect. If any event of default occurs and is not cured within applicable grace periods set forth in the senior secured term loan agreement or waived, all loans and other obligations could become due and immediately payable and the facility could be terminated.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2014, debt issuance costs were $8.5 million, net of $1.8 million of accumulated amortization. At December 31, 2013, debt issuance costs were $6.7 million, net of $1.0 million of accumulated amortization. Debt issuance costs are included in other assets in the accompanying condensed consolidated balance sheets.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on the term loans, including amortization of debt issuance costs and the net debt discount, totaled $16.0 million and $14.3 million for the nine months ended September 30, 2014 and 2013, respectively ($6.5 million and $6.2 million for the third quarter of 2014 and 2013,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NON-CURRENT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3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7"/>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8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9,091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42,946</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5,481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14,572</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45,476</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13 — EQUITY AND SHARE-BASED COMPENSATION</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Stock Repurchase Plan</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February 28, 2014, our shareholders approved a new stock repurchase program, which replaced the previous stock repurchase program. Under the new program, we are authorized to purchase up to 3.4 million shares of our common stock, based on a limit of 15% of the outstanding shares of common stock on the date of approval, in the open market, at a minimum price of $1.00 per share and a maximum price of $500.00 per share. This is in addition to amounts previously purchased under the prior programs. From authorization of the previous programs through September 30, 2014, we have purchased approximately 5.7 million shares of our common stock in the open market at an average price of $77.55 per share. We purchased 2.0 million shares of common stock at an average price of $104.88 per share during the nine months ended September 30, 2014 and 0.8 million shares at an average price of $103.45 per share during the nine months ended September 30, 2013 (1.3 million shares at an average price of $102.45 per share for the third quarter of 2014 and 0.3 million shares at an average price of $134.86 per share for the third quarter of 2013). As of September 30, 2014, approximately 1.6 million shares of common stock remain available for repurchase under the new program. Our senior secured term loan limits the amount we can spend on share repurchases in any year and may prevent repurchases in certain circumstances. As of September 30, 2014, approximately $220 million was available to repurchase our common stock under our senior secured term loan. Luxembourg law also limits share repurchases to approximately the balance of Altisource Portfolio Solutions S.A. (unconsolidated parent company) retained earnings, less the value of shares repurchased. As the result of a restructuring of our Luxembourg holding companies in the third quarter of 2014, as of September 30, 2014, approximately $1,950 million was available to repurchase our common stock under Luxembourg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issue share-based awards in the form of stock options and certain other equity-based awards for certain employees and officers. We recorded share-based compensation expense of $1.6 million and $2.1 million for the nine months ended September 30, 2014 and 2013, respectively ($0.5 million and $0.6 million for the third quarter of 2014 and 2013,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share-based compensation currently consists primarily of stock option grants that are a combination of service-based and market-based options.</w:t>
      </w:r>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Service-Based Options. </w:t>
      </w:r>
      <w:r>
        <w:rPr>
          <w:rFonts w:ascii="Arial" w:cs="Arial" w:eastAsia="Arial" w:hAnsi="Arial"/>
          <w:sz w:val="18"/>
          <w:szCs w:val="18"/>
          <w:color w:val="auto"/>
        </w:rPr>
        <w:t>These options are granted at fair value on the date of grant. The options generally vest over four years with equal annual cliff-vesting and expire on the earlier of 10 years after the date of grant or following termination of service. A total of 0.7 million service-based awards were outstanding at September 30, 2014.</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Market-Based Options</w:t>
      </w:r>
      <w:r>
        <w:rPr>
          <w:rFonts w:ascii="Arial" w:cs="Arial" w:eastAsia="Arial" w:hAnsi="Arial"/>
          <w:sz w:val="18"/>
          <w:szCs w:val="18"/>
          <w:color w:val="auto"/>
        </w:rPr>
        <w:t>. These option grants have two components, each of which vests only upon the achievement of certain criteria.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which we refer to internally as “ordinary performance” grants,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internally as “extraordinary performance” grants, begins to vest if the stock price is at least triple the exercise price, as long as the stock price realizes a compounded annual gain of at least 25% over the exercise price. The vesting schedule for all market-based awards is 25% upon achievement of the criteria and the remaining 75% in three equal annual installments. A total of 1.8 million market-based awards were outstanding at September 30, 2014.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granted 0.1 million stock options (at a weighted average exercise price of $92.91 per share) and less than 0.1 million stock options (at a weighted average exercise price $104.84 per share) during the nine months ended September 30, 2014 and 2013,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the service-based options was determined using the Black-Scholes option pricing model, and a lattice (binomial) model was used to determine the fair value of the market-based options, using the following assumptions as of the grant date: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gridSpan w:val="4"/>
          </w:tcPr>
          <w:p>
            <w:pPr>
              <w:ind w:left="1180"/>
              <w:spacing w:after="0"/>
              <w:rPr>
                <w:sz w:val="20"/>
                <w:szCs w:val="20"/>
                <w:color w:val="auto"/>
              </w:rPr>
            </w:pPr>
            <w:r>
              <w:rPr>
                <w:rFonts w:ascii="Arial" w:cs="Arial" w:eastAsia="Arial" w:hAnsi="Arial"/>
                <w:sz w:val="14"/>
                <w:szCs w:val="14"/>
                <w:b w:val="1"/>
                <w:bCs w:val="1"/>
                <w:color w:val="auto"/>
              </w:rPr>
              <w:t>Nine months ended</w:t>
            </w:r>
          </w:p>
        </w:tc>
        <w:tc>
          <w:tcPr>
            <w:tcW w:w="3560" w:type="dxa"/>
            <w:vAlign w:val="bottom"/>
            <w:gridSpan w:val="3"/>
          </w:tcPr>
          <w:p>
            <w:pPr>
              <w:jc w:val="right"/>
              <w:ind w:right="111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Borders>
              <w:bottom w:val="single" w:sz="8" w:color="auto"/>
            </w:tcBorders>
            <w:gridSpan w:val="3"/>
          </w:tcPr>
          <w:p>
            <w:pPr>
              <w:jc w:val="right"/>
              <w:ind w:right="1053"/>
              <w:spacing w:after="0"/>
              <w:rPr>
                <w:sz w:val="20"/>
                <w:szCs w:val="20"/>
                <w:color w:val="auto"/>
              </w:rPr>
            </w:pPr>
            <w:r>
              <w:rPr>
                <w:rFonts w:ascii="Arial" w:cs="Arial" w:eastAsia="Arial" w:hAnsi="Arial"/>
                <w:sz w:val="14"/>
                <w:szCs w:val="14"/>
                <w:b w:val="1"/>
                <w:bCs w:val="1"/>
                <w:color w:val="auto"/>
              </w:rPr>
              <w:t>September 30, 2014</w:t>
            </w:r>
          </w:p>
        </w:tc>
        <w:tc>
          <w:tcPr>
            <w:tcW w:w="120" w:type="dxa"/>
            <w:vAlign w:val="bottom"/>
          </w:tcPr>
          <w:p>
            <w:pPr>
              <w:spacing w:after="0"/>
              <w:rPr>
                <w:sz w:val="16"/>
                <w:szCs w:val="16"/>
                <w:color w:val="auto"/>
              </w:rPr>
            </w:pPr>
          </w:p>
        </w:tc>
        <w:tc>
          <w:tcPr>
            <w:tcW w:w="3560" w:type="dxa"/>
            <w:vAlign w:val="bottom"/>
            <w:tcBorders>
              <w:bottom w:val="single" w:sz="8" w:color="auto"/>
            </w:tcBorders>
            <w:gridSpan w:val="3"/>
          </w:tcPr>
          <w:p>
            <w:pPr>
              <w:jc w:val="right"/>
              <w:ind w:right="1053"/>
              <w:spacing w:after="0"/>
              <w:rPr>
                <w:sz w:val="20"/>
                <w:szCs w:val="20"/>
                <w:color w:val="auto"/>
              </w:rPr>
            </w:pPr>
            <w:r>
              <w:rPr>
                <w:rFonts w:ascii="Arial" w:cs="Arial" w:eastAsia="Arial" w:hAnsi="Arial"/>
                <w:sz w:val="14"/>
                <w:szCs w:val="14"/>
                <w:b w:val="1"/>
                <w:bCs w:val="1"/>
                <w:color w:val="auto"/>
              </w:rPr>
              <w:t>September 30, 2013</w:t>
            </w:r>
          </w:p>
        </w:tc>
      </w:tr>
      <w:tr>
        <w:trPr>
          <w:trHeight w:val="264"/>
        </w:trPr>
        <w:tc>
          <w:tcPr>
            <w:tcW w:w="4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gridSpan w:val="2"/>
          </w:tcPr>
          <w:p>
            <w:pPr>
              <w:ind w:left="440"/>
              <w:spacing w:after="0"/>
              <w:rPr>
                <w:sz w:val="20"/>
                <w:szCs w:val="20"/>
                <w:color w:val="auto"/>
              </w:rPr>
            </w:pPr>
            <w:r>
              <w:rPr>
                <w:rFonts w:ascii="Arial" w:cs="Arial" w:eastAsia="Arial" w:hAnsi="Arial"/>
                <w:sz w:val="14"/>
                <w:szCs w:val="14"/>
                <w:b w:val="1"/>
                <w:bCs w:val="1"/>
                <w:color w:val="auto"/>
              </w:rPr>
              <w:t>Black-Scholes</w:t>
            </w:r>
          </w:p>
        </w:tc>
        <w:tc>
          <w:tcPr>
            <w:tcW w:w="1840" w:type="dxa"/>
            <w:vAlign w:val="bottom"/>
            <w:gridSpan w:val="2"/>
          </w:tcPr>
          <w:p>
            <w:pPr>
              <w:ind w:left="580"/>
              <w:spacing w:after="0"/>
              <w:rPr>
                <w:sz w:val="20"/>
                <w:szCs w:val="20"/>
                <w:color w:val="auto"/>
              </w:rPr>
            </w:pPr>
            <w:r>
              <w:rPr>
                <w:rFonts w:ascii="Arial" w:cs="Arial" w:eastAsia="Arial" w:hAnsi="Arial"/>
                <w:sz w:val="14"/>
                <w:szCs w:val="14"/>
                <w:b w:val="1"/>
                <w:bCs w:val="1"/>
                <w:color w:val="auto"/>
              </w:rPr>
              <w:t>Binomial</w:t>
            </w:r>
          </w:p>
        </w:tc>
        <w:tc>
          <w:tcPr>
            <w:tcW w:w="1840" w:type="dxa"/>
            <w:vAlign w:val="bottom"/>
            <w:gridSpan w:val="2"/>
          </w:tcPr>
          <w:p>
            <w:pPr>
              <w:ind w:left="440"/>
              <w:spacing w:after="0"/>
              <w:rPr>
                <w:sz w:val="20"/>
                <w:szCs w:val="20"/>
                <w:color w:val="auto"/>
              </w:rPr>
            </w:pPr>
            <w:r>
              <w:rPr>
                <w:rFonts w:ascii="Arial" w:cs="Arial" w:eastAsia="Arial" w:hAnsi="Arial"/>
                <w:sz w:val="14"/>
                <w:szCs w:val="14"/>
                <w:b w:val="1"/>
                <w:bCs w:val="1"/>
                <w:color w:val="auto"/>
              </w:rPr>
              <w:t>Black-Scholes</w:t>
            </w:r>
          </w:p>
        </w:tc>
        <w:tc>
          <w:tcPr>
            <w:tcW w:w="1720" w:type="dxa"/>
            <w:vAlign w:val="bottom"/>
          </w:tcPr>
          <w:p>
            <w:pPr>
              <w:jc w:val="right"/>
              <w:ind w:right="493"/>
              <w:spacing w:after="0"/>
              <w:rPr>
                <w:sz w:val="20"/>
                <w:szCs w:val="20"/>
                <w:color w:val="auto"/>
              </w:rPr>
            </w:pPr>
            <w:r>
              <w:rPr>
                <w:rFonts w:ascii="Arial" w:cs="Arial" w:eastAsia="Arial" w:hAnsi="Arial"/>
                <w:sz w:val="14"/>
                <w:szCs w:val="14"/>
                <w:b w:val="1"/>
                <w:bCs w:val="1"/>
                <w:color w:val="auto"/>
              </w:rPr>
              <w:t>Binomial</w:t>
            </w:r>
          </w:p>
        </w:tc>
      </w:tr>
      <w:tr>
        <w:trPr>
          <w:trHeight w:val="243"/>
        </w:trPr>
        <w:tc>
          <w:tcPr>
            <w:tcW w:w="4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5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 – 1.90%</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 – 2.49%</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 – 1.81%</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 – 2.71%</w:t>
            </w: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37.57% – 38.58%</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38.48% – 38.58%</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36.35% – 36.76%</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36.40% – 36.80%</w:t>
            </w:r>
          </w:p>
        </w:tc>
      </w:tr>
      <w:tr>
        <w:trPr>
          <w:trHeight w:val="27"/>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Expected option life (in years)</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Contractual life (in years)</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$35.37 – $41.79</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$25.51 – $31.93</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$31.33 – $49.14</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$16.12 – $41.72</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fair value of stock options granted, the total intrinsic value of stock options exercised and the grant date fair value of stock options vested during the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4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300" w:type="dxa"/>
            <w:vAlign w:val="bottom"/>
          </w:tcPr>
          <w:p>
            <w:pPr>
              <w:spacing w:after="0"/>
              <w:rPr>
                <w:sz w:val="22"/>
                <w:szCs w:val="22"/>
                <w:color w:val="auto"/>
              </w:rPr>
            </w:pPr>
          </w:p>
        </w:tc>
        <w:tc>
          <w:tcPr>
            <w:tcW w:w="1140" w:type="dxa"/>
            <w:vAlign w:val="bottom"/>
          </w:tcPr>
          <w:p>
            <w:pPr>
              <w:jc w:val="right"/>
              <w:ind w:right="49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2013</w:t>
            </w:r>
          </w:p>
        </w:tc>
      </w:tr>
      <w:tr>
        <w:trPr>
          <w:trHeight w:val="243"/>
        </w:trPr>
        <w:tc>
          <w:tcPr>
            <w:tcW w:w="8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fair value at grant date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32.59</w:t>
            </w: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Intrinsic value of options exercised</w:t>
            </w:r>
          </w:p>
        </w:tc>
        <w:tc>
          <w:tcPr>
            <w:tcW w:w="30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7,636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24,587</w:t>
            </w: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Grant date fair value of options vested during the period</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1,867</w:t>
            </w:r>
          </w:p>
        </w:tc>
      </w:tr>
      <w:tr>
        <w:trPr>
          <w:trHeight w:val="27"/>
        </w:trPr>
        <w:tc>
          <w:tcPr>
            <w:tcW w:w="8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is recorded net of estimated forfeiture rates ranging from 1% to 10%.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2014, estimated unrecognized compensation costs related to share-based payments amounted to $2.5 million, which we expect to recognize over a weighted average remaining requisite service period of approximately 3.1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4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exercise</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term</w:t>
            </w:r>
          </w:p>
        </w:tc>
        <w:tc>
          <w:tcPr>
            <w:tcW w:w="200" w:type="dxa"/>
            <w:vAlign w:val="bottom"/>
          </w:tcPr>
          <w:p>
            <w:pPr>
              <w:spacing w:after="0"/>
              <w:rPr>
                <w:sz w:val="12"/>
                <w:szCs w:val="12"/>
                <w:color w:val="auto"/>
              </w:rPr>
            </w:pPr>
          </w:p>
        </w:tc>
        <w:tc>
          <w:tcPr>
            <w:tcW w:w="124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1440" w:type="dxa"/>
            <w:vAlign w:val="bottom"/>
          </w:tcPr>
          <w:p>
            <w:pPr>
              <w:jc w:val="right"/>
              <w:ind w:right="414"/>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price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9"/>
              </w:rPr>
              <w:t>(in years</w:t>
            </w:r>
            <w:r>
              <w:rPr>
                <w:rFonts w:ascii="Arial" w:cs="Arial" w:eastAsia="Arial" w:hAnsi="Arial"/>
                <w:sz w:val="14"/>
                <w:szCs w:val="14"/>
                <w:b w:val="1"/>
                <w:bCs w:val="1"/>
                <w:color w:val="auto"/>
                <w:w w:val="89"/>
              </w:rPr>
              <w:t>)</w:t>
            </w:r>
          </w:p>
        </w:tc>
        <w:tc>
          <w:tcPr>
            <w:tcW w:w="200" w:type="dxa"/>
            <w:vAlign w:val="bottom"/>
          </w:tcPr>
          <w:p>
            <w:pPr>
              <w:spacing w:after="0"/>
              <w:rPr>
                <w:sz w:val="16"/>
                <w:szCs w:val="16"/>
                <w:color w:val="auto"/>
              </w:rPr>
            </w:pPr>
          </w:p>
        </w:tc>
        <w:tc>
          <w:tcPr>
            <w:tcW w:w="124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2,589,343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363,293</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92.91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(16,001)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73.14</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September 30, 2014</w:t>
            </w: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2,537,005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jc w:val="right"/>
              <w:ind w:right="37"/>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206,753</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320" w:type="dxa"/>
            <w:vAlign w:val="bottom"/>
          </w:tcPr>
          <w:p>
            <w:pPr>
              <w:ind w:left="40"/>
              <w:spacing w:after="0"/>
              <w:rPr>
                <w:sz w:val="20"/>
                <w:szCs w:val="20"/>
                <w:color w:val="auto"/>
              </w:rPr>
            </w:pPr>
            <w:r>
              <w:rPr>
                <w:rFonts w:ascii="Arial" w:cs="Arial" w:eastAsia="Arial" w:hAnsi="Arial"/>
                <w:sz w:val="18"/>
                <w:szCs w:val="18"/>
                <w:color w:val="auto"/>
              </w:rPr>
              <w:t>Exercisable at September 30, 2014</w:t>
            </w: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2,192,639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192,474</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20" w:type="dxa"/>
            <w:vAlign w:val="bottom"/>
          </w:tcPr>
          <w:p>
            <w:pPr>
              <w:spacing w:after="0"/>
              <w:rPr>
                <w:sz w:val="24"/>
                <w:szCs w:val="24"/>
                <w:color w:val="auto"/>
              </w:rPr>
            </w:pPr>
          </w:p>
        </w:tc>
        <w:tc>
          <w:tcPr>
            <w:tcW w:w="1440" w:type="dxa"/>
            <w:vAlign w:val="bottom"/>
          </w:tcPr>
          <w:p>
            <w:pPr>
              <w:jc w:val="right"/>
              <w:ind w:right="87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COST OF REVENUE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as well as depreciation and amortization of operating assets. The components of cost of revenue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6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58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980" w:type="dxa"/>
            <w:vAlign w:val="bottom"/>
          </w:tcPr>
          <w:p>
            <w:pPr>
              <w:jc w:val="right"/>
              <w:ind w:right="41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393"/>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jc w:val="right"/>
              <w:ind w:right="413"/>
              <w:spacing w:after="0"/>
              <w:rPr>
                <w:sz w:val="20"/>
                <w:szCs w:val="20"/>
                <w:color w:val="auto"/>
              </w:rPr>
            </w:pPr>
            <w:r>
              <w:rPr>
                <w:rFonts w:ascii="Arial" w:cs="Arial" w:eastAsia="Arial" w:hAnsi="Arial"/>
                <w:sz w:val="14"/>
                <w:szCs w:val="14"/>
                <w:b w:val="1"/>
                <w:bCs w:val="1"/>
                <w:color w:val="auto"/>
                <w:w w:val="96"/>
              </w:rPr>
              <w:t>2013</w:t>
            </w:r>
          </w:p>
        </w:tc>
      </w:tr>
      <w:tr>
        <w:trPr>
          <w:trHeight w:val="243"/>
        </w:trPr>
        <w:tc>
          <w:tcPr>
            <w:tcW w:w="57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68,502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39,600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184,273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108,923</w:t>
            </w:r>
          </w:p>
        </w:tc>
      </w:tr>
      <w:tr>
        <w:trPr>
          <w:trHeight w:val="27"/>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62,086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56,611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186,279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137,851</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39,149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29,496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100,220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73,061</w:t>
            </w:r>
          </w:p>
        </w:tc>
      </w:tr>
      <w:tr>
        <w:trPr>
          <w:trHeight w:val="27"/>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34,078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18,010</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5,599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3,095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15,678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10,350</w:t>
            </w:r>
          </w:p>
        </w:tc>
      </w:tr>
      <w:tr>
        <w:trPr>
          <w:trHeight w:val="27"/>
        </w:trPr>
        <w:tc>
          <w:tcPr>
            <w:tcW w:w="5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64"/>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188,724</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134,261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520,528</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348,195</w:t>
            </w: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SELLING, GENERAL AND ADMINISTRATIVE EXPENSES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include payroll for personnel employed in executive, finance, legal, human resources, vendor management, risk and operational effectiveness roles. This category also includes occupancy costs, professional fees and depreciation and amortization on non-operating assets. The components of selling, general and administrative expenses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392"/>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12"/>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Compensation and benefits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11,770</w:t>
            </w:r>
          </w:p>
        </w:tc>
        <w:tc>
          <w:tcPr>
            <w:tcW w:w="10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6,802</w:t>
            </w:r>
          </w:p>
        </w:tc>
        <w:tc>
          <w:tcPr>
            <w:tcW w:w="1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31,870</w:t>
            </w:r>
          </w:p>
        </w:tc>
        <w:tc>
          <w:tcPr>
            <w:tcW w:w="12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18,868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Professional services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9,041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7,438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27,848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21,971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8,620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29,290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18,857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5,408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3,441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Goodwill impairment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37,473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3,465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15,637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8,089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46,748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31,519</w:t>
            </w:r>
          </w:p>
        </w:tc>
        <w:tc>
          <w:tcPr>
            <w:tcW w:w="120" w:type="dxa"/>
            <w:vAlign w:val="bottom"/>
          </w:tcPr>
          <w:p>
            <w:pPr>
              <w:spacing w:after="0"/>
              <w:rPr>
                <w:sz w:val="22"/>
                <w:szCs w:val="22"/>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139,303</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80,027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16 — OTHER INCOME (EXPENSE), NET</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8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80" w:type="dxa"/>
            <w:vAlign w:val="bottom"/>
            <w:gridSpan w:val="2"/>
          </w:tcPr>
          <w:p>
            <w:pPr>
              <w:spacing w:after="0"/>
              <w:rPr>
                <w:sz w:val="20"/>
                <w:szCs w:val="20"/>
                <w:color w:val="auto"/>
              </w:rPr>
            </w:pPr>
            <w:r>
              <w:rPr>
                <w:rFonts w:ascii="Arial" w:cs="Arial" w:eastAsia="Arial" w:hAnsi="Arial"/>
                <w:sz w:val="18"/>
                <w:szCs w:val="18"/>
                <w:color w:val="auto"/>
              </w:rPr>
              <w:t>Other income (expense), net consists of the following: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92"/>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8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Loss in equity affiliate</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58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58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Loss in equity affiliate for the third quarter of 2013 and the nine months ended September 30, 2013 represents our proportional share of the losses in Correspondent One (see Note 8). There were no comparative amounts in 2014.</w:t>
      </w:r>
    </w:p>
    <w:p>
      <w:pPr>
        <w:sectPr>
          <w:pgSz w:w="11900" w:h="16838" w:orient="portrait"/>
          <w:cols w:equalWidth="0" w:num="1">
            <w:col w:w="11420"/>
          </w:cols>
          <w:pgMar w:left="240" w:top="125" w:right="239" w:bottom="703"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703"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r>
      <w:tr>
        <w:trPr>
          <w:trHeight w:val="192"/>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48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80" w:type="dxa"/>
            <w:vAlign w:val="bottom"/>
          </w:tcPr>
          <w:p>
            <w:pPr>
              <w:spacing w:after="0"/>
              <w:rPr>
                <w:sz w:val="22"/>
                <w:szCs w:val="22"/>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jc w:val="right"/>
              <w:ind w:right="553"/>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53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2013</w:t>
            </w:r>
          </w:p>
        </w:tc>
      </w:tr>
      <w:tr>
        <w:trPr>
          <w:trHeight w:val="243"/>
        </w:trPr>
        <w:tc>
          <w:tcPr>
            <w:tcW w:w="47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r>
      <w:tr>
        <w:trPr>
          <w:trHeight w:val="304"/>
        </w:trPr>
        <w:tc>
          <w:tcPr>
            <w:tcW w:w="4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 attributable to Altisource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42,287</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36,008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136,019</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94,457</w:t>
            </w:r>
          </w:p>
        </w:tc>
      </w:tr>
      <w:tr>
        <w:trPr>
          <w:trHeight w:val="230"/>
        </w:trPr>
        <w:tc>
          <w:tcPr>
            <w:tcW w:w="4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43"/>
        </w:trPr>
        <w:tc>
          <w:tcPr>
            <w:tcW w:w="4840" w:type="dxa"/>
            <w:vAlign w:val="bottom"/>
            <w:gridSpan w:val="2"/>
          </w:tcPr>
          <w:p>
            <w:pPr>
              <w:ind w:left="40"/>
              <w:spacing w:after="0"/>
              <w:rPr>
                <w:sz w:val="20"/>
                <w:szCs w:val="20"/>
                <w:color w:val="auto"/>
              </w:rPr>
            </w:pPr>
            <w:r>
              <w:rPr>
                <w:rFonts w:ascii="Arial" w:cs="Arial" w:eastAsia="Arial" w:hAnsi="Arial"/>
                <w:sz w:val="18"/>
                <w:szCs w:val="18"/>
                <w:color w:val="auto"/>
              </w:rPr>
              <w:t>Weighted average common shares outstanding, basic</w:t>
            </w:r>
          </w:p>
        </w:tc>
        <w:tc>
          <w:tcPr>
            <w:tcW w:w="3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21,626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23,025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22,071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23,185</w:t>
            </w: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2,081</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1,885</w:t>
            </w:r>
          </w:p>
        </w:tc>
      </w:tr>
      <w:tr>
        <w:trPr>
          <w:trHeight w:val="237"/>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64"/>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23,640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25,333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24,152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25,070</w:t>
            </w: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0"/>
        </w:trPr>
        <w:tc>
          <w:tcPr>
            <w:tcW w:w="4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304"/>
        </w:trPr>
        <w:tc>
          <w:tcPr>
            <w:tcW w:w="48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4.07</w:t>
            </w:r>
          </w:p>
        </w:tc>
      </w:tr>
      <w:tr>
        <w:trPr>
          <w:trHeight w:val="251"/>
        </w:trPr>
        <w:tc>
          <w:tcPr>
            <w:tcW w:w="4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3.77</w:t>
            </w: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third quarter of 2014 and 2013 and the nine months ended September 30, 2014 and 2013, less than 0.1 million options were anti-dilutive in each period and, consequently, have been excluded from the computation of diluted EPS. These options were anti-dilutive because their exercise price was greater than the average market price of our common stock. Also excluded from the computation of diluted EPS for the nine months ended September 30, 2014 and 2013 are 0.1 million options in each period (0.1 million options in each period for the third quarter of 2014 and 2013), granted for shares that are issuable upon the achievement of certain market and performance criteria related to our common stock price and an annualized rate of return to investors that have not yet been met.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CONTINGENCIES AND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record a liability for litigation if an unfavorable outcome is probable and the amount of loss can be reasonably estimated, including expected insurance coverage. For proceedings where a range of loss is determined, we record a best estimate of loss within the range.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subject to regulation and oversight by federal, state and local governmental authorities. We periodically receive subpoenas, civil investigative demands or other requests for information from regulatory agencies in connection with their regulatory or investigative authority. We are currently responding to such inquiries from federal and state agencies relating to certain aspects of our business. We believe it is premature to predict the potential outcome or to estimate any potential financial impact in connection with these inquiries.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and Trust Balances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Financial Services collections. These amounts are held in escrow and trust accounts for limited periods of time and are not included in the condensed consolidated balance sheets. Amounts held in escrow and trust accounts were $85.4 million and $71.8 million at September 30, 2014 and December 31, 2013,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SEGMENT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We classify our business into three reporting segments. The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segment provides services that span the mortgage and real estate lifecycle and are typically outsourced by loan servicers, loan originators and investors in single family homes. The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segment provides collection and customer relationship management services primarily to debt originators and servicers (e.g., credit card, auto lending, retail credit and mortgage) and the utility and insurance industries.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principally consists of our REALSuite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software applications, Equator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software applications, Mortgage Builder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software applications as well as our information technology infrastructure services. The software platforms provide a fully integrated set of software applications and technologies that manage the end-to-end lifecycle for residential and commercial mortgage loan servicing including the automated management and payment of a distributed network of vendors. Equator’s software applications provide comprehensive, end-to-end workflow and transaction services to manage real estate and foreclosure related activities and purchase related services from vendors. Mortgage Builder provides mortgage origination and servicing software applications. In addition, </w:t>
      </w:r>
      <w:r>
        <w:rPr>
          <w:rFonts w:ascii="Arial" w:cs="Arial" w:eastAsia="Arial" w:hAnsi="Arial"/>
          <w:sz w:val="17"/>
          <w:szCs w:val="17"/>
          <w:i w:val="1"/>
          <w:iCs w:val="1"/>
          <w:color w:val="auto"/>
        </w:rPr>
        <w:t>Corporate Items and Eliminations</w:t>
      </w:r>
      <w:r>
        <w:rPr>
          <w:rFonts w:ascii="Arial" w:cs="Arial" w:eastAsia="Arial" w:hAnsi="Arial"/>
          <w:sz w:val="17"/>
          <w:szCs w:val="17"/>
          <w:color w:val="auto"/>
        </w:rPr>
        <w:t xml:space="preserve"> include eliminations of transactions between the reporting segments and costs related to corporate support functions including executive, finance, legal, human resources, vendor management, risk and operational effectiveness as well as interest expense.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1"/>
              </w:rPr>
              <w:t>Three months ended September 30, 2014</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4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Financial</w:t>
            </w:r>
          </w:p>
        </w:tc>
        <w:tc>
          <w:tcPr>
            <w:tcW w:w="200" w:type="dxa"/>
            <w:vAlign w:val="bottom"/>
          </w:tcPr>
          <w:p>
            <w:pPr>
              <w:spacing w:after="0"/>
              <w:rPr>
                <w:sz w:val="13"/>
                <w:szCs w:val="13"/>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44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20" w:type="dxa"/>
            <w:vAlign w:val="bottom"/>
          </w:tcPr>
          <w:p>
            <w:pPr>
              <w:jc w:val="right"/>
              <w:ind w:right="254"/>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43"/>
        </w:trPr>
        <w:tc>
          <w:tcPr>
            <w:tcW w:w="4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209,946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287,688</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128,816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17,123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52,583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188,724</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81,130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98,964</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20,644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4,767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7,240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14,097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46,748</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60,486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52,216</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440" w:type="dxa"/>
            <w:vAlign w:val="bottom"/>
            <w:gridSpan w:val="2"/>
          </w:tcPr>
          <w:p>
            <w:pPr>
              <w:ind w:left="40"/>
              <w:spacing w:after="0"/>
              <w:rPr>
                <w:sz w:val="20"/>
                <w:szCs w:val="20"/>
                <w:color w:val="auto"/>
              </w:rPr>
            </w:pPr>
            <w:r>
              <w:rPr>
                <w:rFonts w:ascii="Arial" w:cs="Arial" w:eastAsia="Arial" w:hAnsi="Arial"/>
                <w:sz w:val="18"/>
                <w:szCs w:val="18"/>
                <w:color w:val="auto"/>
                <w:w w:val="95"/>
              </w:rPr>
              <w:t>Income before income taxes and non-controlling interests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60,504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4,975</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45,867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1"/>
              </w:rPr>
              <w:t>Three months ended September 30, 2013</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4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Financial</w:t>
            </w:r>
          </w:p>
        </w:tc>
        <w:tc>
          <w:tcPr>
            <w:tcW w:w="200" w:type="dxa"/>
            <w:vAlign w:val="bottom"/>
          </w:tcPr>
          <w:p>
            <w:pPr>
              <w:spacing w:after="0"/>
              <w:rPr>
                <w:sz w:val="13"/>
                <w:szCs w:val="13"/>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9"/>
        </w:trPr>
        <w:tc>
          <w:tcPr>
            <w:tcW w:w="44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20" w:type="dxa"/>
            <w:vAlign w:val="bottom"/>
          </w:tcPr>
          <w:p>
            <w:pPr>
              <w:jc w:val="right"/>
              <w:ind w:right="254"/>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43"/>
        </w:trPr>
        <w:tc>
          <w:tcPr>
            <w:tcW w:w="4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164,661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27,267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210,835</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106,412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14,998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18,569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134,261</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58,249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76,574</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14,224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4,616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2,621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10,058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31,519</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45,055</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440" w:type="dxa"/>
            <w:vAlign w:val="bottom"/>
            <w:gridSpan w:val="2"/>
          </w:tcPr>
          <w:p>
            <w:pPr>
              <w:ind w:left="40"/>
              <w:spacing w:after="0"/>
              <w:rPr>
                <w:sz w:val="20"/>
                <w:szCs w:val="20"/>
                <w:color w:val="auto"/>
              </w:rPr>
            </w:pPr>
            <w:r>
              <w:rPr>
                <w:rFonts w:ascii="Arial" w:cs="Arial" w:eastAsia="Arial" w:hAnsi="Arial"/>
                <w:sz w:val="18"/>
                <w:szCs w:val="18"/>
                <w:color w:val="auto"/>
                <w:w w:val="95"/>
              </w:rPr>
              <w:t>Income before income taxes and non-controlling interests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43,984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7,653</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3,985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38,614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74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Nine months ended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23495</wp:posOffset>
            </wp:positionV>
            <wp:extent cx="44335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33570" cy="8890"/>
                    </a:xfrm>
                    <a:prstGeom prst="rect">
                      <a:avLst/>
                    </a:prstGeom>
                    <a:noFill/>
                  </pic:spPr>
                </pic:pic>
              </a:graphicData>
            </a:graphic>
          </wp:anchor>
        </w:drawing>
      </w:r>
    </w:p>
    <w:p>
      <w:pPr>
        <w:spacing w:after="0" w:line="2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Mortgage</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Financial</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Technology</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Corporate</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Items and</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400" w:space="720"/>
            <w:col w:w="8300"/>
          </w:cols>
          <w:pgMar w:left="240" w:top="125" w:right="239" w:bottom="1440"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607,066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76,613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167,213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823,029</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360,539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47,794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137,254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520,528</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246,527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302,501</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63,310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14,203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21,367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40,423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139,303</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183,217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163,198</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(15,905)</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440" w:type="dxa"/>
            <w:vAlign w:val="bottom"/>
            <w:gridSpan w:val="2"/>
          </w:tcPr>
          <w:p>
            <w:pPr>
              <w:ind w:left="40"/>
              <w:spacing w:after="0"/>
              <w:rPr>
                <w:sz w:val="20"/>
                <w:szCs w:val="20"/>
                <w:color w:val="auto"/>
              </w:rPr>
            </w:pPr>
            <w:r>
              <w:rPr>
                <w:rFonts w:ascii="Arial" w:cs="Arial" w:eastAsia="Arial" w:hAnsi="Arial"/>
                <w:sz w:val="18"/>
                <w:szCs w:val="18"/>
                <w:color w:val="auto"/>
                <w:w w:val="95"/>
              </w:rPr>
              <w:t>Income before income taxes and non-controlling interests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183,363</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14,640</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8,495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(59,205)</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147,293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1"/>
              </w:rPr>
              <w:t>Nine months ended September 30, 2013</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4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Financial</w:t>
            </w:r>
          </w:p>
        </w:tc>
        <w:tc>
          <w:tcPr>
            <w:tcW w:w="200" w:type="dxa"/>
            <w:vAlign w:val="bottom"/>
          </w:tcPr>
          <w:p>
            <w:pPr>
              <w:spacing w:after="0"/>
              <w:rPr>
                <w:sz w:val="13"/>
                <w:szCs w:val="13"/>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2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4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43"/>
        </w:trPr>
        <w:tc>
          <w:tcPr>
            <w:tcW w:w="4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426,319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66,675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70,189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545,772</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267,859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40,831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55,088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348,195</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197,577</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32,272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7,514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29,241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80,027</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126,188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117,550</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440" w:type="dxa"/>
            <w:vAlign w:val="bottom"/>
            <w:gridSpan w:val="2"/>
          </w:tcPr>
          <w:p>
            <w:pPr>
              <w:ind w:left="40"/>
              <w:spacing w:after="0"/>
              <w:rPr>
                <w:sz w:val="20"/>
                <w:szCs w:val="20"/>
                <w:color w:val="auto"/>
              </w:rPr>
            </w:pPr>
            <w:r>
              <w:rPr>
                <w:rFonts w:ascii="Arial" w:cs="Arial" w:eastAsia="Arial" w:hAnsi="Arial"/>
                <w:sz w:val="18"/>
                <w:szCs w:val="18"/>
                <w:color w:val="auto"/>
                <w:w w:val="95"/>
              </w:rPr>
              <w:t>Income before income taxes and non-controlling interests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126,035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14,836</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7,590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103,777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4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Financial</w:t>
            </w:r>
          </w:p>
        </w:tc>
        <w:tc>
          <w:tcPr>
            <w:tcW w:w="20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2"/>
                <w:szCs w:val="12"/>
                <w:color w:val="auto"/>
              </w:rPr>
            </w:pPr>
          </w:p>
        </w:tc>
        <w:tc>
          <w:tcPr>
            <w:tcW w:w="112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4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20" w:type="dxa"/>
            <w:vAlign w:val="bottom"/>
          </w:tcPr>
          <w:p>
            <w:pPr>
              <w:jc w:val="center"/>
              <w:ind w:right="94"/>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43"/>
        </w:trPr>
        <w:tc>
          <w:tcPr>
            <w:tcW w:w="4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September 30, 2014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333,203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62,347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261,040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160,002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816,592</w:t>
            </w:r>
          </w:p>
        </w:tc>
        <w:tc>
          <w:tcPr>
            <w:tcW w:w="0" w:type="dxa"/>
            <w:vAlign w:val="bottom"/>
          </w:tcPr>
          <w:p>
            <w:pPr>
              <w:spacing w:after="0"/>
              <w:rPr>
                <w:sz w:val="1"/>
                <w:szCs w:val="1"/>
                <w:color w:val="auto"/>
              </w:rPr>
            </w:pPr>
          </w:p>
        </w:tc>
      </w:tr>
      <w:tr>
        <w:trPr>
          <w:trHeight w:val="27"/>
        </w:trPr>
        <w:tc>
          <w:tcPr>
            <w:tcW w:w="4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2013</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310,253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55,930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277,941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85,928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730,052</w:t>
            </w:r>
          </w:p>
        </w:tc>
        <w:tc>
          <w:tcPr>
            <w:tcW w:w="0" w:type="dxa"/>
            <w:vAlign w:val="bottom"/>
          </w:tcPr>
          <w:p>
            <w:pPr>
              <w:spacing w:after="0"/>
              <w:rPr>
                <w:sz w:val="1"/>
                <w:szCs w:val="1"/>
                <w:color w:val="auto"/>
              </w:rPr>
            </w:pPr>
          </w:p>
        </w:tc>
      </w:tr>
      <w:tr>
        <w:trPr>
          <w:trHeight w:val="27"/>
        </w:trPr>
        <w:tc>
          <w:tcPr>
            <w:tcW w:w="4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provided to customers primarily located in the United States. Premises and equipment, net consist of the following, by country: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0"/>
        </w:trPr>
        <w:tc>
          <w:tcPr>
            <w:tcW w:w="8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63,615</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India</w:t>
            </w:r>
          </w:p>
        </w:tc>
        <w:tc>
          <w:tcPr>
            <w:tcW w:w="2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19,948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16,404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Philippines</w:t>
            </w:r>
          </w:p>
        </w:tc>
        <w:tc>
          <w:tcPr>
            <w:tcW w:w="2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3,557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115,773</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87,252</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2013 filed with the Securities and Exchange Commission (“SEC”) on February 13, 2014.</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Form 10-Q regarding anticipated financial outcomes, business and market conditions, outlook and other similar statements related to Altisource’s future financial and operational performance are “forward-looking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5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expectations regarding collection rates and placements in our Financial Services segment;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estimates regarding the calculation of our effective tax rate;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3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Important factors that could cause actual results to differ materially from those suggested by the forward-looking statements include, but are not limited to, the risks discussed in Part II, Item 1A of this report and in the “Risk Factors” section of our Form 10-K for the year ended December 31, 2013 and include the following:</w:t>
      </w:r>
    </w:p>
    <w:p>
      <w:pPr>
        <w:spacing w:after="0" w:line="6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trend toward outsourcing;</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raise debt;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our directors, executive officers and key personnel; and</w:t>
      </w:r>
    </w:p>
    <w:p>
      <w:pPr>
        <w:spacing w:after="0" w:line="198" w:lineRule="exact"/>
        <w:rPr>
          <w:rFonts w:ascii="Arial" w:cs="Arial" w:eastAsia="Arial" w:hAnsi="Arial"/>
          <w:sz w:val="18"/>
          <w:szCs w:val="18"/>
          <w:color w:val="auto"/>
        </w:rPr>
      </w:pPr>
    </w:p>
    <w:p>
      <w:pPr>
        <w:ind w:left="660" w:right="2040" w:hanging="328"/>
        <w:spacing w:after="0" w:line="38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comply with and burdens imposed by governmental regulations, taxes and policies and any changes in such regulations, taxes and policies.</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caution you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we refer to “we,” “us,” “our,” the “Company” or “Altisource” we mean Altisource Portfolio Solutions S.A., a Luxembourg société anonyme, or public limited company, and its wholly-owned subsidiaries.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together with our subsidiaries, are a premier marketplace and transaction solutions provider for the real estate, mortgage and consumer debt industries offering both distribution and content. We leverage proprietary business process, vendor and electronic payment management software and behavioral science based analytics to improve outcomes for marketplace participants.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 into the following three reporting segments: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Mortgage Services</w:t>
      </w:r>
      <w:r>
        <w:rPr>
          <w:rFonts w:ascii="Arial" w:cs="Arial" w:eastAsia="Arial" w:hAnsi="Arial"/>
          <w:sz w:val="18"/>
          <w:szCs w:val="18"/>
          <w:color w:val="auto"/>
        </w:rPr>
        <w:t>: Provides services that span the mortgage and real estate lifecycle and are typically outsourced by loan servicers, originators and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in single family homes. We provide these services primarily for loan portfolios serviced by Ocwen Financial Corporation and its subsidiaries (“Ocwen”). We also have longstanding relationships with commercial banks, insurance companies and mortgage bankers. Within the Mortgage Services segment, we provide the following services:</w:t>
      </w:r>
    </w:p>
    <w:p>
      <w:pPr>
        <w:spacing w:after="0" w:line="187" w:lineRule="exact"/>
        <w:rPr>
          <w:sz w:val="20"/>
          <w:szCs w:val="20"/>
          <w:color w:val="auto"/>
        </w:rPr>
      </w:pPr>
    </w:p>
    <w:p>
      <w:pPr>
        <w:jc w:val="both"/>
        <w:ind w:left="340" w:firstLine="324"/>
        <w:spacing w:after="0" w:line="226" w:lineRule="auto"/>
        <w:rPr>
          <w:sz w:val="20"/>
          <w:szCs w:val="20"/>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 Asset management services principally include property preservation, property inspection, real estate owned (“REO”)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the Hubzu</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consumer real estate portal and REO brokerage services. We also provide property management, lease management and renovation management services for single family rental properties.</w:t>
      </w:r>
    </w:p>
    <w:p>
      <w:pPr>
        <w:spacing w:after="0" w:line="204"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i w:val="1"/>
          <w:iCs w:val="1"/>
          <w:color w:val="auto"/>
        </w:rPr>
        <w:t xml:space="preserve">Insurance services </w:t>
      </w:r>
      <w:r>
        <w:rPr>
          <w:rFonts w:ascii="Arial" w:cs="Arial" w:eastAsia="Arial" w:hAnsi="Arial"/>
          <w:sz w:val="18"/>
          <w:szCs w:val="18"/>
          <w:color w:val="auto"/>
        </w:rPr>
        <w:t>– Insurance services include an array of title insurance services, including pre-foreclosure, REO and refinance title searches, title</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settlement and escrow services. We also provide insurance program management, loss draft claims processing, insurance agency and brokerage services for lender placed and REO insurance companies.</w:t>
      </w:r>
    </w:p>
    <w:p>
      <w:pPr>
        <w:spacing w:after="0" w:line="181"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i w:val="1"/>
          <w:iCs w:val="1"/>
          <w:color w:val="auto"/>
        </w:rPr>
        <w:t xml:space="preserve">Residential property valuation </w:t>
      </w:r>
      <w:r>
        <w:rPr>
          <w:rFonts w:ascii="Arial" w:cs="Arial" w:eastAsia="Arial" w:hAnsi="Arial"/>
          <w:sz w:val="18"/>
          <w:szCs w:val="18"/>
          <w:color w:val="auto"/>
        </w:rPr>
        <w:t>– Residential property valuation services principally include traditional appraisal products through our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appraisal management company and alternative valuation products, some of which are through our network of real estate professionals. We generally provide these services for residential loan servicers, residential lenders and investors in single family homes.</w:t>
      </w:r>
    </w:p>
    <w:p>
      <w:pPr>
        <w:spacing w:after="0" w:line="181"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Default management services principally include foreclosure trustee services for loan servicers and non-legal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related services for and under the supervision of foreclosure, bankruptcy and eviction attorneys.</w:t>
      </w:r>
    </w:p>
    <w:p>
      <w:pPr>
        <w:spacing w:after="0" w:line="170"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i w:val="1"/>
          <w:iCs w:val="1"/>
          <w:color w:val="auto"/>
        </w:rPr>
        <w:t xml:space="preserve">Origination management services </w:t>
      </w:r>
      <w:r>
        <w:rPr>
          <w:rFonts w:ascii="Arial" w:cs="Arial" w:eastAsia="Arial" w:hAnsi="Arial"/>
          <w:sz w:val="18"/>
          <w:szCs w:val="18"/>
          <w:color w:val="auto"/>
        </w:rPr>
        <w:t>– Origination management services principally include Mortgage Partnership of America, L.L.C. (“MPA”)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underwriting and quality control businesses. MPA serves as the manager of Best Partners Mortgage Cooperative, Inc., which is referred to as the Lenders One Mortgage Cooperative (“Lenders One”), a national alliance of independent mortgage bankers that provides its members with education and training along with revenue enhancing, cost reducing and market share expanding opportunities. We provide other origination related services in the above residential property valuation and insurance services businesses.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Financial Services</w:t>
      </w:r>
      <w:r>
        <w:rPr>
          <w:rFonts w:ascii="Arial" w:cs="Arial" w:eastAsia="Arial" w:hAnsi="Arial"/>
          <w:sz w:val="16"/>
          <w:szCs w:val="16"/>
          <w:color w:val="auto"/>
        </w:rPr>
        <w:t>: Provides collection and customer relationship management services primarily to debt originators and servicers (e.g., credit card, auto</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retail credit and mortgage) and the utility and insurance industries. Within the Financial Services segment, we provide the following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Asset recovery management </w:t>
      </w:r>
      <w:r>
        <w:rPr>
          <w:rFonts w:ascii="Arial" w:cs="Arial" w:eastAsia="Arial" w:hAnsi="Arial"/>
          <w:sz w:val="16"/>
          <w:szCs w:val="16"/>
          <w:color w:val="auto"/>
        </w:rPr>
        <w:t>– Asset recovery management principally includes post-charge-off debt collection services on a contingency fee basis.</w:t>
      </w:r>
    </w:p>
    <w:p>
      <w:pPr>
        <w:spacing w:after="0" w:line="248"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Customer relationship management </w:t>
      </w:r>
      <w:r>
        <w:rPr>
          <w:rFonts w:ascii="Arial" w:cs="Arial" w:eastAsia="Arial" w:hAnsi="Arial"/>
          <w:sz w:val="18"/>
          <w:szCs w:val="18"/>
          <w:color w:val="auto"/>
        </w:rPr>
        <w:t>– Customer relationship management principally includes customer care and early stage collections services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insurance and loss draft claims processing, call center services and analytical support.</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Technology Services</w:t>
      </w:r>
      <w:r>
        <w:rPr>
          <w:rFonts w:ascii="Arial" w:cs="Arial" w:eastAsia="Arial" w:hAnsi="Arial"/>
          <w:sz w:val="16"/>
          <w:szCs w:val="16"/>
          <w:color w:val="auto"/>
        </w:rPr>
        <w:t>: Comprises our REALSuite of software applications, Equator, LLC’s (“Equator”) software applications, Mortgage Builder Software, Inc.</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Builder”) software applications and our information technology (“IT”) infrastructure management services. We currently provide our IT infrastructure management services to Ocwen, Home Loan Servicing Solutions, Ltd. (“HLSS”), Altisource Residential Corporation (“Residential”) and Altisource Asset Management Company (“AAMC”), through managed services agreements, and our other segments in a shared services model. The software platforms provide a fully integrated set of software applications and technologies that manage the end-to-end lifecycle for residential and commercial</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mortgage loan servicing including the automated management and payment of a distributed network of vendors. A brief description of the key REALSuite, Equator and Mortgage Builder’s software products is below:</w:t>
      </w:r>
    </w:p>
    <w:p>
      <w:pPr>
        <w:spacing w:after="0" w:line="62" w:lineRule="exact"/>
        <w:rPr>
          <w:sz w:val="20"/>
          <w:szCs w:val="20"/>
          <w:color w:val="auto"/>
        </w:rPr>
      </w:pPr>
    </w:p>
    <w:p>
      <w:pPr>
        <w:jc w:val="both"/>
        <w:ind w:left="340" w:firstLine="396"/>
        <w:spacing w:after="0" w:line="213" w:lineRule="auto"/>
        <w:rPr>
          <w:sz w:val="20"/>
          <w:szCs w:val="20"/>
          <w:color w:val="auto"/>
        </w:rPr>
      </w:pPr>
      <w:r>
        <w:rPr>
          <w:rFonts w:ascii="Arial" w:cs="Arial" w:eastAsia="Arial" w:hAnsi="Arial"/>
          <w:sz w:val="18"/>
          <w:szCs w:val="18"/>
          <w:i w:val="1"/>
          <w:iCs w:val="1"/>
          <w:color w:val="auto"/>
        </w:rPr>
        <w:t>REALServicing</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enterprise residential mortgage loan servicing product that offers an efficient and effective platform for loan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default administration. This technology solution features automated workflows and robust reporting capabilities. The solution spans the loan servicing lifecycle from loan boarding to satisfaction including all collections, payment processing and reporting. We also offer the REALSynergy</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enterprise commercial loan servicing system.</w:t>
      </w:r>
    </w:p>
    <w:p>
      <w:pPr>
        <w:spacing w:after="0" w:line="203"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REALResolution</w:t>
      </w:r>
      <w:r>
        <w:rPr>
          <w:rFonts w:ascii="Arial" w:cs="Arial" w:eastAsia="Arial" w:hAnsi="Arial"/>
          <w:sz w:val="18"/>
          <w:szCs w:val="18"/>
          <w:color w:val="auto"/>
        </w:rPr>
        <w:t>™ – A technology platform that provides servicers with an automated default management and home retention solution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delinquent and defaulted loans.</w:t>
      </w:r>
    </w:p>
    <w:p>
      <w:pPr>
        <w:spacing w:after="0" w:line="170" w:lineRule="exact"/>
        <w:rPr>
          <w:sz w:val="20"/>
          <w:szCs w:val="20"/>
          <w:color w:val="auto"/>
        </w:rPr>
      </w:pPr>
    </w:p>
    <w:p>
      <w:pPr>
        <w:jc w:val="both"/>
        <w:ind w:left="340" w:firstLine="324"/>
        <w:spacing w:after="0" w:line="232" w:lineRule="auto"/>
        <w:rPr>
          <w:sz w:val="20"/>
          <w:szCs w:val="20"/>
          <w:color w:val="auto"/>
        </w:rPr>
      </w:pPr>
      <w:r>
        <w:rPr>
          <w:rFonts w:ascii="Arial" w:cs="Arial" w:eastAsia="Arial" w:hAnsi="Arial"/>
          <w:sz w:val="18"/>
          <w:szCs w:val="18"/>
          <w:i w:val="1"/>
          <w:iCs w:val="1"/>
          <w:color w:val="auto"/>
        </w:rPr>
        <w:t>REALTrans</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business-to-business exchange that automates and simplifies vendor selection, ordering, tracking and</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of vendor provided services principally related to the real estate and mortgage marketplaces. This technology solution, whether accessed through the web or integrated into a servicing system, connects to a marketplace of services through a single platform and delivers an efficient method for managing a large scale network of vendors.</w:t>
      </w:r>
    </w:p>
    <w:p>
      <w:pPr>
        <w:spacing w:after="0" w:line="202" w:lineRule="exact"/>
        <w:rPr>
          <w:sz w:val="20"/>
          <w:szCs w:val="20"/>
          <w:color w:val="auto"/>
        </w:rPr>
      </w:pPr>
    </w:p>
    <w:p>
      <w:pPr>
        <w:jc w:val="both"/>
        <w:ind w:left="340" w:firstLine="324"/>
        <w:spacing w:after="0" w:line="226" w:lineRule="auto"/>
        <w:rPr>
          <w:sz w:val="20"/>
          <w:szCs w:val="20"/>
          <w:color w:val="auto"/>
        </w:rPr>
      </w:pPr>
      <w:r>
        <w:rPr>
          <w:rFonts w:ascii="Arial" w:cs="Arial" w:eastAsia="Arial" w:hAnsi="Arial"/>
          <w:sz w:val="18"/>
          <w:szCs w:val="18"/>
          <w:i w:val="1"/>
          <w:iCs w:val="1"/>
          <w:color w:val="auto"/>
        </w:rPr>
        <w:t>REALRemit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invoicing and payment system that provides vendors with the ability to submit invoices electronically,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servicers with the ability to automatically adjudicate invoices according to compliance rules and for electronic payments to be delivered after review and approval.</w:t>
      </w:r>
    </w:p>
    <w:p>
      <w:pPr>
        <w:spacing w:after="0" w:line="204" w:lineRule="exact"/>
        <w:rPr>
          <w:sz w:val="20"/>
          <w:szCs w:val="20"/>
          <w:color w:val="auto"/>
        </w:rPr>
      </w:pPr>
    </w:p>
    <w:p>
      <w:pPr>
        <w:jc w:val="both"/>
        <w:ind w:left="340" w:firstLine="324"/>
        <w:spacing w:after="0" w:line="232" w:lineRule="auto"/>
        <w:rPr>
          <w:sz w:val="20"/>
          <w:szCs w:val="20"/>
          <w:color w:val="auto"/>
        </w:rPr>
      </w:pPr>
      <w:r>
        <w:rPr>
          <w:rFonts w:ascii="Arial" w:cs="Arial" w:eastAsia="Arial" w:hAnsi="Arial"/>
          <w:sz w:val="18"/>
          <w:szCs w:val="18"/>
          <w:i w:val="1"/>
          <w:iCs w:val="1"/>
          <w:color w:val="auto"/>
        </w:rPr>
        <w:t>REALDoc</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automated document management platform that consists of three primary modules: REALDoc Capture, which converts document</w:t>
      </w:r>
      <w:r>
        <w:rPr>
          <w:rFonts w:ascii="Arial" w:cs="Arial" w:eastAsia="Arial" w:hAnsi="Arial"/>
          <w:sz w:val="18"/>
          <w:szCs w:val="18"/>
          <w:i w:val="1"/>
          <w:iCs w:val="1"/>
          <w:color w:val="auto"/>
        </w:rPr>
        <w:t xml:space="preserve"> </w:t>
      </w:r>
      <w:r>
        <w:rPr>
          <w:rFonts w:ascii="Arial" w:cs="Arial" w:eastAsia="Arial" w:hAnsi="Arial"/>
          <w:sz w:val="18"/>
          <w:szCs w:val="18"/>
          <w:color w:val="auto"/>
        </w:rPr>
        <w:t>images into processable data, indexes documents and provides customizable workflows based on data attributes; REALDoc Correspondence, which provides a scalable correspondence creation, management and delivery platform; and REALDoc Vault, which provides a scalable and distributed storage platform and secure document viewer.</w:t>
      </w:r>
    </w:p>
    <w:p>
      <w:pPr>
        <w:spacing w:after="0" w:line="175"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i w:val="1"/>
          <w:iCs w:val="1"/>
          <w:color w:val="auto"/>
        </w:rPr>
        <w:t>REALAnalytics</w:t>
      </w:r>
      <w:r>
        <w:rPr>
          <w:rFonts w:ascii="Arial" w:cs="Arial" w:eastAsia="Arial" w:hAnsi="Arial"/>
          <w:sz w:val="18"/>
          <w:szCs w:val="18"/>
          <w:color w:val="auto"/>
        </w:rPr>
        <w:t>™ – A software platform that incorporates econometric models and behavioral economics to assist servicers in various aspects of</w:t>
      </w:r>
      <w:r>
        <w:rPr>
          <w:rFonts w:ascii="Arial" w:cs="Arial" w:eastAsia="Arial" w:hAnsi="Arial"/>
          <w:sz w:val="18"/>
          <w:szCs w:val="18"/>
          <w:i w:val="1"/>
          <w:iCs w:val="1"/>
          <w:color w:val="auto"/>
        </w:rPr>
        <w:t xml:space="preserve"> </w:t>
      </w:r>
      <w:r>
        <w:rPr>
          <w:rFonts w:ascii="Arial" w:cs="Arial" w:eastAsia="Arial" w:hAnsi="Arial"/>
          <w:sz w:val="18"/>
          <w:szCs w:val="18"/>
          <w:color w:val="auto"/>
        </w:rPr>
        <w:t>servicing, including determination of loss mitigation options for decision-making by the servicer.</w:t>
      </w:r>
    </w:p>
    <w:p>
      <w:pPr>
        <w:spacing w:after="0" w:line="143" w:lineRule="exact"/>
        <w:rPr>
          <w:sz w:val="20"/>
          <w:szCs w:val="20"/>
          <w:color w:val="auto"/>
        </w:rPr>
      </w:pPr>
    </w:p>
    <w:p>
      <w:pPr>
        <w:jc w:val="both"/>
        <w:ind w:left="340" w:firstLine="324"/>
        <w:spacing w:after="0" w:line="237" w:lineRule="auto"/>
        <w:rPr>
          <w:sz w:val="20"/>
          <w:szCs w:val="20"/>
          <w:color w:val="auto"/>
        </w:rPr>
      </w:pPr>
      <w:r>
        <w:rPr>
          <w:rFonts w:ascii="Arial" w:cs="Arial" w:eastAsia="Arial" w:hAnsi="Arial"/>
          <w:sz w:val="18"/>
          <w:szCs w:val="18"/>
          <w:i w:val="1"/>
          <w:iCs w:val="1"/>
          <w:color w:val="auto"/>
        </w:rPr>
        <w:t xml:space="preserve">Equator’s Solutions </w:t>
      </w:r>
      <w:r>
        <w:rPr>
          <w:rFonts w:ascii="Arial" w:cs="Arial" w:eastAsia="Arial" w:hAnsi="Arial"/>
          <w:sz w:val="18"/>
          <w:szCs w:val="18"/>
          <w:color w:val="auto"/>
        </w:rPr>
        <w:t>– The EQ Workstation</w:t>
      </w:r>
      <w:r>
        <w:rPr>
          <w:rFonts w:ascii="Arial" w:cs="Arial" w:eastAsia="Arial" w:hAnsi="Arial"/>
          <w:sz w:val="25"/>
          <w:szCs w:val="25"/>
          <w:color w:val="auto"/>
          <w:vertAlign w:val="superscript"/>
        </w:rPr>
        <w:t>®</w:t>
      </w:r>
      <w:r>
        <w:rPr>
          <w:rFonts w:ascii="Arial" w:cs="Arial" w:eastAsia="Arial" w:hAnsi="Arial"/>
          <w:sz w:val="18"/>
          <w:szCs w:val="18"/>
          <w:color w:val="auto"/>
        </w:rPr>
        <w:t>, EQ Marketplace</w:t>
      </w:r>
      <w:r>
        <w:rPr>
          <w:rFonts w:ascii="Arial" w:cs="Arial" w:eastAsia="Arial" w:hAnsi="Arial"/>
          <w:sz w:val="25"/>
          <w:szCs w:val="25"/>
          <w:color w:val="auto"/>
          <w:vertAlign w:val="superscript"/>
        </w:rPr>
        <w:t>®</w:t>
      </w:r>
      <w:r>
        <w:rPr>
          <w:rFonts w:ascii="Arial" w:cs="Arial" w:eastAsia="Arial" w:hAnsi="Arial"/>
          <w:sz w:val="18"/>
          <w:szCs w:val="18"/>
          <w:color w:val="auto"/>
        </w:rPr>
        <w:t>, EQ Midsource</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EQ Portal™ platforms (can be used separately or together as an</w:t>
      </w:r>
      <w:r>
        <w:rPr>
          <w:rFonts w:ascii="Arial" w:cs="Arial" w:eastAsia="Arial" w:hAnsi="Arial"/>
          <w:sz w:val="18"/>
          <w:szCs w:val="18"/>
          <w:i w:val="1"/>
          <w:iCs w:val="1"/>
          <w:color w:val="auto"/>
        </w:rPr>
        <w:t xml:space="preserve"> </w:t>
      </w:r>
      <w:r>
        <w:rPr>
          <w:rFonts w:ascii="Arial" w:cs="Arial" w:eastAsia="Arial" w:hAnsi="Arial"/>
          <w:sz w:val="18"/>
          <w:szCs w:val="18"/>
          <w:color w:val="auto"/>
        </w:rPr>
        <w:t>end-to-end solution). EQ Workstation provides comprehensive, end-to-end workflow and transaction services to manage real estate and foreclosure related activities. EQ Marketplace provides a coordinated means of purchasing a variety of real estate services from vendors including realtors, title, closing, inspection and valuation. EQ Midsource allows users of EQ Workstation to outsource all or specific components of real estate related activities. EQ Portal provides realtors direct access to process real estate transactions with secure exchange of data and documents along with realtor marketing, training and certification.</w:t>
      </w:r>
    </w:p>
    <w:p>
      <w:pPr>
        <w:spacing w:after="0" w:line="20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i w:val="1"/>
          <w:iCs w:val="1"/>
          <w:color w:val="auto"/>
        </w:rPr>
        <w:t xml:space="preserve">Mortgage Builder </w:t>
      </w:r>
      <w:r>
        <w:rPr>
          <w:rFonts w:ascii="Arial" w:cs="Arial" w:eastAsia="Arial" w:hAnsi="Arial"/>
          <w:sz w:val="18"/>
          <w:szCs w:val="18"/>
          <w:color w:val="auto"/>
        </w:rPr>
        <w:t>– Mortgage Builder provides loan origination software to mortgage banks, community banks, credit unions and other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institutions. Its suite of software solutions includes origination, servicing, lead/customer management, production portal and electronic document management.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Includes costs related to corporate support functions including executive, finance, legal, human resources, vendor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risk and operational effectiveness as well as interest expense and also includes eliminations of transactions between the reporting segments. Corporate Items and Eliminations also include the cost of facilities until approximately 40% of the facilities are occupied by the business units, at which time costs are allocated to the business units.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a consolidated entity not owned by Altisource, and are included in revenue and reduced from net income to arrive at net income attributable to Altisource.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February 28, 2014, our shareholders approved a new stock repurchase program, which replaced the previous stock repurchase program. Under the new program, we are authorized to purchase up to 3.4 million shares of our common stock, based on a limit of 15% of the outstanding shares of common stock on the date of approval, in the open market, at a minimum price of $1.00 per share and a maximum price of $500.00 per share. This is in addition to amounts previously purchased under the prior programs.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From authorization of the previous programs through September 30, 2014, we have purchased approximately 5.7 million shares of our common stock in the open market at an average price of $77.55 per share. We purchased 2.0 million shares of common stock at an average price of $104.88 per share during the nine months ended September 30, 2014 and 0.8 million shares at an average price of $103.45 per share during the nine months ended September 30, 2013 (1.3 million shares at an average price of $102.45 per share for the third quarter of 2014 and 0.3 million shares at an average price of $134.86 per share for the third quarter of 2013). As of September 30, 2014, approximately 1.6 million shares of common stock remain available for repurchase under the new program. Our senior secured term loan limits the amount we can spend on share repurchases in any year and may prevent repurchases in certain circumstances. As of September 30, 2014, approximately $220 million was available to repurchase our common stock under our senior secured term loan. Luxembourg law also limits share repurchases to approximately the balance of Altisource Portfolio Solutions S.A. (unconsolidated parent company) retained earnings, less the value of shares repurchased. As the result of a restructuring of our Luxembourg holding companies in the third quarter of 2014, as of September 30, 2014, approximately $1,950 million was available to repurchase our common stock under Luxembourg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Altisource’s Vision and Growth Initiatives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our separation from Ocwen, Altisource has become a company providing a suite of mortgage, real estate and consumer debt services, leveraging our technology and global operations. Our relationship with Ocwen provided a foundation on which we built our business and remains an important priority for us. Altisource’s vision has evolved to become the premier provider of real estate and mortgage marketplaces offering both distribution and content. Within these industries, we are facilitating transactions related to home sales, home rentals, home maintenance, mortgage origination and mortgage servicing. We continue to expand our service offerings and customer base by enhancing and broadening the services we provide to existing customers as well as extending our services to new customers. The Equator acquisition, with its real estate and mortgage marketplace and transaction solutions, and the Mortgage Builder acquisition, with its origination solutions, are in line with this vision and accelerates our evolution and growth.</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there are growth opportunities for Altisource in the real estate and mortgage markets leveraging our distribution and transaction solutions. Our strategic growth initiatives 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w:t>
      </w:r>
    </w:p>
    <w:p>
      <w:pPr>
        <w:spacing w:after="0" w:line="154" w:lineRule="exact"/>
        <w:rPr>
          <w:sz w:val="20"/>
          <w:szCs w:val="20"/>
          <w:color w:val="auto"/>
        </w:rPr>
      </w:pPr>
    </w:p>
    <w:p>
      <w:pPr>
        <w:ind w:left="720" w:hanging="388"/>
        <w:spacing w:after="0"/>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maintaining and growing our services provided to Ocwen and others’ residential REO servicing portfolios</w:t>
      </w:r>
    </w:p>
    <w:p>
      <w:pPr>
        <w:spacing w:after="0" w:line="304" w:lineRule="exact"/>
        <w:rPr>
          <w:rFonts w:ascii="Arial" w:cs="Arial" w:eastAsia="Arial" w:hAnsi="Arial"/>
          <w:sz w:val="17"/>
          <w:szCs w:val="17"/>
          <w:color w:val="auto"/>
        </w:rPr>
      </w:pPr>
    </w:p>
    <w:p>
      <w:pPr>
        <w:ind w:left="720" w:hanging="388"/>
        <w:spacing w:after="0"/>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deploying Hubzu to other institutions and the non-distressed home sales market</w:t>
      </w:r>
    </w:p>
    <w:p>
      <w:pPr>
        <w:spacing w:after="0" w:line="250"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providing property management, lease management and renovation management services to the single family rental market</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Mortgage market:</w:t>
      </w:r>
    </w:p>
    <w:p>
      <w:pPr>
        <w:spacing w:after="0" w:line="235" w:lineRule="exact"/>
        <w:rPr>
          <w:sz w:val="20"/>
          <w:szCs w:val="20"/>
          <w:color w:val="auto"/>
        </w:rPr>
      </w:pPr>
    </w:p>
    <w:p>
      <w:pPr>
        <w:ind w:left="720" w:hanging="388"/>
        <w:spacing w:after="0"/>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maintaining and growing our services provided to Ocwen and others’ residential loan servicing portfolios</w:t>
      </w:r>
    </w:p>
    <w:p>
      <w:pPr>
        <w:spacing w:after="0" w:line="236" w:lineRule="exact"/>
        <w:rPr>
          <w:rFonts w:ascii="Arial" w:cs="Arial" w:eastAsia="Arial" w:hAnsi="Arial"/>
          <w:sz w:val="17"/>
          <w:szCs w:val="17"/>
          <w:color w:val="auto"/>
        </w:rPr>
      </w:pPr>
    </w:p>
    <w:p>
      <w:pPr>
        <w:ind w:left="660" w:hanging="328"/>
        <w:spacing w:after="0" w:line="274"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maintaining and growing our services provided to the members of Lenders One, customers of Equator and Mortgage Builder and Ocwen's origination platform</w:t>
      </w:r>
    </w:p>
    <w:p>
      <w:pPr>
        <w:spacing w:after="0" w:line="107" w:lineRule="exact"/>
        <w:rPr>
          <w:rFonts w:ascii="Arial" w:cs="Arial" w:eastAsia="Arial" w:hAnsi="Arial"/>
          <w:sz w:val="17"/>
          <w:szCs w:val="17"/>
          <w:color w:val="auto"/>
        </w:rPr>
      </w:pPr>
    </w:p>
    <w:p>
      <w:pPr>
        <w:ind w:left="720" w:hanging="388"/>
        <w:spacing w:after="0"/>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developing our next generation REALServicing technology</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Distribution and transaction solutions:</w:t>
      </w:r>
    </w:p>
    <w:p>
      <w:pPr>
        <w:spacing w:after="0" w:line="222" w:lineRule="exact"/>
        <w:rPr>
          <w:sz w:val="20"/>
          <w:szCs w:val="20"/>
          <w:color w:val="auto"/>
        </w:rPr>
      </w:pPr>
    </w:p>
    <w:p>
      <w:pPr>
        <w:ind w:left="660" w:hanging="328"/>
        <w:spacing w:after="0" w:line="274"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developing our next generation REALTrans (vendor management), REALRemit (invoice management) and REALDoc (document management) technologies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average number of loans serviced by Ocwen on REALServicing was 2.1 million for the nine months ended September 30, 2014 compared to 1.0 million for the nine months ended September 30, 2013 (2.3 million for the third quarter of 2014 compared to 1.2 million for the third quarter of 2013). The average number of delinquent non-Government-Sponsored Enterprise loans serviced by Ocwen on REALServicing was 356 thousand for the nine months ended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September 30, 2014 compared to 276 thousand for the nine months ended September 30, 2013 (347 thousand for the third quarter of 2014 and 303 thousand for the third quarter of 2013);</w:t>
      </w:r>
    </w:p>
    <w:p>
      <w:pPr>
        <w:spacing w:after="0" w:line="143"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September 12, 2014, we completed the acquisition of Mortgage Builder, a provider of mortgage loan origination and servicing software systems, for $15.7 million at closing in cash plus contingent consideration of up to an additional $7.0 million over three years;</w:t>
      </w:r>
    </w:p>
    <w:p>
      <w:pPr>
        <w:spacing w:after="0" w:line="170"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November 15, 2013, we acquired Equator for an initial purchase price of $63.4 million plus contingent consideration of up to an additional $80 million over three years, subject to Equator achieving annual performance targets. The liability for contingent consideration is reflected at fair value and adjusted each reporting period with the change in fair value recognized in earnings. During the second quarter of 2014, the fair value was reduced by $37.9 million with a corresponding increase in earnings. As a result of the adjustment in the fair value of the Equator contingent consideration, we determined that the Equator goodwill was impaired and recorded an estimated impairment loss of $37.5 million in the second quarter of 2014. The net impact was $0.5 million;</w:t>
      </w:r>
    </w:p>
    <w:p>
      <w:pPr>
        <w:spacing w:after="0" w:line="19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March 29, 2013, we completed the acquisition of the Homeward Residential Capital, Inc. (“Homeward”) fee-based businesses from Ocwen for an aggregate purchase price of $75.8 million;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April 12, 2013, we completed the Residential Capital, LLC (“ResCap”) fee-based business transaction with Ocwen for an aggregate purchase price of $128.8 million; and</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November 2012, we borrowed $200.0 million under a senior secured term loan agreement and increased our borrowings to $400.0 million on May 7, 2013. On December 9, 2013, we refinanced the senior secured term loan which included, among other changes, lowering the interest rate of the term loans. On August 1, 2014, we amended our senior secured term loan agreement and increased our borrowings by $200.0 million. Interest expense totaled $16.0 million and $14.3 million for the nine months ended September 30, 2014 and 2013, respectively ($6.5 million and $6.2 million for the third quarter of 2014 and 2013,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of Immaterial Errors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As previously disclosed, during the second quarter of 2014, we determined that while we properly identified our related parties in previously issued financial statements, disclosures of certain immaterial related party expenses were omitted. We have corrected the previously presented disclosures of related party expenses in Note 2 — </w:t>
      </w:r>
      <w:r>
        <w:rPr>
          <w:rFonts w:ascii="Arial" w:cs="Arial" w:eastAsia="Arial" w:hAnsi="Arial"/>
          <w:sz w:val="16"/>
          <w:szCs w:val="16"/>
          <w:i w:val="1"/>
          <w:iCs w:val="1"/>
          <w:color w:val="auto"/>
        </w:rPr>
        <w:t>Transactions with Related Parties</w:t>
      </w:r>
      <w:r>
        <w:rPr>
          <w:rFonts w:ascii="Arial" w:cs="Arial" w:eastAsia="Arial" w:hAnsi="Arial"/>
          <w:sz w:val="16"/>
          <w:szCs w:val="16"/>
          <w:color w:val="auto"/>
        </w:rPr>
        <w:t xml:space="preserve"> and on the face of the condensed consolidated statements of operations for the three and nine months ended September 30, 2013. The impact of correcting these items in the notes to the condensed consolidated financial statements had the effect of increasing the amounts disclosed as related party cost of revenue from Ocwen by $14.0 million for the nine months ended September 30, 2013 ($5.0 million for the third quarter of 2013), increasing the amounts disclosed as selling, general and administrative expenses (“SG&amp;A”) from Ocwen billings to Altisource by $1.0 million for the nine months ended September 30, 2013 ($0.8 million for the third quarter of 2013), decreasing the amounts disclosed as SG&amp;A from Altisource billings to Ocwen by $0.1 million for the nine months ended September 30, 2013 (less than $0.1 million for the third quarter of 2013) and decreasing the amounts disclosed as SG&amp;A from Altisource billings to AAMC by $0.3 million for the nine months ended September 30, 2013 ($0.1 million for the third quarter of 2013). Correcting these items on the face of the condensed consolidated statements of operations resulted in the disclosure of related party cost of revenue of $14.0 million for the nine months ended September 30, 2013 ($5.0 million for the third quarter of 2013) and a decrease in previously disclosed related party SG&amp;A by $1.8 million for the nine months ended September 30, 2013 ($0.1 million for the third quarter of 2013).</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accordance with Accounting Standards Codification Topic 250,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the Company evaluated the effect of the disclosure and presentation errors on its previously issued annual and quarterly financial statements, both qualitatively and quantitatively, and concluded that the related party disclosures in the Company’s previously issued annual and quarterly financial statements are not materially misstated.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consolidated results of operations for the periods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right"/>
              <w:ind w:right="62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6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8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0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 Increase</w:t>
            </w:r>
          </w:p>
        </w:tc>
        <w:tc>
          <w:tcPr>
            <w:tcW w:w="28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98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39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Mortgage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170,018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134,317</w:t>
            </w:r>
          </w:p>
        </w:tc>
        <w:tc>
          <w:tcPr>
            <w:tcW w:w="10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504,989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350,581</w:t>
            </w:r>
          </w:p>
        </w:tc>
        <w:tc>
          <w:tcPr>
            <w:tcW w:w="10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Financial Services</w:t>
            </w: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26,803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27,168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76,496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66,259</w:t>
            </w: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Technology Services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61,726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25,175</w:t>
            </w:r>
          </w:p>
        </w:tc>
        <w:tc>
          <w:tcPr>
            <w:tcW w:w="10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167,213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70,189</w:t>
            </w:r>
          </w:p>
        </w:tc>
        <w:tc>
          <w:tcPr>
            <w:tcW w:w="10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Eliminations</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(10,836)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(6,268)</w:t>
            </w:r>
          </w:p>
        </w:tc>
        <w:tc>
          <w:tcPr>
            <w:tcW w:w="1060" w:type="dxa"/>
            <w:vAlign w:val="bottom"/>
            <w:gridSpan w:val="2"/>
          </w:tcPr>
          <w:p>
            <w:pPr>
              <w:jc w:val="right"/>
              <w:ind w:right="28"/>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(27,863)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(17,411)</w:t>
            </w: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247,711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180,392</w:t>
            </w:r>
          </w:p>
        </w:tc>
        <w:tc>
          <w:tcPr>
            <w:tcW w:w="10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720,835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469,618</w:t>
            </w:r>
          </w:p>
        </w:tc>
        <w:tc>
          <w:tcPr>
            <w:tcW w:w="10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39,149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29,496</w:t>
            </w:r>
          </w:p>
        </w:tc>
        <w:tc>
          <w:tcPr>
            <w:tcW w:w="1060" w:type="dxa"/>
            <w:vAlign w:val="bottom"/>
            <w:gridSpan w:val="2"/>
          </w:tcPr>
          <w:p>
            <w:pPr>
              <w:jc w:val="right"/>
              <w:ind w:right="28"/>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100,220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73,061</w:t>
            </w: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947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1,974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3,093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287,688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210,835</w:t>
            </w:r>
          </w:p>
        </w:tc>
        <w:tc>
          <w:tcPr>
            <w:tcW w:w="1060" w:type="dxa"/>
            <w:vAlign w:val="bottom"/>
            <w:gridSpan w:val="2"/>
          </w:tcPr>
          <w:p>
            <w:pPr>
              <w:jc w:val="right"/>
              <w:ind w:right="2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823,029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545,772</w:t>
            </w: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188,724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134,261</w:t>
            </w:r>
          </w:p>
        </w:tc>
        <w:tc>
          <w:tcPr>
            <w:tcW w:w="10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520,528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348,195</w:t>
            </w:r>
          </w:p>
        </w:tc>
        <w:tc>
          <w:tcPr>
            <w:tcW w:w="10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98,964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76,574</w:t>
            </w:r>
          </w:p>
        </w:tc>
        <w:tc>
          <w:tcPr>
            <w:tcW w:w="1060" w:type="dxa"/>
            <w:vAlign w:val="bottom"/>
            <w:gridSpan w:val="2"/>
          </w:tcPr>
          <w:p>
            <w:pPr>
              <w:jc w:val="right"/>
              <w:ind w:right="28"/>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302,501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197,577</w:t>
            </w: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46,748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31,519</w:t>
            </w:r>
          </w:p>
        </w:tc>
        <w:tc>
          <w:tcPr>
            <w:tcW w:w="10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139,303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80,027</w:t>
            </w:r>
          </w:p>
        </w:tc>
        <w:tc>
          <w:tcPr>
            <w:tcW w:w="10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52,216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45,055</w:t>
            </w:r>
          </w:p>
        </w:tc>
        <w:tc>
          <w:tcPr>
            <w:tcW w:w="1060" w:type="dxa"/>
            <w:vAlign w:val="bottom"/>
            <w:gridSpan w:val="2"/>
          </w:tcPr>
          <w:p>
            <w:pPr>
              <w:jc w:val="right"/>
              <w:ind w:right="2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163,198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117,550</w:t>
            </w: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(6,480)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(6,188)</w:t>
            </w:r>
          </w:p>
        </w:tc>
        <w:tc>
          <w:tcPr>
            <w:tcW w:w="1060" w:type="dxa"/>
            <w:vAlign w:val="bottom"/>
            <w:gridSpan w:val="2"/>
          </w:tcPr>
          <w:p>
            <w:pPr>
              <w:jc w:val="right"/>
              <w:ind w:right="28"/>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(16,040)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(14,302)</w:t>
            </w: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(253)</w:t>
            </w:r>
          </w:p>
        </w:tc>
        <w:tc>
          <w:tcPr>
            <w:tcW w:w="10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4080" w:type="dxa"/>
            <w:vAlign w:val="bottom"/>
            <w:gridSpan w:val="2"/>
          </w:tcPr>
          <w:p>
            <w:pPr>
              <w:ind w:left="38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(6,349)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(6,441)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(15,905)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(13,773)</w:t>
            </w: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45,867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38,614</w:t>
            </w:r>
          </w:p>
        </w:tc>
        <w:tc>
          <w:tcPr>
            <w:tcW w:w="10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147,293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103,777</w:t>
            </w:r>
          </w:p>
        </w:tc>
        <w:tc>
          <w:tcPr>
            <w:tcW w:w="10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(1,659)</w:t>
            </w:r>
          </w:p>
        </w:tc>
        <w:tc>
          <w:tcPr>
            <w:tcW w:w="1060" w:type="dxa"/>
            <w:vAlign w:val="bottom"/>
            <w:gridSpan w:val="2"/>
          </w:tcPr>
          <w:p>
            <w:pPr>
              <w:jc w:val="right"/>
              <w:ind w:right="28"/>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(9,300)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(6,227)</w:t>
            </w: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43,115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36,955</w:t>
            </w:r>
          </w:p>
        </w:tc>
        <w:tc>
          <w:tcPr>
            <w:tcW w:w="10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137,993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97,550</w:t>
            </w:r>
          </w:p>
        </w:tc>
        <w:tc>
          <w:tcPr>
            <w:tcW w:w="10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(947)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(3,093)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 attributable to Altisource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42,287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36,008</w:t>
            </w:r>
          </w:p>
        </w:tc>
        <w:tc>
          <w:tcPr>
            <w:tcW w:w="106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136,019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94,457</w:t>
            </w:r>
          </w:p>
        </w:tc>
        <w:tc>
          <w:tcPr>
            <w:tcW w:w="108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1.56</w:t>
            </w:r>
          </w:p>
        </w:tc>
        <w:tc>
          <w:tcPr>
            <w:tcW w:w="10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4.07</w:t>
            </w:r>
          </w:p>
        </w:tc>
        <w:tc>
          <w:tcPr>
            <w:tcW w:w="10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1.42</w:t>
            </w:r>
          </w:p>
        </w:tc>
        <w:tc>
          <w:tcPr>
            <w:tcW w:w="1060" w:type="dxa"/>
            <w:vAlign w:val="bottom"/>
            <w:gridSpan w:val="2"/>
          </w:tcPr>
          <w:p>
            <w:pPr>
              <w:jc w:val="right"/>
              <w:ind w:right="28"/>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3.77</w:t>
            </w:r>
          </w:p>
        </w:tc>
        <w:tc>
          <w:tcPr>
            <w:tcW w:w="1080" w:type="dxa"/>
            <w:vAlign w:val="bottom"/>
            <w:gridSpan w:val="2"/>
          </w:tcPr>
          <w:p>
            <w:pPr>
              <w:jc w:val="right"/>
              <w:ind w:right="28"/>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recognized service revenue of $720.8 million for the nine months ended September 30, 2014, a 53% increase compared to the nine months ended September 30, 2013 ($247.7 million for the third quarter of 2014, a 37% increase compared to the third quarter of 2013). The continued growth in service revenue was primarily driven by Ocwen’s growth, higher auction mix for houses sold on Hubzu and revenue from Equator which we acquired in November 2013. This was partially offset by a decline in default management services driven by lower levels of foreclosure starts and the loss of an origination management services customer in the fourth quarter of 2013 which eliminated its affinity relationship with Altisource and its other similar vendor partners.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revenue from reimbursable expenses for the nine months ended September 30, 2014 of $100.2 million, a 37% increase compared to the nine months ended September 30, 2013 ($39.1 million for the third quarter of 2014, a 33% increase compared to the third quarter of 2013). This growth was primarily due to the growth of Ocwen’s loan servicing portfolio, although reimbursable expenses can vary significantly from period to period based on the mix of services ordered.</w:t>
      </w:r>
    </w:p>
    <w:p>
      <w:pPr>
        <w:sectPr>
          <w:pgSz w:w="11900" w:h="16838" w:orient="portrait"/>
          <w:cols w:equalWidth="0" w:num="1">
            <w:col w:w="11420"/>
          </w:cols>
          <w:pgMar w:left="240" w:top="125" w:right="239" w:bottom="757"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757"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revenues are impacted by seasonality. More specifically, the Mortgage Services revenue is impacted by REO sales and lawn maintenance, which tend to be at their lowest level during the fall and winter months and highest during the spring and summer months. The Financial Services segment's asset recovery management revenue tends to be higher in the first quarter and generally declines throughout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and depreciation and amortization of operating assets.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cost of revenue of $520.5 million for the nine months ended September 30, 2014, a 49% increase compared to the nine months ended September 30, 2013 ($188.7 million for the third quarter of 2014, a 41% increase compared to the third quarter of 2013). The increase in cost of revenue is primarily attributable to increased compensation, outside fees and services and technology and telecommunications costs associated with the growth in Ocwen’s loan servicing portfolio and the acquisition of Equator in November 2013. In addition, our technology and telecommunications costs and depreciation and amortization expense were higher as a result of increased investment in the development of our next generation technology and infrastructure to support our growth.</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Gross profit increased to $302.5 million, representing 42% of service revenue, for the nine months ended September 30, 2014 from $197.6 million, representing 42% of service revenue, for the nine months ended September 30, 2013 (increased to $99.0 million, representing 40% of service revenue, for the third quarter of 2014 from $76.6 million, representing 42% of service revenue for the third quarter of 2013). The gross profit margin remained consistent for the nine months ended September 30, 2014 as the margin expansion in the Mortgage Services segment was offset by margin decreases in the other segments and a shift in revenue across segments with higher growth in the lower margin Technology Services segment. In the Mortgage Services segment, we expanded our gross profit margin by fully utilizing employees that we were carrying in 2013 in anticipation of new business and performing certain services with our employees that were previously performed by outside vendors. In the Financial Services segment, gross profit margin decreased due to a lower growth rate of the higher margin mortgage charge-off collections business. In the Technology Services segment, gross profit margin decreased primarily due to our continued investment in our next generation technology to support our growth, partially offset by the Equator business.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third quarter of 2014, compared to the third quarter of 2013, increases in gross profit margin in the Mortgage Services segment were more than offset by a shift in revenue across segments with higher revenue growth in the lower margin Technology Services segment and lower gross profit margins in the Financial Services segment and Technology Services segment, driven by higher compensation expense from increased headcount to support our growth and service mix.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SG&amp;A includes payroll for personnel employed in executive, finance, legal, human resources, vendor management, risk and operational effectiveness roles.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category also includes occupancy costs, professional fees and depreciation and amortization of intangible assets.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recognized SG&amp;A of $139.3 million for the nine months ended September 30, 2014, a 74% increase compared to the nine months ended September 30, 2013 ($46.7 million for the third quarter of 2014, a 48% increase compared to the third quarter of 2013). This increase is driven by higher marketing costs, primarily related to Hubzu, and increased amortization of intangible assets recorded in connection with the Homeward, ResCap and Equator acquisitions which closed on March 29, 2013, April 12, 2013 and November 15, 2013, respectively. Marketing costs were $18.8 million and $3.6 million for the nine months ended September 30, 2014 and 2013, respectively ($6.0 million and $1.6 million for the third quarter of 2014 and 2013, respectively). Amortization expense was $29.3 million and $18.9 million for the nine months ended September 30, 2014 and 2013, respectively ($9.7 million and $8.6 million for the third quarter of 2014 and 2013, respectively). SG&amp;A also increased from higher compensation expense and related employee and occupancy costs from increased headcount to support growth, higher legal and compliance related costs and increased bad debt expense for the nine months ended September 30, 2014.</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for contingent consideration related to the Equator acquisition is reflected at fair value and adjusted each reporting period with the change in fair value recognized in earnings. During the second quarter of 2014, the fair value was reduced by $37.9 million with a corresponding increase in earnings. As a result of the adjustment in the fair value of the Equator contingent consideration and based on our preliminary assessment, we estimated that the Equator goodwill was impaired and recorded an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impairment loss of $37.5 million in the second quarter of 2014. We completed our Equator goodwill impairment assessment in the third quarter of 2014 resulting in no further adjustment to the goodwill impairment recorded in the second quarter of 2014.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impact of the change in the fair value of the Equator contingent consideration (“Earn Out”) and Equator goodwill impairment for the nine months ended September 30, 2014 and are included in selling, general and administrative expenses in the condensed consolidated statements of operations: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40" w:type="dxa"/>
            <w:vAlign w:val="bottom"/>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(37,924)</w:t>
            </w:r>
          </w:p>
        </w:tc>
      </w:tr>
      <w:tr>
        <w:trPr>
          <w:trHeight w:val="27"/>
        </w:trPr>
        <w:tc>
          <w:tcPr>
            <w:tcW w:w="9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8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37,473</w:t>
            </w:r>
          </w:p>
        </w:tc>
      </w:tr>
      <w:tr>
        <w:trPr>
          <w:trHeight w:val="237"/>
        </w:trPr>
        <w:tc>
          <w:tcPr>
            <w:tcW w:w="924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5"/>
        </w:trPr>
        <w:tc>
          <w:tcPr>
            <w:tcW w:w="9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Income from operations increased to $163.2 million, representing 23% of service revenue, for the nine months ended September 30, 2014 from $117.6 million, representing 25% of service revenue, for the nine months ended September 30, 2013 (increased to $52.2 million, representing 21% of service revenue for the third quarter of 2014 from $45.1 million, representing 25% of service revenue, for the third quarter of 2013). The decrease in operating income margin is primarily driven by growth in the lower margin Technology Services segment, higher amortization of intangible assets recorded in connection with the Homeward, ResCap and Equator acquisitions and the other increases in SG&amp;A, as discussed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(expense), net principally includes interest expense and interest income. Interest expense was $16.0 million for the nine months ended September 30, 2014, a 12% increase compared to the nine months ended September 30, 2013 ($6.5 million for the third quarter of 2014, a 5% increase compared to the third quarter of 2013). The increase for the nine months ended September 30, 2014 was driven by the additional $200.0 million senior secured term loan borrowings on August 1, 2014 and the additional $200.0 million senior secured term loan borrowings on May 7, 2013. The increase for the third quarter of 2014 was driven by the additional $200.0 million secured term loan borrowings on August 1, 2014. The increases for the nine months ended September 30, 2014 and the third quarter of 2014 were partially offset by lower interest rates from the senior secured term loan refinancing on December 9, 2013.</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2013, we recorded $0.8 million of interest income earned on the $75.0 million loan to Ocwen, which was repaid in February 2013 (no comparative amounts for 2014 and the third quarter of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an income tax provision of $9.3 million for the nine months ended September 30, 2014 compared to $6.2 million for the nine months ended September 30, 2013 ($2.8 million and $1.7 million for the third quarter of 2014 and 2013, respectively). Altisource’s effective tax rate differs from the Luxembourg statutory tax rate of 29.2% primarily because of the effect of a favorable tax ruling in Luxembourg and the mix of income and losses in multiple tax jurisdictions. Our effective tax rate for the nine months ended September 30, 2014 was 6.3% compared to 6.0% for the nine months ended September 30, 2013 (6.0% and 4.3% for the third quarter of 2014 and 2013, respectively). Our consolidated effective income tax rate for financial reporting purposes may change periodically due to changes in enacted tax rates, fluctuations in the mix of income earned from our domestic and international operations, which may be subject to differing tax rates, and our ability to utilize net operating loss and tax credit carryforwards.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section provides a discussion of pre-tax results of operations of our business segments. Transactions between segments are accounted for as third party arrangements for purposes of presenting segment results of operations. Intercompany transactions primarily consist of IT infrastructure services. Generally, we reflect these as service revenue in the Technology Services segment and technology and telecommunications expense within cost of revenue and SG&amp;A in the segment receiving the services, except for consulting services, which we reflect in outside fees and services within cost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1"/>
              </w:rPr>
              <w:t>Three months ended September 30, 2014</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40" w:type="dxa"/>
            <w:vAlign w:val="bottom"/>
          </w:tcPr>
          <w:p>
            <w:pPr>
              <w:spacing w:after="0"/>
              <w:rPr>
                <w:sz w:val="13"/>
                <w:szCs w:val="13"/>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Financial</w:t>
            </w:r>
          </w:p>
        </w:tc>
        <w:tc>
          <w:tcPr>
            <w:tcW w:w="20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2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Items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Services</w:t>
            </w: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Eliminations</w:t>
            </w:r>
          </w:p>
        </w:tc>
        <w:tc>
          <w:tcPr>
            <w:tcW w:w="200" w:type="dxa"/>
            <w:vAlign w:val="bottom"/>
          </w:tcPr>
          <w:p>
            <w:pPr>
              <w:spacing w:after="0"/>
              <w:rPr>
                <w:sz w:val="16"/>
                <w:szCs w:val="16"/>
                <w:color w:val="auto"/>
              </w:rPr>
            </w:pPr>
          </w:p>
        </w:tc>
        <w:tc>
          <w:tcPr>
            <w:tcW w:w="112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43"/>
        </w:trPr>
        <w:tc>
          <w:tcPr>
            <w:tcW w:w="4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170,018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26,803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61,726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247,711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39,149</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209,946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26,852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287,688</w:t>
            </w: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128,816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17,123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52,583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188,724</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81,130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9,729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98,964</w:t>
            </w: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20,644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14,097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46,748</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60,486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4,962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52,216</w:t>
            </w: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60,504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4,975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45,867</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Transactions with related parties: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144,062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25,841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178,151</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9,399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11,062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432"/>
        </w:trPr>
        <w:tc>
          <w:tcPr>
            <w:tcW w:w="466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1"/>
              </w:rPr>
              <w:t>Three months ended September 30, 2013</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40" w:type="dxa"/>
            <w:vAlign w:val="bottom"/>
          </w:tcPr>
          <w:p>
            <w:pPr>
              <w:spacing w:after="0"/>
              <w:rPr>
                <w:sz w:val="13"/>
                <w:szCs w:val="13"/>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Financial</w:t>
            </w:r>
          </w:p>
        </w:tc>
        <w:tc>
          <w:tcPr>
            <w:tcW w:w="20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2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Items and</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Services</w:t>
            </w: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Eliminations</w:t>
            </w:r>
          </w:p>
        </w:tc>
        <w:tc>
          <w:tcPr>
            <w:tcW w:w="200" w:type="dxa"/>
            <w:vAlign w:val="bottom"/>
          </w:tcPr>
          <w:p>
            <w:pPr>
              <w:spacing w:after="0"/>
              <w:rPr>
                <w:sz w:val="16"/>
                <w:szCs w:val="16"/>
                <w:color w:val="auto"/>
              </w:rPr>
            </w:pPr>
          </w:p>
        </w:tc>
        <w:tc>
          <w:tcPr>
            <w:tcW w:w="112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43"/>
        </w:trPr>
        <w:tc>
          <w:tcPr>
            <w:tcW w:w="4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134,317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27,168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25,175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180,392</w:t>
            </w:r>
          </w:p>
        </w:tc>
        <w:tc>
          <w:tcPr>
            <w:tcW w:w="0" w:type="dxa"/>
            <w:vAlign w:val="bottom"/>
          </w:tcPr>
          <w:p>
            <w:pPr>
              <w:spacing w:after="0"/>
              <w:rPr>
                <w:sz w:val="1"/>
                <w:szCs w:val="1"/>
                <w:color w:val="auto"/>
              </w:rPr>
            </w:pPr>
          </w:p>
        </w:tc>
      </w:tr>
      <w:tr>
        <w:trPr>
          <w:trHeight w:val="27"/>
        </w:trPr>
        <w:tc>
          <w:tcPr>
            <w:tcW w:w="4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29,496</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164,661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27,267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210,835</w:t>
            </w: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106,412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14,998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18,569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134,261</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76,574</w:t>
            </w: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14,224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10,058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31,519</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44,025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7,653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45,055</w:t>
            </w: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43,984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7,653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3,985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38,614</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gridSpan w:val="2"/>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Transactions with related parties: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120,067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10,057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143,557</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7"/>
        </w:trPr>
        <w:tc>
          <w:tcPr>
            <w:tcW w:w="4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7"/>
        </w:trPr>
        <w:tc>
          <w:tcPr>
            <w:tcW w:w="4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420"/>
          </w:cols>
          <w:pgMar w:left="240" w:top="125" w:right="239" w:bottom="6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69"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w w:val="91"/>
              </w:rPr>
              <w:t>Nine months ended September 30, 2014</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20" w:type="dxa"/>
            <w:vAlign w:val="bottom"/>
          </w:tcPr>
          <w:p>
            <w:pPr>
              <w:spacing w:after="0"/>
              <w:rPr>
                <w:sz w:val="13"/>
                <w:szCs w:val="13"/>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Financial</w:t>
            </w:r>
          </w:p>
        </w:tc>
        <w:tc>
          <w:tcPr>
            <w:tcW w:w="20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4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43"/>
        </w:trPr>
        <w:tc>
          <w:tcPr>
            <w:tcW w:w="4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504,989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76,496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167,213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(27,863)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720,835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100,103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100,220</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607,066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76,613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167,213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823,029</w:t>
            </w: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360,539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47,794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137,254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520,528</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246,527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28,819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29,959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302,501</w:t>
            </w: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63,310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14,203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21,367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40,423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139,303</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183,217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14,616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8,592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163,198</w:t>
            </w: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(15,905)</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183,363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14,640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8,495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147,293</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Transactions with related parties: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415,149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21,679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65,908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502,736</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25,645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27,904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432"/>
        </w:trPr>
        <w:tc>
          <w:tcPr>
            <w:tcW w:w="466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w w:val="91"/>
              </w:rPr>
              <w:t>Nine months ended September 30, 2013</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Mortgage</w:t>
            </w:r>
          </w:p>
        </w:tc>
        <w:tc>
          <w:tcPr>
            <w:tcW w:w="220" w:type="dxa"/>
            <w:vAlign w:val="bottom"/>
          </w:tcPr>
          <w:p>
            <w:pPr>
              <w:spacing w:after="0"/>
              <w:rPr>
                <w:sz w:val="13"/>
                <w:szCs w:val="13"/>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Financial</w:t>
            </w:r>
          </w:p>
        </w:tc>
        <w:tc>
          <w:tcPr>
            <w:tcW w:w="20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114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46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Items and</w:t>
            </w: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43"/>
        </w:trPr>
        <w:tc>
          <w:tcPr>
            <w:tcW w:w="4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350,581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66,259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70,189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(17,411)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469,618</w:t>
            </w:r>
          </w:p>
        </w:tc>
        <w:tc>
          <w:tcPr>
            <w:tcW w:w="0" w:type="dxa"/>
            <w:vAlign w:val="bottom"/>
          </w:tcPr>
          <w:p>
            <w:pPr>
              <w:spacing w:after="0"/>
              <w:rPr>
                <w:sz w:val="1"/>
                <w:szCs w:val="1"/>
                <w:color w:val="auto"/>
              </w:rPr>
            </w:pPr>
          </w:p>
        </w:tc>
      </w:tr>
      <w:tr>
        <w:trPr>
          <w:trHeight w:val="27"/>
        </w:trPr>
        <w:tc>
          <w:tcPr>
            <w:tcW w:w="4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72,645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73,061</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426,319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66,675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70,189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545,772</w:t>
            </w: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267,859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40,831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55,088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348,195</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158,460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25,844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197,577</w:t>
            </w: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32,272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7,514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29,241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80,027</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126,188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14,844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117,550</w:t>
            </w: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6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126,035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14,836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7,590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103,777</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gridSpan w:val="2"/>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Transactions with related parties: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301,194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16,779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36,916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354,889</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13,128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13,959</w:t>
            </w:r>
          </w:p>
        </w:tc>
        <w:tc>
          <w:tcPr>
            <w:tcW w:w="0" w:type="dxa"/>
            <w:vAlign w:val="bottom"/>
          </w:tcPr>
          <w:p>
            <w:pPr>
              <w:spacing w:after="0"/>
              <w:rPr>
                <w:sz w:val="1"/>
                <w:szCs w:val="1"/>
                <w:color w:val="auto"/>
              </w:rPr>
            </w:pPr>
          </w:p>
        </w:tc>
      </w:tr>
      <w:tr>
        <w:trPr>
          <w:trHeight w:val="27"/>
        </w:trPr>
        <w:tc>
          <w:tcPr>
            <w:tcW w:w="4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466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420"/>
          </w:cols>
          <w:pgMar w:left="240" w:top="125" w:right="239" w:bottom="19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9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right"/>
              <w:ind w:right="74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7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35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9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22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3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management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91,022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55,427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271,695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133,543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Insurance services</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43,587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33,142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128,236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82,516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Residential property valuation</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28,475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77,286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77,314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Default management services</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5,383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10,266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16,774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33,124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management services</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24,084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358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170,018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134,317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504,989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350,581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management services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95,368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68,937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Insurance services</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647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1,168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Default management services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Origination management services</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29,397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72,645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209,946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164,661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607,066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426,319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from related parties: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Asset management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100,056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76,485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284,561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182,738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services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44,423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30,199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Residential property valuation</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25,366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27,526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74,352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73,892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Default management services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13,186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Origination management services</w:t>
            </w: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595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1,179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144,062</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120,067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415,149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301,194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Service revenue growth from asset management services and insurance services is primarily due to Ocwen’s growth as loans from its servicing acquisitions are boarded onto REALServicing and higher auction mix for houses sold on Hubzu. From September 30, 2013 through September 30, 2014, Ocwen boarded 1.1 million loans onto REALServicing primarily from Ocwen’s acquisitions of the Homeward, ResCap and OneWest Bank FSB servicing rights. The decline in residential property valuation services revenue was due to a shift in the mix of valuation products and lower volume of orders. The decline in default management services revenue was driven primarily by lower levels of foreclosure starts. The lower origination management services revenue was primarily due to the fourth quarter of 2013 loss of a customer who eliminated its affinity relationship with Altisource and its other similar vendor partners along with lower origination volume.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7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35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980" w:type="dxa"/>
            <w:vAlign w:val="bottom"/>
          </w:tcPr>
          <w:p>
            <w:pPr>
              <w:jc w:val="center"/>
              <w:ind w:left="168"/>
              <w:spacing w:after="0" w:line="153" w:lineRule="exact"/>
              <w:rPr>
                <w:sz w:val="20"/>
                <w:szCs w:val="20"/>
                <w:color w:val="auto"/>
              </w:rPr>
            </w:pPr>
            <w:r>
              <w:rPr>
                <w:rFonts w:ascii="Arial" w:cs="Arial" w:eastAsia="Arial" w:hAnsi="Arial"/>
                <w:sz w:val="14"/>
                <w:szCs w:val="14"/>
                <w:b w:val="1"/>
                <w:bCs w:val="1"/>
                <w:color w:val="auto"/>
                <w:w w:val="95"/>
              </w:rPr>
              <w:t>% Increase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22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left="168"/>
              <w:spacing w:after="0"/>
              <w:rPr>
                <w:sz w:val="20"/>
                <w:szCs w:val="20"/>
                <w:color w:val="auto"/>
              </w:rPr>
            </w:pPr>
            <w:r>
              <w:rPr>
                <w:rFonts w:ascii="Arial" w:cs="Arial" w:eastAsia="Arial" w:hAnsi="Arial"/>
                <w:sz w:val="14"/>
                <w:szCs w:val="14"/>
                <w:b w:val="1"/>
                <w:bCs w:val="1"/>
                <w:color w:val="auto"/>
                <w:w w:val="88"/>
              </w:rPr>
              <w:t>(decrease)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3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20,440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16,780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22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55,092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47,479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60,691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55,003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182,317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132,997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39,100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29,397</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100,103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72,645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13,551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1,187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128,816</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106,412</w:t>
            </w:r>
          </w:p>
        </w:tc>
        <w:tc>
          <w:tcPr>
            <w:tcW w:w="120" w:type="dxa"/>
            <w:vAlign w:val="bottom"/>
            <w:tcBorders>
              <w:bottom w:val="single" w:sz="8" w:color="auto"/>
            </w:tcBorders>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360,539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267,859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 of revenue increased during the nine months ended September 30, 2014 and the third quarter of 2014 primarily due to the growth of Ocwen’s loan servicing portfolio. Overall cost of revenue increased consistent with the increase in service revenue. However, compensation and benefits costs and outside fees and services expenses as a percentage of service revenue decreased as we experience the benefit of our workforce efficiency initiatives on higher referral volumes and transitioning the performance of certain services to lower cost geographies as well as vendor cost savings initiatives.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Gross profit increased to $246.5 million, representing 49% of service revenue, for the nine months ended September 30, 2014 from $158.5 million, representing 45% of service revenue, for the nine months ended September 30, 2013 (increased to $81.1 million, representing 48% of service revenue, for the third quarter of 2014 from $58.2 million, representing 43% of service revenue, for the third quarter of 2013). We expanded our gross profit margin by fully utilizing employees that we were carrying in 2013 in anticipation of new business and performing certain services with our employees that were previously performed by outside vendors. The increase in gross profit margin was also driven by the impact of revenue mix, partially offset by higher staff levels in our origination and rental property management businesses in preparation for anticipated growth. Assuming no change in service revenue mix, we anticipate that we will continue to improve margins by reducing employee and vendor costs as a percentage of service revenue through workforce efficiency initiatives, vendor cost reduction initiatives and displacing vendors with internal personnel at a lower cost.</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margins can vary substantially depending upon service revenue mix and when Ocwen acquires and boards servicing rights onto REALServicing. Typically, compensation and benefits will increase in anticipation of a boarding as we hire and train personnel to deliver services in advance of the actual boarding of loans. Over time, these costs as a percentage of service revenue decline as we generate revenue with no increased costs and as we experience benefits from our workforce efficiency initiatives. As new loans are boarded by Ocwen onto REALServicing, for the initial months post-boarding, we tend to deliver an elevated level of lower margin residential property valuation and property inspection and preservation services.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SG&amp;A increased during the nine months ended September 30, 2014 and the third quarter of 2014 principally due to marketing costs largely related to Hubzu, increased amortization of intangible assets recorded in connection with the Homeward and ResCap transactions, higher legal costs and increased bad debt expense for the nine months ended September 30, 2014. Marketing costs were $18.6 million and $3.5 million for the nine months ended September 30, 2014 and 2013, respectively ($5.9 million and $1.6 million for the third quarter of 2014 and 2013, respectively). Amortization expense was $21.7 million and $14.3 million for the nine months ended September 30, 2014 and 2013, respectively ($7.2 million and $6.9 million for the third quarter of 2014 and 2013, respectively).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increased to $183.2 million, representing 36% of service revenue, for the nine months ended September 30, 2014 from $126.2 million, representing 36% of service revenue, for the nine months ended September 30, 2013 (increased to $60.5 million, representing 36% of service revenue, for the third quarter of 2014 from $44.0 million, representing 33% of service revenue, for the third quarter of 2013). The increase in operating income margin for the third quarter of 2014 compared to the third quarter of 2013 is the result of the higher gross profit margin discussed above, partially offset by higher SG&amp;A as a percentage of service revenue primarily driven by Hubzu marketing costs.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right"/>
              <w:ind w:right="74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7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35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22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3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recovery management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14,858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36,782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32,982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Customer relationship management</w:t>
            </w: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13,405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12,310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39,714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33,277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27,168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76,496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66,259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Asset recovery management</w:t>
            </w: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416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26,852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27,267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76,613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66,675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from related parties: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Asset recovery management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8,248</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10,057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21,679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16,779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Financial Services revenue increased during the nine months ended September 30, 2014 compared to the nine months ended September 30, 2013 due to the expansion of the mortgage charge-off business in asset recovery management and growth in the customer relationship management business from the addition of new clients and the expansion of services provided to existing clients. During the third quarter of 2014, a decrease in mortgage charge-off revenue, driven primarily by the amount and timing of placements, was partially offset by higher revenues from the customer relationship management business.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Services business is impacted by seasonality as asset recovery management revenue tends to be higher in the first quarter of each year as borrowers utilize tax refunds and bonuses to pay debts.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right"/>
              <w:ind w:right="74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7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35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22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3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12,282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11,503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35,370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30,913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416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5,308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190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647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17,123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14,998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47,794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40,831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and benefits costs and technology and telecommunications expenses increased during the nine months and quarter ended September 30, 2014 compared to the nine months and quarter ended September 30, 2013 primarily to support revenue growth.</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increased to $28.8 million, representing 38% of service revenue, for the nine months ended September 30, 2014 from $25.8 million, representing 39% of service revenue, for the nine months ended September 30, 2013 (decreased to $9.7 million, representing 36% of service revenue, for the third quarter of 2014 from $12.3 million, representing 45% of service revenue, for the third quarter of 2013). For the nine months ended September 30, 2014, our gross profit margin decreased due to the lower growth rate of the higher margin mortgage charge-off business and higher technology and telecommunications costs. For the third quarter of 2014, the decrease in gross profit margin was primarily driven by a decrease in revenue in our higher margin mortgage charge-off business, higher technology and telecommunications costs and revenue growth in our lower margin non-mortgage charge-off receivables management business in asset recovery management.</w:t>
      </w:r>
    </w:p>
    <w:p>
      <w:pPr>
        <w:sectPr>
          <w:pgSz w:w="11900" w:h="16838" w:orient="portrait"/>
          <w:cols w:equalWidth="0" w:num="1">
            <w:col w:w="11420"/>
          </w:cols>
          <w:pgMar w:left="240" w:top="125"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SG&amp;A increased during the nine months ended September 30, 2014 and the third quarter of 2014 compared to the nine months ended September 30, 2013 and the third quarter of 2013 principally from higher occupancy-related costs driven by higher headcount and facility relocations.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decreased to $14.6 million, representing 19% of service revenue, for the nine months ended September 30, 2014 from $14.8 million, representing 22% of service revenue, for the nine months ended September 30, 2013 (decreased to $5.0 million, representing 19% of service revenue, for the third quarter of 2014 from $7.7 million, representing 28% of service revenue, for the third quarter of 2013). The decrease in operating income margins for the nine months ended September 30, 2014 and the third quarter of 2014 is the result of lower gross profit margins and an increase in SG&amp;A as a percentage of service revenue, as discussed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right"/>
              <w:ind w:right="74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7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35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22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3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REALSuite, Equator and</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Mortgage Builder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40,324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15,209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115,880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43,507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IT infrastructure services</w:t>
            </w: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21,402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9,966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51,333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26,682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5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61,726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25,175</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167,213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70,189</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Revenue from related parties: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REALSuite and Equator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8,448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37,657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24,382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IT infrastructure services</w:t>
            </w:r>
          </w:p>
        </w:tc>
        <w:tc>
          <w:tcPr>
            <w:tcW w:w="3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12,173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4,985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28,251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12,534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25,841</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13,433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65,908</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36,916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increases in REALSuite, Equator and Mortgage Builder revenue for the nine months ended September 30, 2014 and the third quarter of 2014 compared to the nine months ended September 30, 2013 and the third quarter of 2013 are primarily driven by the acquisition of Equator in November 2013, increased licensing revenue from REALDoc and the growth in Ocwen’s residential loan servicing portfolio on REALServicing from Ocwen’s acquisitions of Homeward, ResCap and OneWest Bank FSB servicing rights.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infrastructure services revenue also increased for the nine months ended September 30, 2014 and the third quarter of 2014 primarily due to an increase in headcount and costs at both Ocwen and Altisource, which are typically billed on a cost plus basis.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segment presentation purposes, revenue from services provided by Technology Services to our other reporting segments is eliminated in consolidation. This inter-segment revenue is included as revenue in the Technology Services segment and as technology and telecommunications expense, a component of cost of revenue and SG&amp;A, in our other reporting segments.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right"/>
              <w:ind w:right="74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7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35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9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22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34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35,780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11,317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93,811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30,531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11,740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4,263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29,197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14,536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4,566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12,824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8,516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52,583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18,569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137,254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55,088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 increased for the nine months ended September 30, 2014 and the third quarter of 2014 compared to the nine months ended September 30, 2013 and the third quarter of 2013 due to the acquisition of Equator and the hiring of more and higher cost personnel to support the development of our next generation REALSuite software. We expect cost of revenue in the Technology Services segment to increase as we continue to invest in personnel to support our development and growth initiatives. Technology and telecommunications costs were higher primarily as a result of the acquisition of Equator, the increase in employee headcount and the expansion of facilities.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profit increased to $30.0 million, representing 18% of service revenue, for the nine months ended September 30, 2014 from $15.1 million, representing 22% of service revenue, for the nine months ended September 30, 2013 (increased to $9.1 million, representing 15% of service revenue, for the third quarter of 2014 from $6.6 million, representing 26% of service revenue, for the third quarter of 2013). Our gross profit margins decreased due to our continued investment in our next generation technology to support our growth as the costs associated with our continued investment in our next generation technology were higher than growth in our service revenue, partially offset by the acquisition of the higher margin Equator business. We anticipate margins to decline as we continue to invest in the development of our next generation technology and once acquisition related Equator deferred revenue has been recognized.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increased for the nine months ended September 30, 2014 and the third quarter of 2014 compared to the nine months ended September 30, 2013 and the third quarter of 2013 primarily due to the acquisition of Equator, higher administrative employee costs and increased occupancy-related costs driven by higher headcount and facility relocations as well as increased intangible asset amortization related to the Homeward, ResCap and Equator acquisitions. Amortization expense was $3.3 million and $0.4 million for the nine months ended September 30, 2014 and 2013, respectively ($1.1 million and $(0.1) million for the third quarter of 2014 and 2013, respectively).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increased to $8.6 million, representing 5% of service revenue, for the nine months ended September 30, 2014 from $7.6 million, representing 11% of service revenue, for the nine months ended September 30, 2013 (decreased to $1.9 million, representing 3% of service revenue, for the third quarter of 2014 from $4.0 million, representing 16% of service revenue, for the third quarter of 2013). The decreases in operating income margin are the result of increased employee and occupancy-related costs and intangible asset amortization related to the Homeward, ResCap and Equator acquisitions and the impact of the decline in gross profit margins, as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Eliminations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Corporate Items and Eliminations include costs related to corporate support functions including executive, finance, legal, human resources, vendor management, risk and operational effectiveness as well as interest expense. It also includes eliminations of transactions between the reporting segments.</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Corporate costs increased for the nine months ended September 30, 2014 and the third quarter of 2014 compared to the nine months ended September 30, 2013 and the third quarter of 2013 primarily due to higher compensation and employee-related costs, legal and compliance related costs and interest expense. We incurred higher compensation and employee-related costs as we are expanding certain corporate functions to support our continued growth.</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Interest expense was $16.0 million for the nine months ended September 30, 2014, a 12% increase compared to the nine months ended September 30, 2013 ($6.5 million for the third quarter of 2014, a 5% increase compared to the third quarter of 2013). The increase for the nine months ended September 30, 2014 was driven by the additional $200.0 million senior secured term loan borrowings on August 1, 2014 and the additional $200.0 million senior secured term loan borrowings on May 7, 2013. The increase for the third quarter of 2014 was driven by the additional $200.0 million senior secured term loan borrowings on August 1, 2014. The increases for the nine months ended September 30, 2014 and the third quarter of 2014 were partially offset by lower interest rates from the senior secured term loan refinancing on December 9, 2013.</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2013, we recorded $0.8 million of interest income earned on the $75.0 million loan to Ocwen, which was repaid in February 2013 (no comparative amounts for 2014 and the third quarter of 2013).</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Intercompany revenue that is eliminated in consolidation increased for the nine months ended September 30, 2014 and the third quarter of 2014 compared to the nine months ended September 30, 2013 and the third quarter of 2013. These intercompany transactions primarily consisted of IT infrastructure services. While the expenses are recognized in the Mortgage Services and Financial Services segments above, the elimination of these expenses is reflected in Corporate Items and Eliminations.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 of liquidity is cash flows from operations. We seek to deploy excess cash generated in a disciplined manner. Principally, we intend to use excess cash to develop complementary services and businesses that we believe will generate attractive margins in line with our core capabilities and strategy. Further, we evaluate potential acquisitions that align with our vision and accelerate the achievement of our strategic objectives. We also intend to use excess cash to repurchase shares of our common stock when trading at attractive prices.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Term Loan</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November 27, 2012, we entered into a seven-year senior secured term loan agreement with Bank of America, N.A. as administrative agent, pursuant to which we borrowed $200.0 million. On May 7, 2013, we amended the senior secured term loan agreement to increase the principal amount of the senior secured term loan by $200.0 million and to increase the maximum permitted amount of Restricted Junior Payments (as defined in the senior secured term loan agreement), including increasing the amount of Company share repurchases permitted, among other changes. Under the terms of the senior secured term loan, as amended, we have the ability to borrow an additional $200.0 million under an accordion provision. On December 9, 2013, we entered into Amendment No. 2 (“Second Amendment”) to the senior secured term loan agreement in which we incurred indebtedness in the form of Refinancing Debt (as defined in the senior secured term loan agreement), the proceeds of which were used to refinance, in full, the term loans outstanding under the senior secured term loan agreement immediately prior to the effectiveness of the Second Amendment. The refinancing debt bears interest at lower rates and has a maturity date approximately one year later than the prior year term loans. Generally, the margin applied to either the Adjusted Eurodollar rate or the Base Rate, as defined in the senior secured term loan agreement, was reduced by 1 percentage point and the floor was reduced by 0.25 percentage points. The Second Amendment further modified the senior secured term loan agreement to, among other changes, increase the maximum permitted amount of Restricted Junior Payments. On August 1, 2014, we entered into Amendment No. 3 (“Third Amendment”) to the senior secured term loan agreement to increase the principal amount of the term loan commitments under the senior secured term loan agreement by $200.0 million and, among other changes, increase the maximum amount of permitted Restricted Junior Payments by $200.0 million. After giving effect to the Third Amendment, the Refinancing Debt must be repaid in equal consecutive quarterly principal installments of $1.5 million commencing on September 30, 2014, with the balance due at maturity. All amounts outstanding under the senior secured term loan agreement will become due on the earlier of (i) December 9, 2020, being the seventh anniversary of the closing date of the Second Amendment, and (ii) the date on which the loans are declared to be due and owing by the administrative agent at the request (or with the consent) of the Required Lenders (as defined in the senior secured term loan agreement) upon the occurrence of any event of default under the senior secured term loan agreement. However, if leverage ratios, as defined in the senior secured term loan agreement, exceed 3.00 to 1.00, a percentage of cash flows must be used to repay principal. No mandatory prepayments were owed for the nine months ended September 30, 2014. Interest payments are due monthly. The interest rate as of September 30, 2014 was 4.50%.</w:t>
      </w:r>
    </w:p>
    <w:p>
      <w:pPr>
        <w:spacing w:after="0" w:line="3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debt covenants in the senior secured term loan agreement limit, among other things, our ability to incur additional debt, pay dividends and repurchase stock. In the event we require additional liquidity, our ability to obtain it may be limited by the senior secured term loan.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nine months ended September 30: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4"/>
                <w:szCs w:val="14"/>
                <w:color w:val="auto"/>
              </w:rPr>
            </w:pPr>
          </w:p>
        </w:tc>
        <w:tc>
          <w:tcPr>
            <w:tcW w:w="116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1520" w:type="dxa"/>
            <w:vAlign w:val="bottom"/>
          </w:tcPr>
          <w:p>
            <w:pPr>
              <w:jc w:val="right"/>
              <w:ind w:right="342"/>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66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38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6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adjusted for non-cash items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195,775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135,852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125,696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134,640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(137,497)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(used in) provided by financing activities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109,940</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Increase in cash and cash equivalents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46,160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107,083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130,429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105,502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176,589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212,585</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flows from operating activities generally consist of the cash effects of transactions and events that enter into the determination of net income. For the nine months ended September 30, 2014, we generated cash flows from operating activities of $125.7 million, or approximately $0.17 for every dollar of service revenue compared to cash flows from operating activities of $134.6 million, or approximately $0.29 for every dollar of service revenue for the nine months ended September 30, 2013. The decrease in cash flows from operations for the nine months ended September 30, 2014 compared to the nine months ended September 30, 2013 is principally driven by unfavorable working capital changes, partially offset by the increase in net income, after adding back depreciation and amortization, including amortization of intangible assets. Changes in working capital were principally due to higher accounts receivable from revenue growth, the timing of collections and an increase in unbilled receivables which were not billed until October 2014.</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periods of growth, operating cash flows per service revenue dollar can be negatively impacted because of the nature of some of our services. Certain services are performed immediately following or shortly after the referral, but the collection of the receivable does not occur until a specific event occurs (e.g., the foreclosure is complete, the REO asset is sold, etc.). As we continue to grow, our receivables will also grow and our cash flows from operations may be negatively impacted when comparing one interim period to another.</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Cash flows from investing activities include capital expenditures of $48.1 million and $20.5 million for the nine months ended September 30, 2014 and 2013, respectively, primarily related to facility build-outs and investments in IT infrastructure, Equator integration and the next generation of our REALSuite of software applications. On September 12, 2014, we acquired Mortgage Builder for $14.9 million, excluding cash of $0.7 million and contingent consideration of $1.0 million. On March 29, 2013, we acquired the Homeward fee-based business from Ocwen for $75.8 million, after a working capital and pre-acquisition net income adjustment payment by Ocwen totaling $11.1 million, which we received in September 2013. On April 12, 2013, we entered into an agreement with Ocwen to establish additional terms related to the existing servicing arrangements between Altisource and Ocwen in connection with Ocwen’s acquisition of certain mortgage servicing platform assets of ResCap. The cash consideration paid by Altisource to Ocwen under the ResCap agreements totaled $128.8 million. On March 31, 2013, we sold our 49% interest in Correspondent One S.A. (“Correspondent One”) to Ocwen for $12.6 million. On February 15, 2013, Ocwen repaid the $75.0 million loan that it borrowed from us in December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Cash flows from financing activities for the nine months ended September 30, 2014 and 2013 primarily include activity associated with debt proceeds, share repurchases, stock option exercises and payments to non-controlling interests. On August 1, 2014, we borrowed $200.0 million in connection with amending our senior secured term loan agreement, and received cash proceeds net of a $2.0 million original issue discount. On May 7, 2013, we borrowed $200.0 million in connection with amending our senior secured term loan agreement and received cash proceeds including a $1.0 million original issue premium. For the nine months ended September 30, 2014 and 2013, we incurred debt issuance costs of $2.6 million and $2.4 million, respectively, in connection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the debt issuances. For the nine months ended September 30, 2014 and 2013, we spent $208.8 million and $87.4 million, respectively, to repurchase our common stock. Stock option exercises provided proceeds of $2.5 million and $4.7 million for the nine months ended September 30, 2014 and 2013, respectively. During the nine months ended September 30, 2014 and 2013, we repaid $3.5 million and $2.7 million, respectively, of the borrowings under the senior secured term loan and capital lease obligations. Distributions to non-controlling interests were $1.8 million and $3.2 million for the nine months ended September 30, 2014 and 2013,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 after September 30, 2014</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November 15, 2013, we completed the acquisition of Equator and paid $63.4 million at closing in cash (net of closing working capital adjustments). Additionally, the purchase agreement provides for the payment of up to $80 million in potential additional consideration determined based on Equator’s Adjusted EBITA (as defined in the purchase agreement) in the three consecutive 12-month periods following closing. Up to $22.5 million of this potential additional consideration can be earned in each of the first two 12-month periods, and up to $35.0 million can be earned in the third 12-month period. Any amounts earned upon the achievement of Adjusted EBITA thresholds are payable through 2017. We may, at our discretion, pay up to 20% of each payment of any of this potential additional consideration in shares of Company restricted stock, with the balance to be paid in cash. As of June 30, 2014 and September 30, 2014, we estimated the fair value of the potential additional consideration related to the Equator acquisition is $8.1 million. The amount ultimately paid will depend on Equator’s actual Adjusted EBITA in the three consecutive 12-month periods following closing. Additionally, the Mortgage Builder purchase agreement provides for the payment of up to $7.0 million in potential additional consideration based on Adjusted Revenue (as defined in the purchase agreement). The Mortgage Builder purchase price includes an estimate of the fair value of the potential additional consideration of $1.0 million.</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fourth quarter of 2014, we expect to distribute $0.8 million to the Lenders One members representing non-controlling interests and repay $1.5 million of the senior secured term loan.</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we will generate sufficient cash flows to fund operations, capital expenditures and required debt and interest payments as well as repurchase shares of our common stock. If we require additional capital, we believe that we have adequate access to both debt and equity capital markets, although there can be no assurance that we will be able to raise funds on terms or on a timetable that is favorable to us.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Commitments and Contingencies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nine months ended September 30, 2014, there were no significant changes to our contractual obligations from those identified in our Form 10-K for the fiscal year ended December 31, 2013, other than those that occur in the normal course of business (primarily the addition of operating leases due to our growth). See also Note 18 to the interim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In applying many of these accounting principles, we need to make assumptions, estimates and judgments that affect the reported amounts of assets, liabilities, revenue and expenses in our interim condensed consolidated financial statements. We base our estimates and judgments on historical experience and other assumptions that we believe are reasonable under the circumstances. These assumptions, estimates and judgments, however, are often subjective. Actual results may be affected negatively based on changing circumstances. If actual amounts are ultimately different from our estimates, the revisions are included in our results of operations for the period in which the actual amounts become known.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critical accounting policies are described in the MD&amp;A section of our Form 10-K for the year ended December 31, 2013 filed with the SEC on February 13, 2014. Those policies have not changed during the nine months ended September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a New Accounting Pronouncement</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May 2014, the Financial Accounting Standards Board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This standard establishes a single comprehensive model for entities to use in accounting for revenue arising from contracts with customers and supersedes most current revenue recognition guidance. The core principle of the new standard is an entity should recognize revenue to depict the transfer of promised goods or services to customers in an amount that reflects the consideration to which the entity expects to be entitled in exchange for those goods or services. This new standard will be effective for annual reporting periods beginning after December 15, 2016, including interim periods within that reporting period.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Early adoption is not permitted. The Company is currently evaluating the impact this new guidance may have on its results of operations and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nine months ended September 30, 2014 and 2013, we recognized segment revenue from Ocwen of $404.1 million and $299.8 million, respectively, in the Mortgage Services segment ($137.7 million and $119.2 million for the third quarter of 2014 and 2013, respectively), $21.7 million and $16.8 million, respectively, in the Financial Services segment ($8.2 million and $10.1 million for the third quarter of 2014 and 2013, respectively) and $65.8 million and $36.9 million, respectively, in the Technology Services segment ($25.8 million and $13.4 million for the third quarter of 2014 and 2013, respectively). Services provided to Ocwen during these periods included residential property valuation, real estate asset management and sales, trustee management services, property inspection and preservation, insurance services, charge-off mortgage collections, IT infrastructure management services and software applications including our software products. We provided services at rates we believe to be comparable to market rates.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2014 and 2013, Ocwen billed us $27.9 million and $14.0 million, respectively ($11.1 million and $5.0 million for the third quarter of 2014 and 2013, respectively), for data access fees and contractor and/or employee costs under agreements described in Note 2 to the condensed consolidated financial statements. These amounts are reflected as a component of cost of revenue in the condensed consolidated statements of operations.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September 30, 2014 and 2013, we billed Ocwen $3.4 million and $1.9 million, respectively ($1.2 million and $0.6 million for the third quarter of 2014 and 2013, respectively), and Ocwen billed us $4.3 million and $3.1 million, respectively ($1.9 million and $1.5 million for the third quarter of 2014 and 2013, respectively), for other services provided under the agreements described in Note 2 to the condensed consolidated financial statements. These amounts are reflected as a component of selling, general and administrative expenses in the condensed consolidated statements of operations.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27, 2012, we entered into a senior unsecured term loan agreement with Ocwen under which we loaned $75.0 million to Ocwen. Payments of interest were due quarterly at a rate per annum equal to the Eurodollar Rate (as defined in the agreement) plus 6.75%, provided that the Eurodollar Rate is not less than 1.50%. On February 15, 2013, Ocwen repaid the outstanding principal amount of this loan and all accrued and unpaid interest and the term loan was terminated. Interest income related to this loan was $0.8 million for the nine months ended September 30, 2013, all of which was recognized in the first quarter of 2013.</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31, 2013, we entered into non-binding letters of intent with Ocwen to acquire certain fee-based businesses associated with Ocwen’s acquisitions of the Homeward and ResCap servicing portfolios. Ocwen acquired the Homeward servicing portfolio on December 27, 2012 and the ResCap servicing portfolio on February 15, 2013. Altisource acquired the Homeward fee-based businesses from Ocwen on March 29, 2013 (see Note 3 to the condensed consolidated financial statements). Altisource entered into an agreement with Ocwen on April 12, 2013 to establish additional terms related to our services in connection with the ResCap fee based businesses (see Note 3 to the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Correspondent One and HLSS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31, 2013, we sold our 49% interest in Correspondent One to Ocwen for $12.6 million. For the nine months ended September 30, 2013, we billed Correspondent One $0.1 million (no comparative amounts for 2014 and the third quarter of 2013). This amount is reflected as a component of selling, general and administrative expenses in the condensed consolidated statements of operations. We also provided certain origination related services to Correspondent One. We earned revenue of $0.1 million for the nine months ended September 30, 2013 for these services (no comparative amounts for 2014 and the third quarter of 2013).</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billed HLSS $0.7 million and $0.5 million for the nine months ended September 30, 2014 and 2013, respectively ($0.2 million in each period for the third quarter of 2014 and 2013). These amounts are reflected as a component of selling, general and administrative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and AAMC</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nine months ended September 30, 2014 and 2013, we billed Residential $8.9 million and $1.3 million, respectively ($4.2 million and $0.9 million for the third quarter of 2014 and 2013, respectively). This excludes revenue from services we provide to Residential's loans serviced by Ocwen where we are retained by Ocwen. That revenue is included in Ocwen related party revenue. For the nine months ended September 30, 2014 and 2013, we billed AAMC $2.2 million and less than $0.1 million, respectively ($2.1 million and less than $0.1 million for the third quarter of 2014 and 2013, respectively), under the services agreements described in Note 2 to the condensed consolidated financial statements. These amounts are reflected in revenue in the condensed consolidated statements of operations. In addition, for the nine months ended September 30, 2014 and 2013, we billed AAMC $0.7 million and $0.3 million, respectively ($0.2 million and $0.1 million for the third quarter of 2014 and 2013, respectively), under the services agreements described in Note 2 to the condensed consolidated financial statements. These amounts are reflected as a component of selling, general and administrative expenses in the condensed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2014, the interest rate charged on the senior secured term loan was 4.50%. The interest rate is calculated based on the Adjusted Eurodollar Rate (as defined in the senior secured term loan agreement) with a minimum floor of 1.00% plus 3.50%.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 principal amount outstanding at September 30, 2014, a one percentage point increase in the Eurodollar rate would increase our annual interest expense by approximately $1.4 million, based on the September 30, 2014 Adjusted Eurodollar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exposed to currency risk from potential changes in currency values of our foreign currency denominated expenses, assets, liabilities and cash flows. Our most significant foreign currency exposure relates to the Indian Rupee. Based on expenses incurred in Indian Rupees during 2014, a one percentage point increase in value of the Indian Rupee in relation to the United States dollar would increase our annual expenses by approximately $1.0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Chief Executive Officer and Chief Financial Officer have evaluated the effectiveness of our disclosure controls and procedures (as defined in Rule 13a-15(e) and Rule 15d-15(e)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14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September 30, 2014, that have materially affected, or are reasonably likely to materially affect, our internal control over financial reporting.</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2014, we determined that disclosures of related party expenses in previously issued financial statements were not complete. In connection with our second quarter of 2014 financial reporting and closing process, we enhanced and implemented our related party disclosure controls to include disclosure reconciliation procedures between us and our related parties and reviews of related party activity reflected in accounts receivable and accounts payable to ensure our disclosures are complete.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are involved in legal and administrative proceedings arising in the ordinary course of business. In the opinion of management, after consultation with legal counsel and considering insurance coverage where applicable, the outcome of current legal proceedings, both individually and in the aggregate, will not have a material impact on the Company’s financial condition, results of operations or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subject to regulation and oversight by federal, state and local governmental authorities. We periodically receive subpoenas, civil investigative demands or other requests for information from regulatory agencies in connection with their regulatory or investigative authority. We are currently responding to such inquiries from federal and state agencies relating to certain aspects of our business. We believe it is premature to predict the potential outcome or to estimate any potential financial impact in connection with these inquiries.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2013 filed with the SEC on February 13, 2014, except as set forth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dependent on a certain key customer relationship, the loss of which or reduction in the size of which could affect our business and results of operations.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third quarter of 2014, we generated approximately 60% of our revenue from Ocwen. Ocwen purchases certain services from our Mortgage Services, Financial Services and Technology Services segments under service agreements that extend through August 2025, subject to termination under certain provisions. The loss of Ocwen as a customer or their failure to pay us would significantly reduce our revenue and adversely affect our results of operations. Further, Ocwen has grown significantly in recent years through acquisitions of mortgage servicing rights and acquisitions of companies with mortgage servicing rights and mortgage origination platforms. As a result of Ocwen’s growth, we have grown. If Ocwen does not continue to acquire mortgage servicing rights or does not grow its mortgage origination business, our business and results of operations could be negatively impacted.</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regulatory scrutiny of foreclosure practices of the servicing industry has resulted in settlements between banks and servicers and government entities, on-going monitoring of banks and servicers by regulatory authorities, investigations of banks and servicers and private lawsuits. Additionally, Ocwen is subject to a number of pending federal and state regulatory investigations, inquiries and requests for information that could result in adverse regulatory action against Ocwen, certain of which include inquiries related to the ways in which Ocwen does business with its related parties. If Ocwen were to be negatively impacted in a significant way by this regulatory scrutiny or other actions, Altisource’s business and results of operations could be negatively impacted.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extensive regulation, and failure to comply with existing or new regulations may adversely impact us.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FTC, the CFPB, the SEC and the state and local agencies that license or oversee certain of our mortgage related services, including insurance services, and collection services. We also must comply with a number of federal, state and local consumer protection laws including, among others, the Gramm-Leach-Bliley Act, the Fair Debt Collection Practices Act, RESPA, TILA, the Fair Credit Reporting Act, the Telephone Consumer Protection Act, the Homeowners Protection Act, the California Homeowner’s Bill of Rights, the SAFE Act, the Mortgage Act and the FCPA. These requirements can and do change as statutes and regulations are enacted, promulgated or amended.</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ongoing economic uncertainty and troubled housing market have resulted in increased regulatory scrutiny of all participants involved in the mortgage industry. This scrutiny has included federal and state governmental agency review of all aspects of the mortgage lending and servicing industries, including an increased legislative and regulatory focus on consumer protection practices. One such enacted regulation is the Dodd-Frank Act (see further description in the “Government Regulation” section in Item 1 of Part I, “Business”). In some cases, penalties for noncompliance are significantly increased and could lead to settlements or consent orders on us, or our customers, that may curtail or restrict our business as it is currently conducted</w:t>
      </w:r>
      <w:r>
        <w:rPr>
          <w:rFonts w:ascii="Arial" w:cs="Arial" w:eastAsia="Arial" w:hAnsi="Arial"/>
          <w:sz w:val="14"/>
          <w:szCs w:val="14"/>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certain additional federal, state and local consumer protection regulations. We also are subject to licensing and regulation as a mortgage services provider, mortgage origination underwriter, valuation provider, appraisal management company, asset manager, property manager, title insurance agent, property and casualty insurance broker, real estate broker and/or debt collector in a number of states. Our employees and subsidiaries may be required to be licensed by various state commissions for the particular type of service sold and to participate in regular continuing education programs. Additionally, we are subject to audits and examinations and receive requests from federal, state and other regulatory agencies for records, documents and information regarding our policies, procedures and practices which could result in adverse regulatory action against us or cause us to incur costs, fines, penalties, settlement costs, damages, legal fees or other charges in material amounts or could impose additional requirements or restrictions on our activities. We incur significant ongoing costs to comply with governmental regulations.</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a result of increased federal and state governmental scrutiny of the mortgage industry, legislation has been enacted to address the mortgage market, with particular focus on loans that are in default. In addition, national servicing standards have been implemented that, among other things, require very specific loan modification and foreclosure procedures to be followed. This legislation and these standards have further reduced the number of loans entering the foreclosure process and have negatively impacted our default services revenue and profit. It is unclear when or if volumes will increase in the future.</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volume of new or modified laws and regulations has increased in recent years and, in addition, some individual municipalities have begun to enact laws that restrict mortgage services activities. If regulators impose new or more restrictive requirements, we may incur significant additional costs to comply with such requirements which could further adversely affect our results of operations or financial condition. In addition, our failure to comply with these laws and regulations can possibly lead to civil and criminal liability, loss of licensure, damage to our reputation in the industry, fines and penalties and litigation, including class action lawsuits or administrative enforcement actions. Any of these outcomes could harm our results of operations or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 repurchased by us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for the third quarter of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number</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12"/>
                <w:szCs w:val="12"/>
                <w:color w:val="auto"/>
              </w:rPr>
            </w:pPr>
          </w:p>
        </w:tc>
        <w:tc>
          <w:tcPr>
            <w:tcW w:w="15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Weighted</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of shares</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 may</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number of</w:t>
            </w:r>
          </w:p>
        </w:tc>
        <w:tc>
          <w:tcPr>
            <w:tcW w:w="360" w:type="dxa"/>
            <w:vAlign w:val="bottom"/>
          </w:tcPr>
          <w:p>
            <w:pPr>
              <w:spacing w:after="0"/>
              <w:rPr>
                <w:sz w:val="12"/>
                <w:szCs w:val="12"/>
                <w:color w:val="auto"/>
              </w:rPr>
            </w:pPr>
          </w:p>
        </w:tc>
        <w:tc>
          <w:tcPr>
            <w:tcW w:w="15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yet be purchased</w:t>
            </w:r>
          </w:p>
        </w:tc>
        <w:tc>
          <w:tcPr>
            <w:tcW w:w="0" w:type="dxa"/>
            <w:vAlign w:val="bottom"/>
          </w:tcPr>
          <w:p>
            <w:pPr>
              <w:spacing w:after="0"/>
              <w:rPr>
                <w:sz w:val="1"/>
                <w:szCs w:val="1"/>
                <w:color w:val="auto"/>
              </w:rPr>
            </w:pPr>
          </w:p>
        </w:tc>
      </w:tr>
      <w:tr>
        <w:trPr>
          <w:trHeight w:val="149"/>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shares</w:t>
            </w:r>
          </w:p>
        </w:tc>
        <w:tc>
          <w:tcPr>
            <w:tcW w:w="36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 the</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8"/>
                <w:szCs w:val="8"/>
                <w:b w:val="1"/>
                <w:bCs w:val="1"/>
                <w:color w:val="auto"/>
                <w:w w:val="91"/>
              </w:rPr>
              <w:t>(1)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88"/>
              </w:rPr>
              <w:t>per share</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b w:val="1"/>
                <w:bCs w:val="1"/>
                <w:color w:val="auto"/>
                <w:w w:val="95"/>
              </w:rPr>
              <w:t>(2)</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r>
              <w:rPr>
                <w:rFonts w:ascii="Arial" w:cs="Arial" w:eastAsia="Arial" w:hAnsi="Arial"/>
                <w:sz w:val="8"/>
                <w:szCs w:val="8"/>
                <w:b w:val="1"/>
                <w:bCs w:val="1"/>
                <w:color w:val="auto"/>
                <w:w w:val="91"/>
              </w:rPr>
              <w:t>(2)</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July 1 — 31, 2014</w:t>
            </w:r>
          </w:p>
        </w:tc>
        <w:tc>
          <w:tcPr>
            <w:tcW w:w="1780" w:type="dxa"/>
            <w:vAlign w:val="bottom"/>
          </w:tcPr>
          <w:p>
            <w:pPr>
              <w:jc w:val="right"/>
              <w:ind w:right="39"/>
              <w:spacing w:after="0"/>
              <w:rPr>
                <w:sz w:val="20"/>
                <w:szCs w:val="20"/>
                <w:color w:val="auto"/>
              </w:rPr>
            </w:pPr>
            <w:r>
              <w:rPr>
                <w:rFonts w:ascii="Arial" w:cs="Arial" w:eastAsia="Arial" w:hAnsi="Arial"/>
                <w:sz w:val="18"/>
                <w:szCs w:val="18"/>
                <w:color w:val="auto"/>
              </w:rPr>
              <w:t>119,922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113.81</w:t>
            </w:r>
          </w:p>
        </w:tc>
        <w:tc>
          <w:tcPr>
            <w:tcW w:w="100" w:type="dxa"/>
            <w:vAlign w:val="bottom"/>
          </w:tcPr>
          <w:p>
            <w:pPr>
              <w:spacing w:after="0"/>
              <w:rPr>
                <w:sz w:val="21"/>
                <w:szCs w:val="21"/>
                <w:color w:val="auto"/>
              </w:rPr>
            </w:pPr>
          </w:p>
        </w:tc>
        <w:tc>
          <w:tcPr>
            <w:tcW w:w="1780" w:type="dxa"/>
            <w:vAlign w:val="bottom"/>
          </w:tcPr>
          <w:p>
            <w:pPr>
              <w:jc w:val="right"/>
              <w:ind w:right="21"/>
              <w:spacing w:after="0"/>
              <w:rPr>
                <w:sz w:val="20"/>
                <w:szCs w:val="20"/>
                <w:color w:val="auto"/>
              </w:rPr>
            </w:pPr>
            <w:r>
              <w:rPr>
                <w:rFonts w:ascii="Arial" w:cs="Arial" w:eastAsia="Arial" w:hAnsi="Arial"/>
                <w:sz w:val="18"/>
                <w:szCs w:val="18"/>
                <w:color w:val="auto"/>
              </w:rPr>
              <w:t>119,922</w:t>
            </w:r>
          </w:p>
        </w:tc>
        <w:tc>
          <w:tcPr>
            <w:tcW w:w="120" w:type="dxa"/>
            <w:vAlign w:val="bottom"/>
          </w:tcPr>
          <w:p>
            <w:pPr>
              <w:spacing w:after="0"/>
              <w:rPr>
                <w:sz w:val="21"/>
                <w:szCs w:val="21"/>
                <w:color w:val="auto"/>
              </w:rPr>
            </w:pPr>
          </w:p>
        </w:tc>
        <w:tc>
          <w:tcPr>
            <w:tcW w:w="1780" w:type="dxa"/>
            <w:vAlign w:val="bottom"/>
          </w:tcPr>
          <w:p>
            <w:pPr>
              <w:jc w:val="right"/>
              <w:ind w:right="20"/>
              <w:spacing w:after="0"/>
              <w:rPr>
                <w:sz w:val="20"/>
                <w:szCs w:val="20"/>
                <w:color w:val="auto"/>
              </w:rPr>
            </w:pPr>
            <w:r>
              <w:rPr>
                <w:rFonts w:ascii="Arial" w:cs="Arial" w:eastAsia="Arial" w:hAnsi="Arial"/>
                <w:sz w:val="18"/>
                <w:szCs w:val="18"/>
                <w:color w:val="auto"/>
              </w:rPr>
              <w:t>2,744,004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August 1 — 31, 2014</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185,177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94.47</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185,177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2,558,827</w:t>
            </w:r>
          </w:p>
        </w:tc>
        <w:tc>
          <w:tcPr>
            <w:tcW w:w="0" w:type="dxa"/>
            <w:vAlign w:val="bottom"/>
          </w:tcPr>
          <w:p>
            <w:pPr>
              <w:spacing w:after="0"/>
              <w:rPr>
                <w:sz w:val="1"/>
                <w:szCs w:val="1"/>
                <w:color w:val="auto"/>
              </w:rPr>
            </w:pPr>
          </w:p>
        </w:tc>
      </w:tr>
      <w:tr>
        <w:trPr>
          <w:trHeight w:val="243"/>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September 1 — 30, 2014</w:t>
            </w:r>
          </w:p>
        </w:tc>
        <w:tc>
          <w:tcPr>
            <w:tcW w:w="1780" w:type="dxa"/>
            <w:vAlign w:val="bottom"/>
          </w:tcPr>
          <w:p>
            <w:pPr>
              <w:jc w:val="right"/>
              <w:ind w:right="39"/>
              <w:spacing w:after="0"/>
              <w:rPr>
                <w:sz w:val="20"/>
                <w:szCs w:val="20"/>
                <w:color w:val="auto"/>
              </w:rPr>
            </w:pPr>
            <w:r>
              <w:rPr>
                <w:rFonts w:ascii="Arial" w:cs="Arial" w:eastAsia="Arial" w:hAnsi="Arial"/>
                <w:sz w:val="18"/>
                <w:szCs w:val="18"/>
                <w:color w:val="auto"/>
              </w:rPr>
              <w:t>945,101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102.57</w:t>
            </w:r>
          </w:p>
        </w:tc>
        <w:tc>
          <w:tcPr>
            <w:tcW w:w="100" w:type="dxa"/>
            <w:vAlign w:val="bottom"/>
          </w:tcPr>
          <w:p>
            <w:pPr>
              <w:spacing w:after="0"/>
              <w:rPr>
                <w:sz w:val="21"/>
                <w:szCs w:val="21"/>
                <w:color w:val="auto"/>
              </w:rPr>
            </w:pPr>
          </w:p>
        </w:tc>
        <w:tc>
          <w:tcPr>
            <w:tcW w:w="1780" w:type="dxa"/>
            <w:vAlign w:val="bottom"/>
          </w:tcPr>
          <w:p>
            <w:pPr>
              <w:jc w:val="right"/>
              <w:ind w:right="21"/>
              <w:spacing w:after="0"/>
              <w:rPr>
                <w:sz w:val="20"/>
                <w:szCs w:val="20"/>
                <w:color w:val="auto"/>
              </w:rPr>
            </w:pPr>
            <w:r>
              <w:rPr>
                <w:rFonts w:ascii="Arial" w:cs="Arial" w:eastAsia="Arial" w:hAnsi="Arial"/>
                <w:sz w:val="18"/>
                <w:szCs w:val="18"/>
                <w:color w:val="auto"/>
              </w:rPr>
              <w:t>945,101</w:t>
            </w:r>
          </w:p>
        </w:tc>
        <w:tc>
          <w:tcPr>
            <w:tcW w:w="120" w:type="dxa"/>
            <w:vAlign w:val="bottom"/>
          </w:tcPr>
          <w:p>
            <w:pPr>
              <w:spacing w:after="0"/>
              <w:rPr>
                <w:sz w:val="21"/>
                <w:szCs w:val="21"/>
                <w:color w:val="auto"/>
              </w:rPr>
            </w:pPr>
          </w:p>
        </w:tc>
        <w:tc>
          <w:tcPr>
            <w:tcW w:w="1780" w:type="dxa"/>
            <w:vAlign w:val="bottom"/>
          </w:tcPr>
          <w:p>
            <w:pPr>
              <w:jc w:val="right"/>
              <w:ind w:right="20"/>
              <w:spacing w:after="0"/>
              <w:rPr>
                <w:sz w:val="20"/>
                <w:szCs w:val="20"/>
                <w:color w:val="auto"/>
              </w:rPr>
            </w:pPr>
            <w:r>
              <w:rPr>
                <w:rFonts w:ascii="Arial" w:cs="Arial" w:eastAsia="Arial" w:hAnsi="Arial"/>
                <w:sz w:val="18"/>
                <w:szCs w:val="18"/>
                <w:color w:val="auto"/>
              </w:rPr>
              <w:t>1,613,726</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jc w:val="right"/>
              <w:ind w:right="39"/>
              <w:spacing w:after="0"/>
              <w:rPr>
                <w:sz w:val="20"/>
                <w:szCs w:val="20"/>
                <w:color w:val="auto"/>
              </w:rPr>
            </w:pPr>
            <w:r>
              <w:rPr>
                <w:rFonts w:ascii="Arial" w:cs="Arial" w:eastAsia="Arial" w:hAnsi="Arial"/>
                <w:sz w:val="18"/>
                <w:szCs w:val="18"/>
                <w:color w:val="auto"/>
              </w:rPr>
              <w:t>1,250,200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102.45</w:t>
            </w:r>
          </w:p>
        </w:tc>
        <w:tc>
          <w:tcPr>
            <w:tcW w:w="100" w:type="dxa"/>
            <w:vAlign w:val="bottom"/>
          </w:tcPr>
          <w:p>
            <w:pPr>
              <w:spacing w:after="0"/>
              <w:rPr>
                <w:sz w:val="21"/>
                <w:szCs w:val="21"/>
                <w:color w:val="auto"/>
              </w:rPr>
            </w:pPr>
          </w:p>
        </w:tc>
        <w:tc>
          <w:tcPr>
            <w:tcW w:w="1780" w:type="dxa"/>
            <w:vAlign w:val="bottom"/>
          </w:tcPr>
          <w:p>
            <w:pPr>
              <w:jc w:val="right"/>
              <w:ind w:right="21"/>
              <w:spacing w:after="0"/>
              <w:rPr>
                <w:sz w:val="20"/>
                <w:szCs w:val="20"/>
                <w:color w:val="auto"/>
              </w:rPr>
            </w:pPr>
            <w:r>
              <w:rPr>
                <w:rFonts w:ascii="Arial" w:cs="Arial" w:eastAsia="Arial" w:hAnsi="Arial"/>
                <w:sz w:val="18"/>
                <w:szCs w:val="18"/>
                <w:color w:val="auto"/>
              </w:rPr>
              <w:t>1,250,200</w:t>
            </w:r>
          </w:p>
        </w:tc>
        <w:tc>
          <w:tcPr>
            <w:tcW w:w="120" w:type="dxa"/>
            <w:vAlign w:val="bottom"/>
          </w:tcPr>
          <w:p>
            <w:pPr>
              <w:spacing w:after="0"/>
              <w:rPr>
                <w:sz w:val="21"/>
                <w:szCs w:val="21"/>
                <w:color w:val="auto"/>
              </w:rPr>
            </w:pPr>
          </w:p>
        </w:tc>
        <w:tc>
          <w:tcPr>
            <w:tcW w:w="1780" w:type="dxa"/>
            <w:vAlign w:val="bottom"/>
          </w:tcPr>
          <w:p>
            <w:pPr>
              <w:jc w:val="right"/>
              <w:ind w:right="20"/>
              <w:spacing w:after="0"/>
              <w:rPr>
                <w:sz w:val="20"/>
                <w:szCs w:val="20"/>
                <w:color w:val="auto"/>
              </w:rPr>
            </w:pPr>
            <w:r>
              <w:rPr>
                <w:rFonts w:ascii="Arial" w:cs="Arial" w:eastAsia="Arial" w:hAnsi="Arial"/>
                <w:sz w:val="18"/>
                <w:szCs w:val="18"/>
                <w:color w:val="auto"/>
              </w:rPr>
              <w:t>1,613,726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280" w:hanging="258"/>
        <w:spacing w:after="0"/>
        <w:tabs>
          <w:tab w:leader="none" w:pos="2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Includes shares withheld from employees to satisfy tax withholding obligations that arose from the exercise of stock options.</w:t>
      </w:r>
    </w:p>
    <w:p>
      <w:pPr>
        <w:spacing w:after="0" w:line="201" w:lineRule="exact"/>
        <w:rPr>
          <w:rFonts w:ascii="Arial" w:cs="Arial" w:eastAsia="Arial" w:hAnsi="Arial"/>
          <w:sz w:val="25"/>
          <w:szCs w:val="25"/>
          <w:color w:val="auto"/>
          <w:vertAlign w:val="superscript"/>
        </w:rPr>
      </w:pPr>
    </w:p>
    <w:p>
      <w:pPr>
        <w:ind w:left="280" w:hanging="258"/>
        <w:spacing w:after="0" w:line="216" w:lineRule="auto"/>
        <w:tabs>
          <w:tab w:leader="none" w:pos="28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On February 28, 2014, our shareholders authorized a new share repurchase program that replaces the prior program and authorizes us to purchase up to 3.4 million shares of our common stock in the open market.</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provisions of our senior secured term loan agreement, as amended, limit, among other things, our ability to incur additional debt, pay dividends and repurchase stock. In addition, Luxembourg law currently limits our ability to pay dividends and repurchase stock. However, this limitation was significantly increased as the result of a restructuring of our Luxembourg holding companies in the third quarter of 2014.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1660" w:right="20" w:hanging="580"/>
        <w:spacing w:after="0" w:line="312" w:lineRule="auto"/>
        <w:tabs>
          <w:tab w:leader="none" w:pos="1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Amendment No. 3 to Credit Agreement, dated as of August 1, 2014, among Altisource Solutions S.à r.l., as borrower, Altisource Portfolio Solutions S.A., Bank of America, N.A., as Administrative Agent and incremental term lender, and the other lenders party thereto (incorporated by reference to Exhibit 10.1 to the Company’s Form 8-K filed on August 6, 2014)</w:t>
      </w:r>
    </w:p>
    <w:p>
      <w:pPr>
        <w:spacing w:after="0" w:line="106"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(filed herewith)</w:t>
      </w:r>
    </w:p>
    <w:p>
      <w:pPr>
        <w:spacing w:after="0" w:line="185"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(filed herewith)</w:t>
      </w:r>
    </w:p>
    <w:p>
      <w:pPr>
        <w:spacing w:after="0" w:line="185" w:lineRule="exact"/>
        <w:rPr>
          <w:sz w:val="20"/>
          <w:szCs w:val="20"/>
          <w:color w:val="auto"/>
        </w:rPr>
      </w:pPr>
    </w:p>
    <w:p>
      <w:pPr>
        <w:ind w:left="1660" w:right="260" w:hanging="580"/>
        <w:spacing w:after="0" w:line="277" w:lineRule="auto"/>
        <w:tabs>
          <w:tab w:leader="none" w:pos="1640" w:val="left"/>
        </w:tabs>
        <w:rPr>
          <w:sz w:val="20"/>
          <w:szCs w:val="20"/>
          <w:color w:val="auto"/>
        </w:rPr>
      </w:pPr>
      <w:r>
        <w:rPr>
          <w:rFonts w:ascii="Arial" w:cs="Arial" w:eastAsia="Arial" w:hAnsi="Arial"/>
          <w:sz w:val="18"/>
          <w:szCs w:val="18"/>
          <w:color w:val="auto"/>
        </w:rPr>
        <w:t>32.1</w:t>
        <w:tab/>
        <w:t>Certification by the Chief Executive Officer and Chief Financial Officer pursuant to Section 906 of the Sarbanes-Oxley Act of 2002 (filed herewith)</w:t>
      </w:r>
    </w:p>
    <w:p>
      <w:pPr>
        <w:spacing w:after="0" w:line="130" w:lineRule="exact"/>
        <w:rPr>
          <w:sz w:val="20"/>
          <w:szCs w:val="20"/>
          <w:color w:val="auto"/>
        </w:rPr>
      </w:pPr>
    </w:p>
    <w:p>
      <w:pPr>
        <w:ind w:left="1660" w:hanging="585"/>
        <w:spacing w:after="0" w:line="255" w:lineRule="auto"/>
        <w:tabs>
          <w:tab w:leader="none" w:pos="1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Rule 405 of Regulation S-T, the following financial information from the Company’s Quarterly Report on Form 10-Q for the period ended September 30, 2014, is formatted in XBRL interactive data files: (i) Condensed Consolidated Balance Sheets at September 30, 2014 and December 31, 2013; (ii) Condensed Consolidated Statements of Operations for the three and nine months ended September 30, 2014 and 2013; (iii) Condensed Consolidated Statements of Equity for the nine months ended September 30, 2014 and 2013; (iv) Condensed Consolidated Statements of Cash Flows for the nine months ended September 30, 2014 and 2013; and (v) Notes to Condensed Consolidated Financial Statements (filed herewith).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20"/>
          </w:cols>
          <w:pgMar w:left="240" w:top="125" w:right="11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ALTISOURCE PORTFOLIO SOLUTIONS S.A.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600" w:val="left"/>
          <w:tab w:leader="none" w:pos="6300" w:val="left"/>
        </w:tabs>
        <w:rPr>
          <w:sz w:val="20"/>
          <w:szCs w:val="20"/>
          <w:color w:val="auto"/>
        </w:rPr>
      </w:pPr>
      <w:r>
        <w:rPr>
          <w:rFonts w:ascii="Arial" w:cs="Arial" w:eastAsia="Arial" w:hAnsi="Arial"/>
          <w:sz w:val="18"/>
          <w:szCs w:val="18"/>
          <w:color w:val="auto"/>
        </w:rPr>
        <w:t>Date: October 23,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416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September 30, 2014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300"/>
        <w:spacing w:after="0"/>
        <w:tabs>
          <w:tab w:leader="none" w:pos="7220" w:val="left"/>
          <w:tab w:leader="none" w:pos="7860" w:val="left"/>
        </w:tabs>
        <w:rPr>
          <w:sz w:val="20"/>
          <w:szCs w:val="20"/>
          <w:color w:val="auto"/>
        </w:rPr>
      </w:pPr>
      <w:r>
        <w:rPr>
          <w:rFonts w:ascii="Arial" w:cs="Arial" w:eastAsia="Arial" w:hAnsi="Arial"/>
          <w:sz w:val="18"/>
          <w:szCs w:val="18"/>
          <w:color w:val="auto"/>
        </w:rPr>
        <w:t>Date: October 23,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31750</wp:posOffset>
            </wp:positionV>
            <wp:extent cx="2263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September 30, 2014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340"/>
        <w:spacing w:after="0"/>
        <w:tabs>
          <w:tab w:leader="none" w:pos="5880" w:val="left"/>
          <w:tab w:leader="none" w:pos="6520" w:val="left"/>
        </w:tabs>
        <w:rPr>
          <w:sz w:val="20"/>
          <w:szCs w:val="20"/>
          <w:color w:val="auto"/>
        </w:rPr>
      </w:pPr>
      <w:r>
        <w:rPr>
          <w:rFonts w:ascii="Arial" w:cs="Arial" w:eastAsia="Arial" w:hAnsi="Arial"/>
          <w:sz w:val="18"/>
          <w:szCs w:val="18"/>
          <w:color w:val="auto"/>
        </w:rPr>
        <w:t>Date: October 23,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29673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SEPTEMBER 30, 2014</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(the “Company”) for the quarterly period ending September 30, 2014, as filed with the Securities and Exchange Commission on the date hereof (the “Report”), William B. Shepro, as Chief Executive Officer of the Company, and Michelle D. Esterman,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ind w:left="20"/>
              <w:spacing w:after="0"/>
              <w:rPr>
                <w:sz w:val="20"/>
                <w:szCs w:val="20"/>
                <w:color w:val="auto"/>
              </w:rPr>
            </w:pPr>
            <w:r>
              <w:rPr>
                <w:rFonts w:ascii="Arial" w:cs="Arial" w:eastAsia="Arial" w:hAnsi="Arial"/>
                <w:sz w:val="18"/>
                <w:szCs w:val="18"/>
                <w:color w:val="auto"/>
              </w:rPr>
              <w:t>/s/ William B. Shepro</w:t>
            </w:r>
          </w:p>
        </w:tc>
        <w:tc>
          <w:tcPr>
            <w:tcW w:w="1040" w:type="dxa"/>
            <w:vAlign w:val="bottom"/>
          </w:tcPr>
          <w:p>
            <w:pPr>
              <w:ind w:left="500"/>
              <w:spacing w:after="0"/>
              <w:rPr>
                <w:sz w:val="20"/>
                <w:szCs w:val="20"/>
                <w:color w:val="auto"/>
              </w:rPr>
            </w:pPr>
            <w:r>
              <w:rPr>
                <w:rFonts w:ascii="Arial" w:cs="Arial" w:eastAsia="Arial" w:hAnsi="Arial"/>
                <w:sz w:val="18"/>
                <w:szCs w:val="18"/>
                <w:color w:val="auto"/>
              </w:rPr>
              <w:t>By:</w:t>
            </w:r>
          </w:p>
        </w:tc>
        <w:tc>
          <w:tcPr>
            <w:tcW w:w="5020" w:type="dxa"/>
            <w:vAlign w:val="bottom"/>
          </w:tcPr>
          <w:p>
            <w:pPr>
              <w:ind w:left="20"/>
              <w:spacing w:after="0"/>
              <w:rPr>
                <w:sz w:val="20"/>
                <w:szCs w:val="20"/>
                <w:color w:val="auto"/>
              </w:rPr>
            </w:pPr>
            <w:r>
              <w:rPr>
                <w:rFonts w:ascii="Arial" w:cs="Arial" w:eastAsia="Arial" w:hAnsi="Arial"/>
                <w:sz w:val="18"/>
                <w:szCs w:val="18"/>
                <w:color w:val="auto"/>
              </w:rPr>
              <w:t>/s/ Michelle D. Esterman</w:t>
            </w:r>
          </w:p>
        </w:tc>
      </w:tr>
      <w:tr>
        <w:trPr>
          <w:trHeight w:val="27"/>
        </w:trPr>
        <w:tc>
          <w:tcPr>
            <w:tcW w:w="5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10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Michelle D. Esterman</w:t>
            </w:r>
          </w:p>
        </w:tc>
      </w:tr>
      <w:tr>
        <w:trPr>
          <w:trHeight w:val="270"/>
        </w:trPr>
        <w:tc>
          <w:tcPr>
            <w:tcW w:w="5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Director and Chief Executive Officer</w:t>
            </w:r>
          </w:p>
        </w:tc>
        <w:tc>
          <w:tcPr>
            <w:tcW w:w="1040" w:type="dxa"/>
            <w:vAlign w:val="bottom"/>
          </w:tcPr>
          <w:p>
            <w:pPr>
              <w:spacing w:after="0"/>
              <w:rPr>
                <w:sz w:val="23"/>
                <w:szCs w:val="23"/>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56"/>
        </w:trPr>
        <w:tc>
          <w:tcPr>
            <w:tcW w:w="540" w:type="dxa"/>
            <w:vAlign w:val="bottom"/>
          </w:tcPr>
          <w:p>
            <w:pPr>
              <w:spacing w:after="0"/>
              <w:rPr>
                <w:sz w:val="22"/>
                <w:szCs w:val="22"/>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04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20" w:type="dxa"/>
            <w:vAlign w:val="bottom"/>
          </w:tcPr>
          <w:p>
            <w:pPr>
              <w:ind w:left="60"/>
              <w:spacing w:after="0"/>
              <w:rPr>
                <w:sz w:val="20"/>
                <w:szCs w:val="20"/>
                <w:color w:val="auto"/>
              </w:rPr>
            </w:pPr>
            <w:r>
              <w:rPr>
                <w:rFonts w:ascii="Arial" w:cs="Arial" w:eastAsia="Arial" w:hAnsi="Arial"/>
                <w:sz w:val="18"/>
                <w:szCs w:val="18"/>
                <w:color w:val="auto"/>
              </w:rPr>
              <w:t>Principal Accounting Officer)</w:t>
            </w:r>
          </w:p>
        </w:tc>
      </w:tr>
      <w:tr>
        <w:trPr>
          <w:trHeight w:val="270"/>
        </w:trPr>
        <w:tc>
          <w:tcPr>
            <w:tcW w:w="5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October 23, 2014</w:t>
            </w:r>
          </w:p>
        </w:tc>
        <w:tc>
          <w:tcPr>
            <w:tcW w:w="1040" w:type="dxa"/>
            <w:vAlign w:val="bottom"/>
          </w:tcPr>
          <w:p>
            <w:pPr>
              <w:spacing w:after="0"/>
              <w:rPr>
                <w:sz w:val="23"/>
                <w:szCs w:val="23"/>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October 23, 2014</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lowerRoman"/>
      <w:start w:val="5"/>
    </w:lvl>
  </w:abstractNum>
  <w:abstractNum w:abstractNumId="9">
    <w:nsid w:val="25E45D32"/>
    <w:multiLevelType w:val="hybridMultilevel"/>
    <w:lvl w:ilvl="0">
      <w:lvlJc w:val="left"/>
      <w:lvlText w:val="(%1)"/>
      <w:numFmt w:val="lowerRoman"/>
      <w:start w:val="9"/>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2"/>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0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2019-12-07T20:27:29Z</dcterms:created>
  <dcterms:modified xsi:type="dcterms:W3CDTF">2019-12-07T20:27:29Z</dcterms:modified>
</cp:coreProperties>
</file>