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4"/>
          <w:szCs w:val="24"/>
          <w:color w:val="auto"/>
        </w:rPr>
      </w:pPr>
    </w:p>
    <w:p>
      <w:pPr>
        <w:spacing w:after="0" w:line="213"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UNITED STATES</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SECURITIES AND EXCHANGE COMMISSION</w:t>
      </w: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SCHEDULE 14A</w:t>
      </w:r>
    </w:p>
    <w:p>
      <w:pPr>
        <w:spacing w:after="0" w:line="127"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Proxy Statement Pursuant to Section 14(a) of the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Securities Exchange Act of 1934</w:t>
      </w:r>
    </w:p>
    <w:p>
      <w:pPr>
        <w:spacing w:after="0" w:line="119" w:lineRule="exact"/>
        <w:rPr>
          <w:sz w:val="24"/>
          <w:szCs w:val="24"/>
          <w:color w:val="auto"/>
        </w:rPr>
      </w:pPr>
    </w:p>
    <w:p>
      <w:pPr>
        <w:ind w:left="1060"/>
        <w:spacing w:after="0"/>
        <w:rPr>
          <w:sz w:val="20"/>
          <w:szCs w:val="20"/>
          <w:color w:val="auto"/>
        </w:rPr>
      </w:pPr>
      <w:r>
        <w:rPr>
          <w:rFonts w:ascii="Arial" w:cs="Arial" w:eastAsia="Arial" w:hAnsi="Arial"/>
          <w:sz w:val="15"/>
          <w:szCs w:val="15"/>
          <w:color w:val="auto"/>
        </w:rPr>
        <w:t>Filed by the Registrant</w:t>
      </w:r>
    </w:p>
    <w:p>
      <w:pPr>
        <w:spacing w:after="0" w:line="26" w:lineRule="exact"/>
        <w:rPr>
          <w:sz w:val="24"/>
          <w:szCs w:val="24"/>
          <w:color w:val="auto"/>
        </w:rPr>
      </w:pPr>
    </w:p>
    <w:p>
      <w:pPr>
        <w:ind w:left="1060"/>
        <w:spacing w:after="0" w:line="173" w:lineRule="exact"/>
        <w:rPr>
          <w:sz w:val="20"/>
          <w:szCs w:val="20"/>
          <w:color w:val="auto"/>
        </w:rPr>
      </w:pP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82" w:lineRule="exact"/>
        <w:rPr>
          <w:sz w:val="24"/>
          <w:szCs w:val="24"/>
          <w:color w:val="auto"/>
        </w:rPr>
      </w:pPr>
    </w:p>
    <w:p>
      <w:pPr>
        <w:ind w:left="1060"/>
        <w:spacing w:after="0"/>
        <w:rPr>
          <w:sz w:val="20"/>
          <w:szCs w:val="20"/>
          <w:color w:val="auto"/>
        </w:rPr>
      </w:pPr>
      <w:r>
        <w:rPr>
          <w:rFonts w:ascii="Arial" w:cs="Arial" w:eastAsia="Arial" w:hAnsi="Arial"/>
          <w:sz w:val="15"/>
          <w:szCs w:val="15"/>
          <w:color w:val="auto"/>
        </w:rPr>
        <w:t>Check the appropriate box</w:t>
      </w:r>
    </w:p>
    <w:p>
      <w:pPr>
        <w:spacing w:after="0" w:line="54" w:lineRule="exact"/>
        <w:rPr>
          <w:sz w:val="24"/>
          <w:szCs w:val="24"/>
          <w:color w:val="auto"/>
        </w:rPr>
      </w:pPr>
    </w:p>
    <w:p>
      <w:pPr>
        <w:ind w:left="1360" w:hanging="295"/>
        <w:spacing w:after="0"/>
        <w:tabs>
          <w:tab w:leader="none" w:pos="136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Preliminary Proxy Statement</w:t>
      </w:r>
    </w:p>
    <w:p>
      <w:pPr>
        <w:spacing w:after="0" w:line="46" w:lineRule="exact"/>
        <w:rPr>
          <w:sz w:val="24"/>
          <w:szCs w:val="24"/>
          <w:color w:val="auto"/>
        </w:rPr>
      </w:pPr>
    </w:p>
    <w:p>
      <w:pPr>
        <w:ind w:left="1360" w:hanging="295"/>
        <w:spacing w:after="0"/>
        <w:tabs>
          <w:tab w:leader="none" w:pos="136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Confidential, For Use of the Commission only (as permitted by Rule 14a-6(e)(2))</w:t>
      </w:r>
    </w:p>
    <w:p>
      <w:pPr>
        <w:spacing w:after="0" w:line="41" w:lineRule="exact"/>
        <w:rPr>
          <w:rFonts w:ascii="MS PGothic" w:cs="MS PGothic" w:eastAsia="MS PGothic" w:hAnsi="MS PGothic"/>
          <w:sz w:val="15"/>
          <w:szCs w:val="15"/>
          <w:color w:val="auto"/>
        </w:rPr>
      </w:pPr>
    </w:p>
    <w:p>
      <w:pPr>
        <w:ind w:left="1360" w:hanging="295"/>
        <w:spacing w:after="0"/>
        <w:tabs>
          <w:tab w:leader="none" w:pos="136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Definitive Proxy Statement</w:t>
      </w:r>
    </w:p>
    <w:p>
      <w:pPr>
        <w:spacing w:after="0" w:line="31" w:lineRule="exact"/>
        <w:rPr>
          <w:rFonts w:ascii="MS PGothic" w:cs="MS PGothic" w:eastAsia="MS PGothic" w:hAnsi="MS PGothic"/>
          <w:sz w:val="15"/>
          <w:szCs w:val="15"/>
          <w:color w:val="auto"/>
        </w:rPr>
      </w:pPr>
    </w:p>
    <w:p>
      <w:pPr>
        <w:ind w:left="1360" w:hanging="295"/>
        <w:spacing w:after="0"/>
        <w:tabs>
          <w:tab w:leader="none" w:pos="136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Definitive Additional Materials</w:t>
      </w:r>
    </w:p>
    <w:p>
      <w:pPr>
        <w:spacing w:after="0" w:line="42" w:lineRule="exact"/>
        <w:rPr>
          <w:rFonts w:ascii="MS PGothic" w:cs="MS PGothic" w:eastAsia="MS PGothic" w:hAnsi="MS PGothic"/>
          <w:sz w:val="15"/>
          <w:szCs w:val="15"/>
          <w:color w:val="auto"/>
        </w:rPr>
      </w:pPr>
    </w:p>
    <w:p>
      <w:pPr>
        <w:ind w:left="1360" w:hanging="295"/>
        <w:spacing w:after="0"/>
        <w:tabs>
          <w:tab w:leader="none" w:pos="136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Soliciting Material under §240.14a-12</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676275</wp:posOffset>
            </wp:positionH>
            <wp:positionV relativeFrom="paragraph">
              <wp:posOffset>32385</wp:posOffset>
            </wp:positionV>
            <wp:extent cx="4367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67530" cy="6985"/>
                    </a:xfrm>
                    <a:prstGeom prst="rect">
                      <a:avLst/>
                    </a:prstGeom>
                    <a:noFill/>
                  </pic:spPr>
                </pic:pic>
              </a:graphicData>
            </a:graphic>
          </wp:anchor>
        </w:drawing>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(Name of Registrant as Specified in its Charter)</w:t>
      </w:r>
    </w:p>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N/A</w:t>
      </w:r>
      <w:r>
        <w:rPr>
          <w:rFonts w:ascii="Arial" w:cs="Arial" w:eastAsia="Arial" w:hAnsi="Arial"/>
          <w:sz w:val="12"/>
          <w:szCs w:val="1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676275</wp:posOffset>
            </wp:positionH>
            <wp:positionV relativeFrom="paragraph">
              <wp:posOffset>43180</wp:posOffset>
            </wp:positionV>
            <wp:extent cx="4367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67530" cy="6985"/>
                    </a:xfrm>
                    <a:prstGeom prst="rect">
                      <a:avLst/>
                    </a:prstGeom>
                    <a:noFill/>
                  </pic:spPr>
                </pic:pic>
              </a:graphicData>
            </a:graphic>
          </wp:anchor>
        </w:drawing>
      </w:r>
    </w:p>
    <w:p>
      <w:pPr>
        <w:spacing w:after="0" w:line="86" w:lineRule="exact"/>
        <w:rPr>
          <w:sz w:val="24"/>
          <w:szCs w:val="24"/>
          <w:color w:val="auto"/>
        </w:rPr>
      </w:pPr>
    </w:p>
    <w:p>
      <w:pPr>
        <w:ind w:left="2460"/>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127" w:lineRule="exact"/>
        <w:rPr>
          <w:sz w:val="24"/>
          <w:szCs w:val="24"/>
          <w:color w:val="auto"/>
        </w:rPr>
      </w:pPr>
    </w:p>
    <w:p>
      <w:pPr>
        <w:ind w:left="1060"/>
        <w:spacing w:after="0"/>
        <w:rPr>
          <w:sz w:val="20"/>
          <w:szCs w:val="20"/>
          <w:color w:val="auto"/>
        </w:rPr>
      </w:pPr>
      <w:r>
        <w:rPr>
          <w:rFonts w:ascii="Arial" w:cs="Arial" w:eastAsia="Arial" w:hAnsi="Arial"/>
          <w:sz w:val="15"/>
          <w:szCs w:val="15"/>
          <w:color w:val="auto"/>
        </w:rPr>
        <w:t>Payment of Filing Fee (Check the appropriate box):</w:t>
      </w:r>
    </w:p>
    <w:p>
      <w:pPr>
        <w:spacing w:after="0" w:line="54" w:lineRule="exact"/>
        <w:rPr>
          <w:sz w:val="24"/>
          <w:szCs w:val="24"/>
          <w:color w:val="auto"/>
        </w:rPr>
      </w:pPr>
    </w:p>
    <w:p>
      <w:pPr>
        <w:ind w:left="1360" w:hanging="295"/>
        <w:spacing w:after="0"/>
        <w:tabs>
          <w:tab w:leader="none" w:pos="136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122" w:lineRule="exact"/>
        <w:rPr>
          <w:sz w:val="24"/>
          <w:szCs w:val="24"/>
          <w:color w:val="auto"/>
        </w:rPr>
      </w:pPr>
    </w:p>
    <w:p>
      <w:pPr>
        <w:ind w:left="1360" w:hanging="295"/>
        <w:spacing w:after="0"/>
        <w:tabs>
          <w:tab w:leader="none" w:pos="136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Fee paid previously with preliminary materials.</w:t>
      </w:r>
    </w:p>
    <w:p>
      <w:pPr>
        <w:spacing w:after="0" w:line="132" w:lineRule="exact"/>
        <w:rPr>
          <w:rFonts w:ascii="MS PGothic" w:cs="MS PGothic" w:eastAsia="MS PGothic" w:hAnsi="MS PGothic"/>
          <w:sz w:val="15"/>
          <w:szCs w:val="15"/>
          <w:color w:val="auto"/>
        </w:rPr>
      </w:pPr>
    </w:p>
    <w:p>
      <w:pPr>
        <w:ind w:left="1360" w:hanging="295"/>
        <w:spacing w:after="0"/>
        <w:tabs>
          <w:tab w:leader="none" w:pos="136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Fee computed on table in exhibit required by Item 25(b) per Exchange Act Rules 14a6(i)</w:t>
      </w:r>
    </w:p>
    <w:p>
      <w:pPr>
        <w:spacing w:after="0" w:line="22" w:lineRule="exact"/>
        <w:rPr>
          <w:rFonts w:ascii="MS PGothic" w:cs="MS PGothic" w:eastAsia="MS PGothic" w:hAnsi="MS PGothic"/>
          <w:sz w:val="15"/>
          <w:szCs w:val="15"/>
          <w:color w:val="auto"/>
        </w:rPr>
      </w:pPr>
    </w:p>
    <w:p>
      <w:pPr>
        <w:ind w:left="1360"/>
        <w:spacing w:after="0"/>
        <w:rPr>
          <w:rFonts w:ascii="MS PGothic" w:cs="MS PGothic" w:eastAsia="MS PGothic" w:hAnsi="MS PGothic"/>
          <w:sz w:val="15"/>
          <w:szCs w:val="15"/>
          <w:color w:val="auto"/>
        </w:rPr>
      </w:pPr>
      <w:r>
        <w:rPr>
          <w:rFonts w:ascii="Arial" w:cs="Arial" w:eastAsia="Arial" w:hAnsi="Arial"/>
          <w:sz w:val="15"/>
          <w:szCs w:val="15"/>
          <w:color w:val="auto"/>
        </w:rPr>
        <w:t>(1)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3053080</wp:posOffset>
            </wp:positionV>
            <wp:extent cx="572897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93" w:right="1440" w:bottom="1440" w:gutter="0" w:footer="0" w:header="0"/>
        </w:sectPr>
      </w:pPr>
    </w:p>
    <w:bookmarkStart w:id="1" w:name="page2"/>
    <w:bookmarkEnd w:id="1"/>
    <w:p>
      <w:pPr>
        <w:ind w:left="20"/>
        <w:spacing w:after="0"/>
        <w:rPr>
          <w:sz w:val="20"/>
          <w:szCs w:val="20"/>
          <w:color w:val="auto"/>
        </w:rPr>
      </w:pPr>
      <w:r>
        <w:rPr>
          <w:rFonts w:ascii="Calibri" w:cs="Calibri" w:eastAsia="Calibri" w:hAnsi="Calibri"/>
          <w:sz w:val="12"/>
          <w:szCs w:val="12"/>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3944620</wp:posOffset>
            </wp:positionH>
            <wp:positionV relativeFrom="paragraph">
              <wp:posOffset>512445</wp:posOffset>
            </wp:positionV>
            <wp:extent cx="1099185" cy="546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9185" cy="54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March 31, 2025</w:t>
      </w:r>
    </w:p>
    <w:p>
      <w:pPr>
        <w:spacing w:after="0" w:line="12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Dear Fellow Shareholder:</w:t>
      </w:r>
    </w:p>
    <w:p>
      <w:pPr>
        <w:spacing w:after="0" w:line="133" w:lineRule="exact"/>
        <w:rPr>
          <w:sz w:val="20"/>
          <w:szCs w:val="20"/>
          <w:color w:val="auto"/>
        </w:rPr>
      </w:pPr>
    </w:p>
    <w:p>
      <w:pPr>
        <w:ind w:left="1060" w:right="1139"/>
        <w:spacing w:after="0" w:line="257" w:lineRule="auto"/>
        <w:rPr>
          <w:sz w:val="20"/>
          <w:szCs w:val="20"/>
          <w:color w:val="auto"/>
        </w:rPr>
      </w:pPr>
      <w:r>
        <w:rPr>
          <w:rFonts w:ascii="Arial" w:cs="Arial" w:eastAsia="Arial" w:hAnsi="Arial"/>
          <w:sz w:val="15"/>
          <w:szCs w:val="15"/>
          <w:color w:val="auto"/>
        </w:rPr>
        <w:t>On behalf of our Board of Directors, I cordially invite you to attend the Annual General Meeting of Shareholders (the “Annual Meeting”) of Altisource Portfolio Solutions S.A. (the “Company”), which will be held at our registered office located at 33, Boulevard Prince Henri, L-1724 Luxembourg City, Grand Duchy of Luxembourg, on Tuesday, May 13, 2025, at 9:00 a.m. Central European Time. Immediately following, at approximately 9:30 a.m. Central European Time, we will hold an Extraordinary General Meeting of Shareholders before a Luxembourg civil law notary (the “Extraordinary Meeting” and, together with the Annual Meeting, the “Meetings”) at the same location.</w:t>
      </w:r>
    </w:p>
    <w:p>
      <w:pPr>
        <w:spacing w:after="0" w:line="279" w:lineRule="exact"/>
        <w:rPr>
          <w:sz w:val="20"/>
          <w:szCs w:val="20"/>
          <w:color w:val="auto"/>
        </w:rPr>
      </w:pPr>
    </w:p>
    <w:p>
      <w:pPr>
        <w:ind w:left="1060" w:right="1179"/>
        <w:spacing w:after="0" w:line="243" w:lineRule="auto"/>
        <w:rPr>
          <w:sz w:val="20"/>
          <w:szCs w:val="20"/>
          <w:color w:val="auto"/>
        </w:rPr>
      </w:pPr>
      <w:r>
        <w:rPr>
          <w:rFonts w:ascii="Arial" w:cs="Arial" w:eastAsia="Arial" w:hAnsi="Arial"/>
          <w:sz w:val="15"/>
          <w:szCs w:val="15"/>
          <w:color w:val="auto"/>
        </w:rPr>
        <w:t>Your vote is requested to approve the proposals outlined in the attached proxy statement, which include, among other things, matters related to the election of Directors, approval of auditors and financial statements, advisory approval of the compensation of our named executive officers, the consolidation of the Company’s shares, the decrease in share capital through a reduction in par value, establishing a minimum quorum requirement of 33</w:t>
      </w:r>
      <w:r>
        <w:rPr>
          <w:rFonts w:ascii="Arial" w:cs="Arial" w:eastAsia="Arial" w:hAnsi="Arial"/>
          <w:sz w:val="21"/>
          <w:szCs w:val="21"/>
          <w:color w:val="auto"/>
          <w:vertAlign w:val="superscript"/>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for all meetings of shareholders, and other important business. Please refer to the accompanying notices and proxy statement for a detailed description of the proposals to be considered at the Meetings.</w:t>
      </w:r>
    </w:p>
    <w:p>
      <w:pPr>
        <w:spacing w:after="0" w:line="280" w:lineRule="exact"/>
        <w:rPr>
          <w:sz w:val="20"/>
          <w:szCs w:val="20"/>
          <w:color w:val="auto"/>
        </w:rPr>
      </w:pPr>
    </w:p>
    <w:p>
      <w:pPr>
        <w:ind w:left="1060" w:right="1079"/>
        <w:spacing w:after="0" w:line="257" w:lineRule="auto"/>
        <w:rPr>
          <w:sz w:val="20"/>
          <w:szCs w:val="20"/>
          <w:color w:val="auto"/>
        </w:rPr>
      </w:pPr>
      <w:r>
        <w:rPr>
          <w:rFonts w:ascii="Arial" w:cs="Arial" w:eastAsia="Arial" w:hAnsi="Arial"/>
          <w:sz w:val="15"/>
          <w:szCs w:val="15"/>
          <w:color w:val="auto"/>
        </w:rPr>
        <w:t>It is very important that you be present or represented at the Meetings, regardless of the number of shares you own or whether you are able to attend in person. If you are a shareholder of record (that is, you hold your shares in your name with our transfer agent), you may only authorize your proxy by mail. If you are a beneficial holder (i.e., you hold your shares through a bank or broker), please follow the voting instructions you receive from your bank or broker. Many banks and brokers allow beneficial holders to vote over the Internet, by telephone or by mail. Authorizing your proxy in advance will ensure that your vote is counted even if you are unable to attend the Meetings, without preventing you from voting in person.</w:t>
      </w:r>
    </w:p>
    <w:p>
      <w:pPr>
        <w:spacing w:after="0" w:line="95"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Thank you for your continued support of Altisource Portfolio Solutions S.A.</w:t>
      </w:r>
    </w:p>
    <w:p>
      <w:pPr>
        <w:spacing w:after="0" w:line="371"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Sincerely,</w:t>
      </w:r>
    </w:p>
    <w:p>
      <w:pPr>
        <w:spacing w:after="0" w:line="371"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 </w:t>
      </w:r>
    </w:p>
    <w:p>
      <w:pPr>
        <w:spacing w:after="0" w:line="9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William B. Shepro</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1580515</wp:posOffset>
            </wp:positionV>
            <wp:extent cx="572897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 w:name="page3"/>
    <w:bookmarkEnd w:id="2"/>
    <w:p>
      <w:pPr>
        <w:ind w:left="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ALTISOURCE PORTFOLIO SOLUTIONS S.A.</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33, Boulevard Prince Henri</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L-1724 Luxembourg City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Grand Duchy of Luxembourg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R.C.S. Luxembourg B72391</w:t>
      </w:r>
    </w:p>
    <w:p>
      <w:pPr>
        <w:spacing w:after="0" w:line="176" w:lineRule="exact"/>
        <w:rPr>
          <w:sz w:val="20"/>
          <w:szCs w:val="20"/>
          <w:color w:val="auto"/>
        </w:rPr>
      </w:pPr>
    </w:p>
    <w:p>
      <w:pPr>
        <w:jc w:val="center"/>
        <w:ind w:left="2640"/>
        <w:spacing w:after="0" w:line="275" w:lineRule="auto"/>
        <w:rPr>
          <w:sz w:val="20"/>
          <w:szCs w:val="20"/>
          <w:color w:val="auto"/>
        </w:rPr>
      </w:pPr>
      <w:r>
        <w:rPr>
          <w:rFonts w:ascii="Arial" w:cs="Arial" w:eastAsia="Arial" w:hAnsi="Arial"/>
          <w:sz w:val="15"/>
          <w:szCs w:val="15"/>
          <w:b w:val="1"/>
          <w:bCs w:val="1"/>
          <w:color w:val="auto"/>
        </w:rPr>
        <w:t>NOTICE OF ANNUAL GENERAL MEETING OF SHAREHOLDERS AND IMPORTANT NOTICE REGARDING THE AVAILABILITY OF PROXY MATERIALS FOR THE ANNUAL GENERAL MEETING OF SHAREHOLDERS TO BE HELD ON MAY 13, 2025</w:t>
      </w:r>
    </w:p>
    <w:p>
      <w:pPr>
        <w:sectPr>
          <w:pgSz w:w="11900" w:h="16838" w:orient="portrait"/>
          <w:cols w:equalWidth="0" w:num="1">
            <w:col w:w="9019"/>
          </w:cols>
          <w:pgMar w:left="1440" w:top="102" w:right="1440" w:bottom="1440" w:gutter="0" w:footer="0" w:header="0"/>
        </w:sectPr>
      </w:pPr>
    </w:p>
    <w:p>
      <w:pPr>
        <w:spacing w:after="0" w:line="131" w:lineRule="exact"/>
        <w:rPr>
          <w:sz w:val="20"/>
          <w:szCs w:val="20"/>
          <w:color w:val="auto"/>
        </w:rPr>
      </w:pPr>
    </w:p>
    <w:p>
      <w:pPr>
        <w:ind w:left="1060"/>
        <w:spacing w:after="0"/>
        <w:rPr>
          <w:sz w:val="20"/>
          <w:szCs w:val="20"/>
          <w:color w:val="auto"/>
        </w:rPr>
      </w:pPr>
      <w:r>
        <w:rPr>
          <w:rFonts w:ascii="Arial" w:cs="Arial" w:eastAsia="Arial" w:hAnsi="Arial"/>
          <w:sz w:val="15"/>
          <w:szCs w:val="15"/>
          <w:b w:val="1"/>
          <w:bCs w:val="1"/>
          <w:u w:val="single" w:color="auto"/>
          <w:color w:val="auto"/>
        </w:rPr>
        <w:t>NOTICE</w:t>
      </w:r>
    </w:p>
    <w:p>
      <w:pPr>
        <w:spacing w:after="0" w:line="9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Our Annual General Meeting of Shareholders (“Annual Meeting”) will be held:</w:t>
      </w:r>
    </w:p>
    <w:p>
      <w:pPr>
        <w:spacing w:after="0" w:line="257" w:lineRule="exact"/>
        <w:rPr>
          <w:sz w:val="20"/>
          <w:szCs w:val="20"/>
          <w:color w:val="auto"/>
        </w:rPr>
      </w:pPr>
    </w:p>
    <w:tbl>
      <w:tblPr>
        <w:tblLayout w:type="fixed"/>
        <w:tblInd w:w="1360" w:type="dxa"/>
        <w:tblCellMar>
          <w:top w:w="0" w:type="dxa"/>
          <w:left w:w="0" w:type="dxa"/>
          <w:bottom w:w="0" w:type="dxa"/>
          <w:right w:w="0" w:type="dxa"/>
        </w:tblCellMar>
      </w:tblPr>
      <w:tr>
        <w:trPr>
          <w:trHeight w:val="192"/>
        </w:trPr>
        <w:tc>
          <w:tcPr>
            <w:tcW w:w="540" w:type="dxa"/>
            <w:vAlign w:val="bottom"/>
          </w:tcPr>
          <w:p>
            <w:pPr>
              <w:spacing w:after="0"/>
              <w:rPr>
                <w:sz w:val="20"/>
                <w:szCs w:val="20"/>
                <w:color w:val="auto"/>
              </w:rPr>
            </w:pPr>
            <w:r>
              <w:rPr>
                <w:rFonts w:ascii="Arial" w:cs="Arial" w:eastAsia="Arial" w:hAnsi="Arial"/>
                <w:sz w:val="15"/>
                <w:szCs w:val="15"/>
                <w:b w:val="1"/>
                <w:bCs w:val="1"/>
                <w:color w:val="auto"/>
              </w:rPr>
              <w:t>Date:​</w:t>
            </w:r>
          </w:p>
        </w:tc>
        <w:tc>
          <w:tcPr>
            <w:tcW w:w="2820" w:type="dxa"/>
            <w:vAlign w:val="bottom"/>
            <w:gridSpan w:val="2"/>
          </w:tcPr>
          <w:p>
            <w:pPr>
              <w:ind w:left="140"/>
              <w:spacing w:after="0"/>
              <w:rPr>
                <w:sz w:val="20"/>
                <w:szCs w:val="20"/>
                <w:color w:val="auto"/>
              </w:rPr>
            </w:pPr>
            <w:r>
              <w:rPr>
                <w:rFonts w:ascii="Arial" w:cs="Arial" w:eastAsia="Arial" w:hAnsi="Arial"/>
                <w:sz w:val="15"/>
                <w:szCs w:val="15"/>
                <w:b w:val="1"/>
                <w:bCs w:val="1"/>
                <w:color w:val="auto"/>
              </w:rPr>
              <w:t xml:space="preserve">​ ​ </w:t>
            </w:r>
            <w:r>
              <w:rPr>
                <w:rFonts w:ascii="Arial" w:cs="Arial" w:eastAsia="Arial" w:hAnsi="Arial"/>
                <w:sz w:val="15"/>
                <w:szCs w:val="15"/>
                <w:color w:val="auto"/>
              </w:rPr>
              <w:t>Tuesday, May 13, 2025</w:t>
            </w:r>
          </w:p>
        </w:tc>
        <w:tc>
          <w:tcPr>
            <w:tcW w:w="0" w:type="dxa"/>
            <w:vAlign w:val="bottom"/>
          </w:tcPr>
          <w:p>
            <w:pPr>
              <w:spacing w:after="0"/>
              <w:rPr>
                <w:sz w:val="1"/>
                <w:szCs w:val="1"/>
                <w:color w:val="auto"/>
              </w:rPr>
            </w:pPr>
          </w:p>
        </w:tc>
      </w:tr>
      <w:tr>
        <w:trPr>
          <w:trHeight w:val="150"/>
        </w:trPr>
        <w:tc>
          <w:tcPr>
            <w:tcW w:w="540" w:type="dxa"/>
            <w:vAlign w:val="bottom"/>
          </w:tcPr>
          <w:p>
            <w:pPr>
              <w:spacing w:after="0" w:line="151" w:lineRule="exact"/>
              <w:rPr>
                <w:sz w:val="20"/>
                <w:szCs w:val="20"/>
                <w:color w:val="auto"/>
              </w:rPr>
            </w:pPr>
            <w:r>
              <w:rPr>
                <w:rFonts w:ascii="Arial" w:cs="Arial" w:eastAsia="Arial" w:hAnsi="Arial"/>
                <w:sz w:val="15"/>
                <w:szCs w:val="15"/>
                <w:b w:val="1"/>
                <w:bCs w:val="1"/>
                <w:color w:val="auto"/>
              </w:rPr>
              <w:t>​</w:t>
            </w:r>
          </w:p>
        </w:tc>
        <w:tc>
          <w:tcPr>
            <w:tcW w:w="300" w:type="dxa"/>
            <w:vAlign w:val="bottom"/>
          </w:tcPr>
          <w:p>
            <w:pPr>
              <w:ind w:left="140"/>
              <w:spacing w:after="0" w:line="151" w:lineRule="exact"/>
              <w:rPr>
                <w:sz w:val="20"/>
                <w:szCs w:val="20"/>
                <w:color w:val="auto"/>
              </w:rPr>
            </w:pPr>
            <w:r>
              <w:rPr>
                <w:rFonts w:ascii="Arial" w:cs="Arial" w:eastAsia="Arial" w:hAnsi="Arial"/>
                <w:sz w:val="15"/>
                <w:szCs w:val="15"/>
                <w:b w:val="1"/>
                <w:bCs w:val="1"/>
                <w:color w:val="auto"/>
              </w:rPr>
              <w:t>​ ​</w:t>
            </w:r>
          </w:p>
        </w:tc>
        <w:tc>
          <w:tcPr>
            <w:tcW w:w="2520" w:type="dxa"/>
            <w:vAlign w:val="bottom"/>
            <w:vMerge w:val="restart"/>
          </w:tcPr>
          <w:p>
            <w:pPr>
              <w:ind w:left="20"/>
              <w:spacing w:after="0"/>
              <w:rPr>
                <w:sz w:val="20"/>
                <w:szCs w:val="20"/>
                <w:color w:val="auto"/>
              </w:rPr>
            </w:pPr>
            <w:r>
              <w:rPr>
                <w:rFonts w:ascii="Arial" w:cs="Arial" w:eastAsia="Arial" w:hAnsi="Arial"/>
                <w:sz w:val="15"/>
                <w:szCs w:val="15"/>
                <w:color w:val="auto"/>
              </w:rPr>
              <w:t>9:00 a.m. Central European Time</w:t>
            </w:r>
          </w:p>
        </w:tc>
        <w:tc>
          <w:tcPr>
            <w:tcW w:w="0" w:type="dxa"/>
            <w:vAlign w:val="bottom"/>
          </w:tcPr>
          <w:p>
            <w:pPr>
              <w:spacing w:after="0"/>
              <w:rPr>
                <w:sz w:val="1"/>
                <w:szCs w:val="1"/>
                <w:color w:val="auto"/>
              </w:rPr>
            </w:pPr>
          </w:p>
        </w:tc>
      </w:tr>
      <w:tr>
        <w:trPr>
          <w:trHeight w:val="132"/>
        </w:trPr>
        <w:tc>
          <w:tcPr>
            <w:tcW w:w="540" w:type="dxa"/>
            <w:vAlign w:val="bottom"/>
          </w:tcPr>
          <w:p>
            <w:pPr>
              <w:spacing w:after="0" w:line="133" w:lineRule="exact"/>
              <w:rPr>
                <w:sz w:val="20"/>
                <w:szCs w:val="20"/>
                <w:color w:val="auto"/>
              </w:rPr>
            </w:pPr>
            <w:r>
              <w:rPr>
                <w:rFonts w:ascii="Arial" w:cs="Arial" w:eastAsia="Arial" w:hAnsi="Arial"/>
                <w:sz w:val="15"/>
                <w:szCs w:val="15"/>
                <w:b w:val="1"/>
                <w:bCs w:val="1"/>
                <w:color w:val="auto"/>
              </w:rPr>
              <w:t>Time:</w:t>
            </w:r>
          </w:p>
        </w:tc>
        <w:tc>
          <w:tcPr>
            <w:tcW w:w="300" w:type="dxa"/>
            <w:vAlign w:val="bottom"/>
          </w:tcPr>
          <w:p>
            <w:pPr>
              <w:spacing w:after="0"/>
              <w:rPr>
                <w:sz w:val="11"/>
                <w:szCs w:val="11"/>
                <w:color w:val="auto"/>
              </w:rPr>
            </w:pPr>
          </w:p>
        </w:tc>
        <w:tc>
          <w:tcPr>
            <w:tcW w:w="2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540" w:type="dxa"/>
            <w:vAlign w:val="bottom"/>
          </w:tcPr>
          <w:p>
            <w:pPr>
              <w:spacing w:after="0" w:line="151" w:lineRule="exact"/>
              <w:rPr>
                <w:sz w:val="20"/>
                <w:szCs w:val="20"/>
                <w:color w:val="auto"/>
              </w:rPr>
            </w:pPr>
            <w:r>
              <w:rPr>
                <w:rFonts w:ascii="Arial" w:cs="Arial" w:eastAsia="Arial" w:hAnsi="Arial"/>
                <w:sz w:val="15"/>
                <w:szCs w:val="15"/>
                <w:color w:val="auto"/>
              </w:rPr>
              <w:t>​</w:t>
            </w:r>
          </w:p>
        </w:tc>
        <w:tc>
          <w:tcPr>
            <w:tcW w:w="300" w:type="dxa"/>
            <w:vAlign w:val="bottom"/>
          </w:tcPr>
          <w:p>
            <w:pPr>
              <w:ind w:left="140"/>
              <w:spacing w:after="0" w:line="151" w:lineRule="exact"/>
              <w:rPr>
                <w:sz w:val="20"/>
                <w:szCs w:val="20"/>
                <w:color w:val="auto"/>
              </w:rPr>
            </w:pPr>
            <w:r>
              <w:rPr>
                <w:rFonts w:ascii="Arial" w:cs="Arial" w:eastAsia="Arial" w:hAnsi="Arial"/>
                <w:sz w:val="15"/>
                <w:szCs w:val="15"/>
                <w:color w:val="auto"/>
              </w:rPr>
              <w:t>​ ​</w:t>
            </w:r>
          </w:p>
        </w:tc>
        <w:tc>
          <w:tcPr>
            <w:tcW w:w="2520" w:type="dxa"/>
            <w:vAlign w:val="bottom"/>
            <w:vMerge w:val="restart"/>
          </w:tcPr>
          <w:p>
            <w:pPr>
              <w:ind w:left="20"/>
              <w:spacing w:after="0"/>
              <w:rPr>
                <w:sz w:val="20"/>
                <w:szCs w:val="20"/>
                <w:color w:val="auto"/>
              </w:rPr>
            </w:pPr>
            <w:r>
              <w:rPr>
                <w:rFonts w:ascii="Arial" w:cs="Arial" w:eastAsia="Arial" w:hAnsi="Arial"/>
                <w:sz w:val="15"/>
                <w:szCs w:val="15"/>
                <w:color w:val="auto"/>
              </w:rPr>
              <w:t>Altisource Portfolio Solutions S.A.</w:t>
            </w:r>
          </w:p>
        </w:tc>
        <w:tc>
          <w:tcPr>
            <w:tcW w:w="0" w:type="dxa"/>
            <w:vAlign w:val="bottom"/>
          </w:tcPr>
          <w:p>
            <w:pPr>
              <w:spacing w:after="0"/>
              <w:rPr>
                <w:sz w:val="1"/>
                <w:szCs w:val="1"/>
                <w:color w:val="auto"/>
              </w:rPr>
            </w:pPr>
          </w:p>
        </w:tc>
      </w:tr>
      <w:tr>
        <w:trPr>
          <w:trHeight w:val="101"/>
        </w:trPr>
        <w:tc>
          <w:tcPr>
            <w:tcW w:w="840" w:type="dxa"/>
            <w:vAlign w:val="bottom"/>
            <w:gridSpan w:val="2"/>
          </w:tcPr>
          <w:p>
            <w:pPr>
              <w:spacing w:after="0" w:line="101" w:lineRule="exact"/>
              <w:rPr>
                <w:sz w:val="20"/>
                <w:szCs w:val="20"/>
                <w:color w:val="auto"/>
              </w:rPr>
            </w:pPr>
            <w:r>
              <w:rPr>
                <w:rFonts w:ascii="Arial" w:cs="Arial" w:eastAsia="Arial" w:hAnsi="Arial"/>
                <w:sz w:val="11"/>
                <w:szCs w:val="11"/>
                <w:b w:val="1"/>
                <w:bCs w:val="1"/>
                <w:color w:val="auto"/>
              </w:rPr>
              <w:t>Location:</w:t>
            </w:r>
          </w:p>
        </w:tc>
        <w:tc>
          <w:tcPr>
            <w:tcW w:w="2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2220"/>
        <w:spacing w:after="0" w:line="236" w:lineRule="auto"/>
        <w:rPr>
          <w:sz w:val="20"/>
          <w:szCs w:val="20"/>
          <w:color w:val="auto"/>
        </w:rPr>
      </w:pPr>
      <w:r>
        <w:rPr>
          <w:rFonts w:ascii="Arial" w:cs="Arial" w:eastAsia="Arial" w:hAnsi="Arial"/>
          <w:sz w:val="15"/>
          <w:szCs w:val="15"/>
          <w:color w:val="auto"/>
        </w:rPr>
        <w:t>33, Boulevard Prince Henri</w:t>
      </w:r>
    </w:p>
    <w:p>
      <w:pPr>
        <w:ind w:left="2220"/>
        <w:spacing w:after="0"/>
        <w:rPr>
          <w:sz w:val="20"/>
          <w:szCs w:val="20"/>
          <w:color w:val="auto"/>
        </w:rPr>
      </w:pPr>
      <w:r>
        <w:rPr>
          <w:rFonts w:ascii="Arial" w:cs="Arial" w:eastAsia="Arial" w:hAnsi="Arial"/>
          <w:sz w:val="15"/>
          <w:szCs w:val="15"/>
          <w:color w:val="auto"/>
        </w:rPr>
        <w:t>L-1724 Luxembourg City</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Grand Duchy of Luxembourg</w:t>
      </w:r>
    </w:p>
    <w:p>
      <w:pPr>
        <w:spacing w:after="0" w:line="209" w:lineRule="exact"/>
        <w:rPr>
          <w:sz w:val="20"/>
          <w:szCs w:val="20"/>
          <w:color w:val="auto"/>
        </w:rPr>
      </w:pPr>
    </w:p>
    <w:p>
      <w:pPr>
        <w:ind w:left="1060"/>
        <w:spacing w:after="0"/>
        <w:rPr>
          <w:sz w:val="20"/>
          <w:szCs w:val="20"/>
          <w:color w:val="auto"/>
        </w:rPr>
      </w:pPr>
      <w:r>
        <w:rPr>
          <w:rFonts w:ascii="Arial" w:cs="Arial" w:eastAsia="Arial" w:hAnsi="Arial"/>
          <w:sz w:val="15"/>
          <w:szCs w:val="15"/>
          <w:b w:val="1"/>
          <w:bCs w:val="1"/>
          <w:u w:val="single" w:color="auto"/>
          <w:color w:val="auto"/>
        </w:rPr>
        <w:t>PURPOSE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1094" w:lineRule="exact"/>
        <w:rPr>
          <w:sz w:val="20"/>
          <w:szCs w:val="20"/>
          <w:color w:val="auto"/>
        </w:rPr>
      </w:pPr>
    </w:p>
    <w:p>
      <w:pPr>
        <w:sectPr>
          <w:pgSz w:w="11900" w:h="16838" w:orient="portrait"/>
          <w:cols w:equalWidth="0" w:num="2">
            <w:col w:w="6920" w:space="720"/>
            <w:col w:w="1379"/>
          </w:cols>
          <w:pgMar w:left="1440" w:top="102" w:right="1440" w:bottom="1440" w:gutter="0" w:footer="0" w:header="0"/>
          <w:type w:val="continuous"/>
        </w:sectPr>
      </w:pPr>
    </w:p>
    <w:p>
      <w:pPr>
        <w:ind w:left="1520" w:right="1459" w:hanging="153"/>
        <w:spacing w:after="0" w:line="288" w:lineRule="auto"/>
        <w:tabs>
          <w:tab w:leader="none" w:pos="1520"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elect seven (7) Directors to serve until the next annual general meeting of shareholders or until their respective successors have been elected and qualified;</w:t>
      </w:r>
    </w:p>
    <w:p>
      <w:pPr>
        <w:spacing w:after="0" w:line="38" w:lineRule="exact"/>
        <w:rPr>
          <w:rFonts w:ascii="Arial" w:cs="Arial" w:eastAsia="Arial" w:hAnsi="Arial"/>
          <w:sz w:val="15"/>
          <w:szCs w:val="15"/>
          <w:color w:val="auto"/>
        </w:rPr>
      </w:pPr>
    </w:p>
    <w:p>
      <w:pPr>
        <w:ind w:left="1520" w:right="1119" w:hanging="153"/>
        <w:spacing w:after="0" w:line="263" w:lineRule="auto"/>
        <w:tabs>
          <w:tab w:leader="none" w:pos="1520" w:val="left"/>
        </w:tabs>
        <w:numPr>
          <w:ilvl w:val="0"/>
          <w:numId w:val="5"/>
        </w:numPr>
        <w:rPr>
          <w:rFonts w:ascii="Arial" w:cs="Arial" w:eastAsia="Arial" w:hAnsi="Arial"/>
          <w:sz w:val="15"/>
          <w:szCs w:val="15"/>
          <w:color w:val="auto"/>
        </w:rPr>
      </w:pPr>
      <w:r>
        <w:rPr>
          <w:rFonts w:ascii="Arial" w:cs="Arial" w:eastAsia="Arial" w:hAnsi="Arial"/>
          <w:sz w:val="15"/>
          <w:szCs w:val="15"/>
          <w:color w:val="auto"/>
        </w:rPr>
        <w:t xml:space="preserve">To approve the appointment of RSM US LLP as our independent registered public accounting firm for the year ending December 31, 2025 and until our 2026 annual general meeting of shareholders, and the appointment of Atwell S.à r.l. as our certified auditor </w:t>
      </w:r>
      <w:r>
        <w:rPr>
          <w:rFonts w:ascii="Arial" w:cs="Arial" w:eastAsia="Arial" w:hAnsi="Arial"/>
          <w:sz w:val="15"/>
          <w:szCs w:val="15"/>
          <w:i w:val="1"/>
          <w:iCs w:val="1"/>
          <w:color w:val="auto"/>
        </w:rPr>
        <w:t>(Réviseur d’Entreprises)</w:t>
      </w:r>
      <w:r>
        <w:rPr>
          <w:rFonts w:ascii="Arial" w:cs="Arial" w:eastAsia="Arial" w:hAnsi="Arial"/>
          <w:sz w:val="15"/>
          <w:szCs w:val="15"/>
          <w:color w:val="auto"/>
        </w:rPr>
        <w:t xml:space="preserve"> for the same period;</w:t>
      </w:r>
    </w:p>
    <w:p>
      <w:pPr>
        <w:spacing w:after="0" w:line="58" w:lineRule="exact"/>
        <w:rPr>
          <w:rFonts w:ascii="Arial" w:cs="Arial" w:eastAsia="Arial" w:hAnsi="Arial"/>
          <w:sz w:val="15"/>
          <w:szCs w:val="15"/>
          <w:color w:val="auto"/>
        </w:rPr>
      </w:pPr>
    </w:p>
    <w:p>
      <w:pPr>
        <w:ind w:left="1520" w:right="1119" w:hanging="153"/>
        <w:spacing w:after="0" w:line="262" w:lineRule="auto"/>
        <w:tabs>
          <w:tab w:leader="none" w:pos="1520"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approve our Luxembourg Annual Accounts for the year ended December 31, 2024 and consolidated financial statements prepared in accordance with International Financial Reporting Standards (the “Consolidated Accounts” and, together with the Luxembourg Annual Accounts, the “Luxembourg Statutory Accounts”) as of and for the year ended December 31, 2024;</w:t>
      </w:r>
    </w:p>
    <w:p>
      <w:pPr>
        <w:spacing w:after="0" w:line="242" w:lineRule="exact"/>
        <w:rPr>
          <w:rFonts w:ascii="Arial" w:cs="Arial" w:eastAsia="Arial" w:hAnsi="Arial"/>
          <w:sz w:val="15"/>
          <w:szCs w:val="15"/>
          <w:color w:val="auto"/>
        </w:rPr>
      </w:pPr>
    </w:p>
    <w:p>
      <w:pPr>
        <w:ind w:left="1520" w:right="1299" w:hanging="153"/>
        <w:spacing w:after="0" w:line="266" w:lineRule="auto"/>
        <w:tabs>
          <w:tab w:leader="none" w:pos="1520" w:val="left"/>
        </w:tabs>
        <w:numPr>
          <w:ilvl w:val="0"/>
          <w:numId w:val="5"/>
        </w:numPr>
        <w:rPr>
          <w:rFonts w:ascii="Arial" w:cs="Arial" w:eastAsia="Arial" w:hAnsi="Arial"/>
          <w:sz w:val="15"/>
          <w:szCs w:val="15"/>
          <w:color w:val="auto"/>
        </w:rPr>
      </w:pPr>
      <w:r>
        <w:rPr>
          <w:rFonts w:ascii="Arial" w:cs="Arial" w:eastAsia="Arial" w:hAnsi="Arial"/>
          <w:sz w:val="15"/>
          <w:szCs w:val="15"/>
          <w:color w:val="auto"/>
        </w:rPr>
        <w:t xml:space="preserve">To receive and approve our Directors’ report for the Luxembourg Statutory Accounts for the year ended December 31, 2024 and to receive our supervisory auditor’s </w:t>
      </w:r>
      <w:r>
        <w:rPr>
          <w:rFonts w:ascii="Arial" w:cs="Arial" w:eastAsia="Arial" w:hAnsi="Arial"/>
          <w:sz w:val="15"/>
          <w:szCs w:val="15"/>
          <w:i w:val="1"/>
          <w:iCs w:val="1"/>
          <w:color w:val="auto"/>
        </w:rPr>
        <w:t xml:space="preserve">(Commissaire aux Comptes) </w:t>
      </w:r>
      <w:r>
        <w:rPr>
          <w:rFonts w:ascii="Arial" w:cs="Arial" w:eastAsia="Arial" w:hAnsi="Arial"/>
          <w:sz w:val="15"/>
          <w:szCs w:val="15"/>
          <w:color w:val="auto"/>
        </w:rPr>
        <w:t>report for the Luxembourg Annual Accounts for the same</w:t>
      </w:r>
      <w:r>
        <w:rPr>
          <w:rFonts w:ascii="Arial" w:cs="Arial" w:eastAsia="Arial" w:hAnsi="Arial"/>
          <w:sz w:val="15"/>
          <w:szCs w:val="15"/>
          <w:i w:val="1"/>
          <w:iCs w:val="1"/>
          <w:color w:val="auto"/>
        </w:rPr>
        <w:t xml:space="preserve"> </w:t>
      </w:r>
      <w:r>
        <w:rPr>
          <w:rFonts w:ascii="Arial" w:cs="Arial" w:eastAsia="Arial" w:hAnsi="Arial"/>
          <w:sz w:val="15"/>
          <w:szCs w:val="15"/>
          <w:color w:val="auto"/>
        </w:rPr>
        <w:t>period;</w:t>
      </w:r>
    </w:p>
    <w:p>
      <w:pPr>
        <w:spacing w:after="0" w:line="240" w:lineRule="exact"/>
        <w:rPr>
          <w:rFonts w:ascii="Arial" w:cs="Arial" w:eastAsia="Arial" w:hAnsi="Arial"/>
          <w:sz w:val="15"/>
          <w:szCs w:val="15"/>
          <w:color w:val="auto"/>
        </w:rPr>
      </w:pPr>
    </w:p>
    <w:p>
      <w:pPr>
        <w:ind w:left="1520" w:right="1739" w:hanging="153"/>
        <w:spacing w:after="0" w:line="288" w:lineRule="auto"/>
        <w:tabs>
          <w:tab w:leader="none" w:pos="1520"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allocate the results in the Luxembourg Annual Accounts for the year ended December 31, 2024;</w:t>
      </w:r>
    </w:p>
    <w:p>
      <w:pPr>
        <w:spacing w:after="0" w:line="49" w:lineRule="exact"/>
        <w:rPr>
          <w:rFonts w:ascii="Arial" w:cs="Arial" w:eastAsia="Arial" w:hAnsi="Arial"/>
          <w:sz w:val="15"/>
          <w:szCs w:val="15"/>
          <w:color w:val="auto"/>
        </w:rPr>
      </w:pPr>
    </w:p>
    <w:p>
      <w:pPr>
        <w:jc w:val="both"/>
        <w:ind w:left="1520" w:right="1259" w:hanging="153"/>
        <w:spacing w:after="0" w:line="269" w:lineRule="auto"/>
        <w:tabs>
          <w:tab w:leader="none" w:pos="1520" w:val="left"/>
        </w:tabs>
        <w:numPr>
          <w:ilvl w:val="0"/>
          <w:numId w:val="5"/>
        </w:numPr>
        <w:rPr>
          <w:rFonts w:ascii="Arial" w:cs="Arial" w:eastAsia="Arial" w:hAnsi="Arial"/>
          <w:sz w:val="15"/>
          <w:szCs w:val="15"/>
          <w:color w:val="auto"/>
        </w:rPr>
      </w:pPr>
      <w:r>
        <w:rPr>
          <w:rFonts w:ascii="Arial" w:cs="Arial" w:eastAsia="Arial" w:hAnsi="Arial"/>
          <w:sz w:val="15"/>
          <w:szCs w:val="15"/>
          <w:color w:val="auto"/>
        </w:rPr>
        <w:t xml:space="preserve">To discharge each of our Directors for the performance of their mandate for the year ended December 31, 2024 and our supervisory auditor </w:t>
      </w:r>
      <w:r>
        <w:rPr>
          <w:rFonts w:ascii="Arial" w:cs="Arial" w:eastAsia="Arial" w:hAnsi="Arial"/>
          <w:sz w:val="15"/>
          <w:szCs w:val="15"/>
          <w:i w:val="1"/>
          <w:iCs w:val="1"/>
          <w:color w:val="auto"/>
        </w:rPr>
        <w:t>(Commissaire aux Comptes)</w:t>
      </w:r>
      <w:r>
        <w:rPr>
          <w:rFonts w:ascii="Arial" w:cs="Arial" w:eastAsia="Arial" w:hAnsi="Arial"/>
          <w:sz w:val="15"/>
          <w:szCs w:val="15"/>
          <w:color w:val="auto"/>
        </w:rPr>
        <w:t xml:space="preserve"> for the performance of her mandate for the same period;</w:t>
      </w:r>
    </w:p>
    <w:p>
      <w:pPr>
        <w:spacing w:after="0" w:line="53" w:lineRule="exact"/>
        <w:rPr>
          <w:rFonts w:ascii="Arial" w:cs="Arial" w:eastAsia="Arial" w:hAnsi="Arial"/>
          <w:sz w:val="15"/>
          <w:szCs w:val="15"/>
          <w:color w:val="auto"/>
        </w:rPr>
      </w:pPr>
    </w:p>
    <w:p>
      <w:pPr>
        <w:ind w:left="1520" w:right="1779" w:hanging="153"/>
        <w:spacing w:after="0" w:line="288" w:lineRule="auto"/>
        <w:tabs>
          <w:tab w:leader="none" w:pos="1520"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approve, on a non-binding advisory basis, the compensation of our Named Executive Officers as defined below (“Say-on-Pay”); and</w:t>
      </w:r>
    </w:p>
    <w:p>
      <w:pPr>
        <w:spacing w:after="0" w:line="38" w:lineRule="exact"/>
        <w:rPr>
          <w:rFonts w:ascii="Arial" w:cs="Arial" w:eastAsia="Arial" w:hAnsi="Arial"/>
          <w:sz w:val="15"/>
          <w:szCs w:val="15"/>
          <w:color w:val="auto"/>
        </w:rPr>
      </w:pPr>
    </w:p>
    <w:p>
      <w:pPr>
        <w:ind w:left="1520" w:right="1139" w:hanging="153"/>
        <w:spacing w:after="0" w:line="288" w:lineRule="auto"/>
        <w:tabs>
          <w:tab w:leader="none" w:pos="1520"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Annual Meeting and any adjournment or postponement thereof.</w:t>
      </w:r>
    </w:p>
    <w:p>
      <w:pPr>
        <w:spacing w:after="0" w:line="1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u w:val="single" w:color="auto"/>
          <w:color w:val="auto"/>
        </w:rPr>
        <w:t>PROCEDURES</w:t>
      </w:r>
    </w:p>
    <w:p>
      <w:pPr>
        <w:spacing w:after="0" w:line="92" w:lineRule="exact"/>
        <w:rPr>
          <w:sz w:val="20"/>
          <w:szCs w:val="20"/>
          <w:color w:val="auto"/>
        </w:rPr>
      </w:pPr>
    </w:p>
    <w:p>
      <w:pPr>
        <w:ind w:left="1520" w:right="1639" w:hanging="153"/>
        <w:spacing w:after="0" w:line="287" w:lineRule="auto"/>
        <w:tabs>
          <w:tab w:leader="none" w:pos="152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Board has fixed March 17, 2025 as the record date for the determination of shareholders entitled to notice of and to vote at the Annual Meeting.</w:t>
      </w:r>
    </w:p>
    <w:p>
      <w:pPr>
        <w:spacing w:after="0" w:line="39" w:lineRule="exact"/>
        <w:rPr>
          <w:rFonts w:ascii="Arial" w:cs="Arial" w:eastAsia="Arial" w:hAnsi="Arial"/>
          <w:sz w:val="15"/>
          <w:szCs w:val="15"/>
          <w:color w:val="auto"/>
        </w:rPr>
      </w:pPr>
    </w:p>
    <w:p>
      <w:pPr>
        <w:ind w:left="1520" w:right="1419" w:hanging="153"/>
        <w:spacing w:after="0" w:line="287" w:lineRule="auto"/>
        <w:tabs>
          <w:tab w:leader="none" w:pos="1520" w:val="left"/>
        </w:tabs>
        <w:numPr>
          <w:ilvl w:val="0"/>
          <w:numId w:val="6"/>
        </w:numPr>
        <w:rPr>
          <w:rFonts w:ascii="Arial" w:cs="Arial" w:eastAsia="Arial" w:hAnsi="Arial"/>
          <w:sz w:val="15"/>
          <w:szCs w:val="15"/>
          <w:color w:val="auto"/>
        </w:rPr>
      </w:pPr>
      <w:r>
        <w:rPr>
          <w:rFonts w:ascii="Arial" w:cs="Arial" w:eastAsia="Arial" w:hAnsi="Arial"/>
          <w:sz w:val="15"/>
          <w:szCs w:val="15"/>
          <w:color w:val="auto"/>
        </w:rPr>
        <w:t>Only shareholders as of the close of business on the record date will be eligible to vote at the Annual Meeting.</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type w:val="continuous"/>
        </w:sectPr>
      </w:pPr>
    </w:p>
    <w:bookmarkStart w:id="3" w:name="page4"/>
    <w:bookmarkEnd w:id="3"/>
    <w:p>
      <w:pPr>
        <w:ind w:left="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520" w:right="1459" w:hanging="153"/>
        <w:spacing w:after="0" w:line="256" w:lineRule="auto"/>
        <w:tabs>
          <w:tab w:leader="none" w:pos="152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 order to be admitted to the Annual Meeting, shareholders must present proof of ownership as of the record date and valid government-issued photo identification. Shareholders holding shares in “street name” through a bank or broker, must also obtain a “legal proxy” from the holder of record to vote at the Annual Meeting.</w:t>
      </w:r>
    </w:p>
    <w:p>
      <w:pPr>
        <w:spacing w:after="0" w:line="2" w:lineRule="exact"/>
        <w:rPr>
          <w:rFonts w:ascii="Arial" w:cs="Arial" w:eastAsia="Arial" w:hAnsi="Arial"/>
          <w:sz w:val="15"/>
          <w:szCs w:val="15"/>
          <w:color w:val="auto"/>
        </w:rPr>
      </w:pPr>
    </w:p>
    <w:p>
      <w:pPr>
        <w:ind w:left="1520" w:right="1319"/>
        <w:spacing w:after="0" w:line="260" w:lineRule="auto"/>
        <w:rPr>
          <w:rFonts w:ascii="Arial" w:cs="Arial" w:eastAsia="Arial" w:hAnsi="Arial"/>
          <w:sz w:val="15"/>
          <w:szCs w:val="15"/>
          <w:color w:val="auto"/>
        </w:rPr>
      </w:pPr>
      <w:r>
        <w:rPr>
          <w:rFonts w:ascii="Arial" w:cs="Arial" w:eastAsia="Arial" w:hAnsi="Arial"/>
          <w:sz w:val="15"/>
          <w:szCs w:val="15"/>
          <w:b w:val="1"/>
          <w:bCs w:val="1"/>
          <w:color w:val="auto"/>
        </w:rPr>
        <w:t xml:space="preserve">Shareholders are encouraged to vote in advance of the Annual Meeting to ensure their vote is counted even if they are unable to attend in person. </w:t>
      </w:r>
      <w:r>
        <w:rPr>
          <w:rFonts w:ascii="Arial" w:cs="Arial" w:eastAsia="Arial" w:hAnsi="Arial"/>
          <w:sz w:val="15"/>
          <w:szCs w:val="15"/>
          <w:color w:val="auto"/>
        </w:rPr>
        <w:t>Instructions for voting in</w:t>
      </w:r>
      <w:r>
        <w:rPr>
          <w:rFonts w:ascii="Arial" w:cs="Arial" w:eastAsia="Arial" w:hAnsi="Arial"/>
          <w:sz w:val="15"/>
          <w:szCs w:val="15"/>
          <w:b w:val="1"/>
          <w:bCs w:val="1"/>
          <w:color w:val="auto"/>
        </w:rPr>
        <w:t xml:space="preserve"> </w:t>
      </w:r>
      <w:r>
        <w:rPr>
          <w:rFonts w:ascii="Arial" w:cs="Arial" w:eastAsia="Arial" w:hAnsi="Arial"/>
          <w:sz w:val="15"/>
          <w:szCs w:val="15"/>
          <w:color w:val="auto"/>
        </w:rPr>
        <w:t>advance are included in the accompanying materials.</w:t>
      </w:r>
    </w:p>
    <w:p>
      <w:pPr>
        <w:spacing w:after="0" w:line="81" w:lineRule="exact"/>
        <w:rPr>
          <w:rFonts w:ascii="Arial" w:cs="Arial" w:eastAsia="Arial" w:hAnsi="Arial"/>
          <w:sz w:val="15"/>
          <w:szCs w:val="15"/>
          <w:color w:val="auto"/>
        </w:rPr>
      </w:pPr>
    </w:p>
    <w:p>
      <w:pPr>
        <w:ind w:left="1520" w:right="1099" w:hanging="153"/>
        <w:spacing w:after="0" w:line="256" w:lineRule="auto"/>
        <w:tabs>
          <w:tab w:leader="none" w:pos="1520" w:val="left"/>
        </w:tabs>
        <w:numPr>
          <w:ilvl w:val="0"/>
          <w:numId w:val="7"/>
        </w:numPr>
        <w:rPr>
          <w:rFonts w:ascii="Arial" w:cs="Arial" w:eastAsia="Arial" w:hAnsi="Arial"/>
          <w:sz w:val="15"/>
          <w:szCs w:val="15"/>
          <w:color w:val="auto"/>
        </w:rPr>
      </w:pPr>
      <w:r>
        <w:rPr>
          <w:rFonts w:ascii="Arial" w:cs="Arial" w:eastAsia="Arial" w:hAnsi="Arial"/>
          <w:sz w:val="15"/>
          <w:szCs w:val="15"/>
          <w:color w:val="auto"/>
        </w:rPr>
        <w:t xml:space="preserve">The joint proxy statement for our Annual General Meeting and Extraordinary General Meeting of Shareholders (the “proxy statement”) and our annual report to shareholders on Form 10-K for the year ended December 31, 2024 will be available on our website under Investor Relations—Financial Information at </w:t>
      </w:r>
      <w:r>
        <w:rPr>
          <w:rFonts w:ascii="Arial" w:cs="Arial" w:eastAsia="Arial" w:hAnsi="Arial"/>
          <w:sz w:val="15"/>
          <w:szCs w:val="15"/>
          <w:u w:val="single" w:color="auto"/>
          <w:color w:val="auto"/>
        </w:rPr>
        <w:t>https://ir.altisource.com/financial-information</w:t>
      </w:r>
      <w:r>
        <w:rPr>
          <w:rFonts w:ascii="Arial" w:cs="Arial" w:eastAsia="Arial" w:hAnsi="Arial"/>
          <w:sz w:val="15"/>
          <w:szCs w:val="15"/>
          <w:color w:val="auto"/>
        </w:rPr>
        <w:t xml:space="preserve">. In accordance with the rules of the U.S. Securities and Exchange Commission, you may also access our proxy statement and annual report at </w:t>
      </w:r>
      <w:r>
        <w:rPr>
          <w:rFonts w:ascii="Arial" w:cs="Arial" w:eastAsia="Arial" w:hAnsi="Arial"/>
          <w:sz w:val="15"/>
          <w:szCs w:val="15"/>
          <w:u w:val="single" w:color="auto"/>
          <w:color w:val="auto"/>
        </w:rPr>
        <w:t>www.proxyvote.com</w:t>
      </w:r>
      <w:r>
        <w:rPr>
          <w:rFonts w:ascii="Arial" w:cs="Arial" w:eastAsia="Arial" w:hAnsi="Arial"/>
          <w:sz w:val="15"/>
          <w:szCs w:val="15"/>
          <w:color w:val="auto"/>
        </w:rPr>
        <w:t>, a website that does not identify or track visitors to the site, by entering the Control Number provided in the Notice and Access Card, proxy card or email notification, as applicable.</w:t>
      </w:r>
    </w:p>
    <w:p>
      <w:pPr>
        <w:spacing w:after="0" w:line="258" w:lineRule="exact"/>
        <w:rPr>
          <w:rFonts w:ascii="Arial" w:cs="Arial" w:eastAsia="Arial" w:hAnsi="Arial"/>
          <w:sz w:val="15"/>
          <w:szCs w:val="15"/>
          <w:color w:val="auto"/>
        </w:rPr>
      </w:pPr>
    </w:p>
    <w:p>
      <w:pPr>
        <w:ind w:left="1520" w:right="1179" w:hanging="153"/>
        <w:spacing w:after="0" w:line="262" w:lineRule="auto"/>
        <w:tabs>
          <w:tab w:leader="none" w:pos="1520" w:val="left"/>
        </w:tabs>
        <w:numPr>
          <w:ilvl w:val="0"/>
          <w:numId w:val="7"/>
        </w:numPr>
        <w:rPr>
          <w:rFonts w:ascii="Arial" w:cs="Arial" w:eastAsia="Arial" w:hAnsi="Arial"/>
          <w:sz w:val="15"/>
          <w:szCs w:val="15"/>
          <w:color w:val="auto"/>
        </w:rPr>
      </w:pPr>
      <w:r>
        <w:rPr>
          <w:rFonts w:ascii="Arial" w:cs="Arial" w:eastAsia="Arial" w:hAnsi="Arial"/>
          <w:sz w:val="15"/>
          <w:szCs w:val="15"/>
          <w:color w:val="auto"/>
        </w:rPr>
        <w:t>Although Luxembourg law does not require a quorum for the conduct of business at the Annual Meeting, in accordance with the requirements of the Nasdaq Stock Market listing standards, we have established that the presence at our Annual Meeting of holders of at least 33</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our issued and outstanding shares of common stock able to be voted, whether represented in person or by proxy, will constitute a quorum for the transaction of business at the Annual Meeting.</w:t>
      </w:r>
    </w:p>
    <w:p>
      <w:pPr>
        <w:spacing w:after="0" w:line="80" w:lineRule="exact"/>
        <w:rPr>
          <w:rFonts w:ascii="Arial" w:cs="Arial" w:eastAsia="Arial" w:hAnsi="Arial"/>
          <w:sz w:val="15"/>
          <w:szCs w:val="15"/>
          <w:color w:val="auto"/>
        </w:rPr>
      </w:pPr>
    </w:p>
    <w:p>
      <w:pPr>
        <w:ind w:left="1520" w:right="1159" w:hanging="153"/>
        <w:spacing w:after="0" w:line="257" w:lineRule="auto"/>
        <w:tabs>
          <w:tab w:leader="none" w:pos="1520" w:val="left"/>
        </w:tabs>
        <w:numPr>
          <w:ilvl w:val="0"/>
          <w:numId w:val="7"/>
        </w:numPr>
        <w:rPr>
          <w:rFonts w:ascii="Arial" w:cs="Arial" w:eastAsia="Arial" w:hAnsi="Arial"/>
          <w:sz w:val="15"/>
          <w:szCs w:val="15"/>
          <w:color w:val="auto"/>
        </w:rPr>
      </w:pPr>
      <w:r>
        <w:rPr>
          <w:rFonts w:ascii="Arial" w:cs="Arial" w:eastAsia="Arial" w:hAnsi="Arial"/>
          <w:sz w:val="15"/>
          <w:szCs w:val="15"/>
          <w:color w:val="auto"/>
        </w:rPr>
        <w:t xml:space="preserve">The Luxembourg Statutory Accounts, our Directors’ report for the Luxembourg Statutory Accounts, our certified auditor’s (Réviseur d’Entreprises) report for the Consolidated Accounts and our supervisory auditor’s (Commissaire aux Comptes) report for the Luxembourg Annual Accounts will be available for inspection at our registered office during business hours, by appointment, from May 3, 2025 until the conclusion of the Annual Meeting. Beginning May 3, 2025, .pdf copies will also be available to any shareholder who requests them by writing to our Corporate Secretary at </w:t>
      </w:r>
      <w:r>
        <w:rPr>
          <w:rFonts w:ascii="Arial" w:cs="Arial" w:eastAsia="Arial" w:hAnsi="Arial"/>
          <w:sz w:val="15"/>
          <w:szCs w:val="15"/>
          <w:u w:val="single" w:color="auto"/>
          <w:color w:val="auto"/>
        </w:rPr>
        <w:t>CorporateSecretary@altisource.com</w:t>
      </w:r>
      <w:r>
        <w:rPr>
          <w:rFonts w:ascii="Arial" w:cs="Arial" w:eastAsia="Arial" w:hAnsi="Arial"/>
          <w:sz w:val="15"/>
          <w:szCs w:val="15"/>
          <w:color w:val="auto"/>
        </w:rPr>
        <w:t>.</w:t>
      </w:r>
    </w:p>
    <w:p>
      <w:pPr>
        <w:spacing w:after="0" w:line="268" w:lineRule="exact"/>
        <w:rPr>
          <w:rFonts w:ascii="Arial" w:cs="Arial" w:eastAsia="Arial" w:hAnsi="Arial"/>
          <w:sz w:val="15"/>
          <w:szCs w:val="15"/>
          <w:color w:val="auto"/>
        </w:rPr>
      </w:pPr>
    </w:p>
    <w:p>
      <w:pPr>
        <w:ind w:left="1520" w:right="1599" w:hanging="153"/>
        <w:spacing w:after="0" w:line="287" w:lineRule="auto"/>
        <w:tabs>
          <w:tab w:leader="none" w:pos="152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following documents will be available at the Company’s registered office for inspection by shareholders and copies are available upon request:</w:t>
      </w:r>
    </w:p>
    <w:p>
      <w:pPr>
        <w:spacing w:after="0" w:line="85"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—the present convening notice</w:t>
      </w:r>
    </w:p>
    <w:p>
      <w:pPr>
        <w:spacing w:after="0" w:line="144"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—the draft resolutions of the Annual Meeting</w:t>
      </w:r>
    </w:p>
    <w:p>
      <w:pPr>
        <w:spacing w:after="0" w:line="144"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—a copy of the Luxembourg Statutory Accounts and the Director’s Report</w:t>
      </w:r>
    </w:p>
    <w:p>
      <w:pPr>
        <w:spacing w:after="0" w:line="156"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—the draft power of attorney</w:t>
      </w:r>
    </w:p>
    <w:p>
      <w:pPr>
        <w:spacing w:after="0" w:line="122"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 xml:space="preserve">Any such request should be made to </w:t>
      </w:r>
      <w:r>
        <w:rPr>
          <w:rFonts w:ascii="Arial" w:cs="Arial" w:eastAsia="Arial" w:hAnsi="Arial"/>
          <w:sz w:val="15"/>
          <w:szCs w:val="15"/>
          <w:u w:val="single" w:color="auto"/>
          <w:color w:val="auto"/>
        </w:rPr>
        <w:t>CorporateSecretary@altisource.com</w:t>
      </w:r>
      <w:r>
        <w:rPr>
          <w:rFonts w:ascii="Arial" w:cs="Arial" w:eastAsia="Arial" w:hAnsi="Arial"/>
          <w:sz w:val="15"/>
          <w:szCs w:val="15"/>
          <w:color w:val="auto"/>
        </w:rPr>
        <w:t>.</w:t>
      </w:r>
    </w:p>
    <w:p>
      <w:pPr>
        <w:spacing w:after="0" w:line="280"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By authorization of our Board of Directors,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Gregory J. Ritts</w:t>
      </w:r>
    </w:p>
    <w:p>
      <w:pPr>
        <w:spacing w:after="0" w:line="26"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Corporate Secretary</w:t>
      </w:r>
    </w:p>
    <w:p>
      <w:pPr>
        <w:spacing w:after="0" w:line="240"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March 31, 2025</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Luxembourg City, Grand Duchy of Luxembourg</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 w:name="page5"/>
    <w:bookmarkEnd w:id="4"/>
    <w:p>
      <w:pPr>
        <w:ind w:left="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900"/>
        <w:spacing w:after="0"/>
        <w:rPr>
          <w:sz w:val="20"/>
          <w:szCs w:val="20"/>
          <w:color w:val="auto"/>
        </w:rPr>
      </w:pPr>
      <w:r>
        <w:rPr>
          <w:rFonts w:ascii="Arial" w:cs="Arial" w:eastAsia="Arial" w:hAnsi="Arial"/>
          <w:sz w:val="15"/>
          <w:szCs w:val="15"/>
          <w:b w:val="1"/>
          <w:bCs w:val="1"/>
          <w:color w:val="auto"/>
        </w:rPr>
        <w:t>ALTISOURCE PORTFOLIO SOLUTIONS S.A.</w:t>
      </w:r>
    </w:p>
    <w:p>
      <w:pPr>
        <w:spacing w:after="0" w:line="8" w:lineRule="exact"/>
        <w:rPr>
          <w:sz w:val="20"/>
          <w:szCs w:val="20"/>
          <w:color w:val="auto"/>
        </w:rPr>
      </w:pPr>
    </w:p>
    <w:p>
      <w:pPr>
        <w:ind w:left="3520"/>
        <w:spacing w:after="0"/>
        <w:rPr>
          <w:sz w:val="20"/>
          <w:szCs w:val="20"/>
          <w:color w:val="auto"/>
        </w:rPr>
      </w:pPr>
      <w:r>
        <w:rPr>
          <w:rFonts w:ascii="Arial" w:cs="Arial" w:eastAsia="Arial" w:hAnsi="Arial"/>
          <w:sz w:val="15"/>
          <w:szCs w:val="15"/>
          <w:b w:val="1"/>
          <w:bCs w:val="1"/>
          <w:color w:val="auto"/>
        </w:rPr>
        <w:t>33, Boulevard Prince Henri</w:t>
      </w:r>
    </w:p>
    <w:p>
      <w:pPr>
        <w:ind w:left="3600"/>
        <w:spacing w:after="0" w:line="220" w:lineRule="auto"/>
        <w:rPr>
          <w:sz w:val="20"/>
          <w:szCs w:val="20"/>
          <w:color w:val="auto"/>
        </w:rPr>
      </w:pPr>
      <w:r>
        <w:rPr>
          <w:rFonts w:ascii="Arial" w:cs="Arial" w:eastAsia="Arial" w:hAnsi="Arial"/>
          <w:sz w:val="15"/>
          <w:szCs w:val="15"/>
          <w:b w:val="1"/>
          <w:bCs w:val="1"/>
          <w:color w:val="auto"/>
        </w:rPr>
        <w:t>L-1724 Luxembourg City</w:t>
      </w:r>
    </w:p>
    <w:p>
      <w:pPr>
        <w:jc w:val="right"/>
        <w:ind w:right="3499"/>
        <w:spacing w:after="0" w:line="236" w:lineRule="auto"/>
        <w:rPr>
          <w:sz w:val="20"/>
          <w:szCs w:val="20"/>
          <w:color w:val="auto"/>
        </w:rPr>
      </w:pPr>
      <w:r>
        <w:rPr>
          <w:rFonts w:ascii="Arial" w:cs="Arial" w:eastAsia="Arial" w:hAnsi="Arial"/>
          <w:sz w:val="15"/>
          <w:szCs w:val="15"/>
          <w:b w:val="1"/>
          <w:bCs w:val="1"/>
          <w:color w:val="auto"/>
        </w:rPr>
        <w:t>Grand Duchy of Luxembourg</w:t>
      </w:r>
    </w:p>
    <w:p>
      <w:pPr>
        <w:jc w:val="right"/>
        <w:ind w:right="3539"/>
        <w:spacing w:after="0"/>
        <w:rPr>
          <w:sz w:val="20"/>
          <w:szCs w:val="20"/>
          <w:color w:val="auto"/>
        </w:rPr>
      </w:pPr>
      <w:r>
        <w:rPr>
          <w:rFonts w:ascii="Arial" w:cs="Arial" w:eastAsia="Arial" w:hAnsi="Arial"/>
          <w:sz w:val="15"/>
          <w:szCs w:val="15"/>
          <w:b w:val="1"/>
          <w:bCs w:val="1"/>
          <w:color w:val="auto"/>
        </w:rPr>
        <w:t>R.C.S. Luxembourg B72391</w:t>
      </w:r>
    </w:p>
    <w:p>
      <w:pPr>
        <w:spacing w:after="0" w:line="164" w:lineRule="exact"/>
        <w:rPr>
          <w:sz w:val="20"/>
          <w:szCs w:val="20"/>
          <w:color w:val="auto"/>
        </w:rPr>
      </w:pPr>
    </w:p>
    <w:p>
      <w:pPr>
        <w:ind w:left="1680" w:right="1739" w:hanging="6"/>
        <w:spacing w:after="0" w:line="254" w:lineRule="auto"/>
        <w:rPr>
          <w:sz w:val="20"/>
          <w:szCs w:val="20"/>
          <w:color w:val="auto"/>
        </w:rPr>
      </w:pPr>
      <w:r>
        <w:rPr>
          <w:rFonts w:ascii="Arial" w:cs="Arial" w:eastAsia="Arial" w:hAnsi="Arial"/>
          <w:sz w:val="14"/>
          <w:szCs w:val="14"/>
          <w:b w:val="1"/>
          <w:bCs w:val="1"/>
          <w:color w:val="auto"/>
        </w:rPr>
        <w:t>NOTICE OF EXTRAORDINARY GENERAL MEETING OF SHAREHOLDERS AND IMPORTANT NOTICE REGARDING THE AVAILABILITY OF PROXY MATERIALS</w:t>
      </w:r>
    </w:p>
    <w:p>
      <w:pPr>
        <w:jc w:val="center"/>
        <w:spacing w:after="0" w:line="237" w:lineRule="auto"/>
        <w:rPr>
          <w:sz w:val="20"/>
          <w:szCs w:val="20"/>
          <w:color w:val="auto"/>
        </w:rPr>
      </w:pPr>
      <w:r>
        <w:rPr>
          <w:rFonts w:ascii="Arial" w:cs="Arial" w:eastAsia="Arial" w:hAnsi="Arial"/>
          <w:sz w:val="15"/>
          <w:szCs w:val="15"/>
          <w:b w:val="1"/>
          <w:bCs w:val="1"/>
          <w:color w:val="auto"/>
        </w:rPr>
        <w:t>FOR THE EXTRAORDINARY GENERAL MEETING OF SHAREHOLDERS TO BE HELD ON MAY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13, 2025</w:t>
      </w:r>
    </w:p>
    <w:p>
      <w:pPr>
        <w:spacing w:after="0" w:line="164" w:lineRule="exact"/>
        <w:rPr>
          <w:sz w:val="20"/>
          <w:szCs w:val="20"/>
          <w:color w:val="auto"/>
        </w:rPr>
      </w:pPr>
    </w:p>
    <w:p>
      <w:pPr>
        <w:ind w:left="1060"/>
        <w:spacing w:after="0"/>
        <w:rPr>
          <w:sz w:val="20"/>
          <w:szCs w:val="20"/>
          <w:color w:val="auto"/>
        </w:rPr>
      </w:pPr>
      <w:r>
        <w:rPr>
          <w:rFonts w:ascii="Arial" w:cs="Arial" w:eastAsia="Arial" w:hAnsi="Arial"/>
          <w:sz w:val="15"/>
          <w:szCs w:val="15"/>
          <w:b w:val="1"/>
          <w:bCs w:val="1"/>
          <w:u w:val="single" w:color="auto"/>
          <w:color w:val="auto"/>
        </w:rPr>
        <w:t>NOTICE</w:t>
      </w:r>
    </w:p>
    <w:p>
      <w:pPr>
        <w:spacing w:after="0" w:line="88" w:lineRule="exact"/>
        <w:rPr>
          <w:sz w:val="20"/>
          <w:szCs w:val="20"/>
          <w:color w:val="auto"/>
        </w:rPr>
      </w:pPr>
    </w:p>
    <w:p>
      <w:pPr>
        <w:ind w:left="1060" w:right="1359"/>
        <w:spacing w:after="0" w:line="272" w:lineRule="auto"/>
        <w:rPr>
          <w:sz w:val="20"/>
          <w:szCs w:val="20"/>
          <w:color w:val="auto"/>
        </w:rPr>
      </w:pPr>
      <w:r>
        <w:rPr>
          <w:rFonts w:ascii="Arial" w:cs="Arial" w:eastAsia="Arial" w:hAnsi="Arial"/>
          <w:sz w:val="15"/>
          <w:szCs w:val="15"/>
          <w:color w:val="auto"/>
        </w:rPr>
        <w:t>Our Extraordinary General Meeting of Shareholders before a Luxembourg civil law notary (“Extraordinary Meeting”) will be held:</w:t>
      </w:r>
    </w:p>
    <w:p>
      <w:pPr>
        <w:spacing w:after="0" w:line="197" w:lineRule="exact"/>
        <w:rPr>
          <w:sz w:val="20"/>
          <w:szCs w:val="20"/>
          <w:color w:val="auto"/>
        </w:rPr>
      </w:pPr>
    </w:p>
    <w:tbl>
      <w:tblPr>
        <w:tblLayout w:type="fixed"/>
        <w:tblInd w:w="1360" w:type="dxa"/>
        <w:tblCellMar>
          <w:top w:w="0" w:type="dxa"/>
          <w:left w:w="0" w:type="dxa"/>
          <w:bottom w:w="0" w:type="dxa"/>
          <w:right w:w="0" w:type="dxa"/>
        </w:tblCellMar>
      </w:tblPr>
      <w:tr>
        <w:trPr>
          <w:trHeight w:val="192"/>
        </w:trPr>
        <w:tc>
          <w:tcPr>
            <w:tcW w:w="680" w:type="dxa"/>
            <w:vAlign w:val="bottom"/>
          </w:tcPr>
          <w:p>
            <w:pPr>
              <w:spacing w:after="0"/>
              <w:rPr>
                <w:sz w:val="20"/>
                <w:szCs w:val="20"/>
                <w:color w:val="auto"/>
              </w:rPr>
            </w:pPr>
            <w:r>
              <w:rPr>
                <w:rFonts w:ascii="Arial" w:cs="Arial" w:eastAsia="Arial" w:hAnsi="Arial"/>
                <w:sz w:val="15"/>
                <w:szCs w:val="15"/>
                <w:b w:val="1"/>
                <w:bCs w:val="1"/>
                <w:color w:val="auto"/>
              </w:rPr>
              <w:t>Date:​</w:t>
            </w:r>
          </w:p>
        </w:tc>
        <w:tc>
          <w:tcPr>
            <w:tcW w:w="4140" w:type="dxa"/>
            <w:vAlign w:val="bottom"/>
            <w:gridSpan w:val="2"/>
          </w:tcPr>
          <w:p>
            <w:pPr>
              <w:spacing w:after="0"/>
              <w:rPr>
                <w:sz w:val="20"/>
                <w:szCs w:val="20"/>
                <w:color w:val="auto"/>
              </w:rPr>
            </w:pPr>
            <w:r>
              <w:rPr>
                <w:rFonts w:ascii="Arial" w:cs="Arial" w:eastAsia="Arial" w:hAnsi="Arial"/>
                <w:sz w:val="15"/>
                <w:szCs w:val="15"/>
                <w:b w:val="1"/>
                <w:bCs w:val="1"/>
                <w:color w:val="auto"/>
              </w:rPr>
              <w:t xml:space="preserve">​ ​ </w:t>
            </w:r>
            <w:r>
              <w:rPr>
                <w:rFonts w:ascii="Arial" w:cs="Arial" w:eastAsia="Arial" w:hAnsi="Arial"/>
                <w:sz w:val="15"/>
                <w:szCs w:val="15"/>
                <w:color w:val="auto"/>
              </w:rPr>
              <w:t>Tuesday, May 13, 2025</w:t>
            </w:r>
          </w:p>
        </w:tc>
        <w:tc>
          <w:tcPr>
            <w:tcW w:w="1500" w:type="dxa"/>
            <w:vAlign w:val="bottom"/>
          </w:tcPr>
          <w:p>
            <w:pPr>
              <w:ind w:left="14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50"/>
        </w:trPr>
        <w:tc>
          <w:tcPr>
            <w:tcW w:w="680" w:type="dxa"/>
            <w:vAlign w:val="bottom"/>
          </w:tcPr>
          <w:p>
            <w:pPr>
              <w:spacing w:after="0" w:line="151" w:lineRule="exact"/>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line="151" w:lineRule="exact"/>
              <w:rPr>
                <w:sz w:val="20"/>
                <w:szCs w:val="20"/>
                <w:color w:val="auto"/>
              </w:rPr>
            </w:pPr>
            <w:r>
              <w:rPr>
                <w:rFonts w:ascii="Arial" w:cs="Arial" w:eastAsia="Arial" w:hAnsi="Arial"/>
                <w:sz w:val="15"/>
                <w:szCs w:val="15"/>
                <w:b w:val="1"/>
                <w:bCs w:val="1"/>
                <w:color w:val="auto"/>
              </w:rPr>
              <w:t>​ ​</w:t>
            </w:r>
          </w:p>
        </w:tc>
        <w:tc>
          <w:tcPr>
            <w:tcW w:w="3980" w:type="dxa"/>
            <w:vAlign w:val="bottom"/>
            <w:vMerge w:val="restart"/>
          </w:tcPr>
          <w:p>
            <w:pPr>
              <w:ind w:left="20"/>
              <w:spacing w:after="0"/>
              <w:rPr>
                <w:sz w:val="20"/>
                <w:szCs w:val="20"/>
                <w:color w:val="auto"/>
              </w:rPr>
            </w:pPr>
            <w:r>
              <w:rPr>
                <w:rFonts w:ascii="Arial" w:cs="Arial" w:eastAsia="Arial" w:hAnsi="Arial"/>
                <w:sz w:val="15"/>
                <w:szCs w:val="15"/>
                <w:color w:val="auto"/>
              </w:rPr>
              <w:t>9:30 a.m. Central European Time</w:t>
            </w:r>
          </w:p>
        </w:tc>
        <w:tc>
          <w:tcPr>
            <w:tcW w:w="1500" w:type="dxa"/>
            <w:vAlign w:val="bottom"/>
          </w:tcPr>
          <w:p>
            <w:pPr>
              <w:ind w:left="1460"/>
              <w:spacing w:after="0" w:line="151"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32"/>
        </w:trPr>
        <w:tc>
          <w:tcPr>
            <w:tcW w:w="680" w:type="dxa"/>
            <w:vAlign w:val="bottom"/>
          </w:tcPr>
          <w:p>
            <w:pPr>
              <w:spacing w:after="0" w:line="133" w:lineRule="exact"/>
              <w:rPr>
                <w:sz w:val="20"/>
                <w:szCs w:val="20"/>
                <w:color w:val="auto"/>
              </w:rPr>
            </w:pPr>
            <w:r>
              <w:rPr>
                <w:rFonts w:ascii="Arial" w:cs="Arial" w:eastAsia="Arial" w:hAnsi="Arial"/>
                <w:sz w:val="15"/>
                <w:szCs w:val="15"/>
                <w:b w:val="1"/>
                <w:bCs w:val="1"/>
                <w:color w:val="auto"/>
              </w:rPr>
              <w:t>Time:</w:t>
            </w:r>
          </w:p>
        </w:tc>
        <w:tc>
          <w:tcPr>
            <w:tcW w:w="160" w:type="dxa"/>
            <w:vAlign w:val="bottom"/>
          </w:tcPr>
          <w:p>
            <w:pPr>
              <w:spacing w:after="0"/>
              <w:rPr>
                <w:sz w:val="11"/>
                <w:szCs w:val="11"/>
                <w:color w:val="auto"/>
              </w:rPr>
            </w:pPr>
          </w:p>
        </w:tc>
        <w:tc>
          <w:tcPr>
            <w:tcW w:w="398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80" w:type="dxa"/>
            <w:vAlign w:val="bottom"/>
          </w:tcPr>
          <w:p>
            <w:pPr>
              <w:spacing w:after="0" w:line="151" w:lineRule="exact"/>
              <w:rPr>
                <w:sz w:val="20"/>
                <w:szCs w:val="20"/>
                <w:color w:val="auto"/>
              </w:rPr>
            </w:pPr>
            <w:r>
              <w:rPr>
                <w:rFonts w:ascii="Arial" w:cs="Arial" w:eastAsia="Arial" w:hAnsi="Arial"/>
                <w:sz w:val="15"/>
                <w:szCs w:val="15"/>
                <w:color w:val="auto"/>
              </w:rPr>
              <w:t>​</w:t>
            </w:r>
          </w:p>
        </w:tc>
        <w:tc>
          <w:tcPr>
            <w:tcW w:w="160" w:type="dxa"/>
            <w:vAlign w:val="bottom"/>
          </w:tcPr>
          <w:p>
            <w:pPr>
              <w:spacing w:after="0" w:line="151" w:lineRule="exact"/>
              <w:rPr>
                <w:sz w:val="20"/>
                <w:szCs w:val="20"/>
                <w:color w:val="auto"/>
              </w:rPr>
            </w:pPr>
            <w:r>
              <w:rPr>
                <w:rFonts w:ascii="Arial" w:cs="Arial" w:eastAsia="Arial" w:hAnsi="Arial"/>
                <w:sz w:val="15"/>
                <w:szCs w:val="15"/>
                <w:color w:val="auto"/>
              </w:rPr>
              <w:t>​ ​</w:t>
            </w:r>
          </w:p>
        </w:tc>
        <w:tc>
          <w:tcPr>
            <w:tcW w:w="3980" w:type="dxa"/>
            <w:vAlign w:val="bottom"/>
            <w:vMerge w:val="restart"/>
          </w:tcPr>
          <w:p>
            <w:pPr>
              <w:ind w:left="20"/>
              <w:spacing w:after="0"/>
              <w:rPr>
                <w:sz w:val="20"/>
                <w:szCs w:val="20"/>
                <w:color w:val="auto"/>
              </w:rPr>
            </w:pPr>
            <w:r>
              <w:rPr>
                <w:rFonts w:ascii="Arial" w:cs="Arial" w:eastAsia="Arial" w:hAnsi="Arial"/>
                <w:sz w:val="15"/>
                <w:szCs w:val="15"/>
                <w:color w:val="auto"/>
              </w:rPr>
              <w:t>Altisource Portfolio Solutions S.A.</w:t>
            </w:r>
          </w:p>
        </w:tc>
        <w:tc>
          <w:tcPr>
            <w:tcW w:w="1500" w:type="dxa"/>
            <w:vAlign w:val="bottom"/>
          </w:tcPr>
          <w:p>
            <w:pPr>
              <w:ind w:left="1460"/>
              <w:spacing w:after="0" w:line="15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01"/>
        </w:trPr>
        <w:tc>
          <w:tcPr>
            <w:tcW w:w="680" w:type="dxa"/>
            <w:vAlign w:val="bottom"/>
          </w:tcPr>
          <w:p>
            <w:pPr>
              <w:spacing w:after="0" w:line="101" w:lineRule="exact"/>
              <w:rPr>
                <w:sz w:val="20"/>
                <w:szCs w:val="20"/>
                <w:color w:val="auto"/>
              </w:rPr>
            </w:pPr>
            <w:r>
              <w:rPr>
                <w:rFonts w:ascii="Arial" w:cs="Arial" w:eastAsia="Arial" w:hAnsi="Arial"/>
                <w:sz w:val="11"/>
                <w:szCs w:val="11"/>
                <w:b w:val="1"/>
                <w:bCs w:val="1"/>
                <w:color w:val="auto"/>
              </w:rPr>
              <w:t>Location:</w:t>
            </w:r>
          </w:p>
        </w:tc>
        <w:tc>
          <w:tcPr>
            <w:tcW w:w="160" w:type="dxa"/>
            <w:vAlign w:val="bottom"/>
          </w:tcPr>
          <w:p>
            <w:pPr>
              <w:spacing w:after="0"/>
              <w:rPr>
                <w:sz w:val="8"/>
                <w:szCs w:val="8"/>
                <w:color w:val="auto"/>
              </w:rPr>
            </w:pPr>
          </w:p>
        </w:tc>
        <w:tc>
          <w:tcPr>
            <w:tcW w:w="398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2220"/>
        <w:spacing w:after="0" w:line="236" w:lineRule="auto"/>
        <w:rPr>
          <w:sz w:val="20"/>
          <w:szCs w:val="20"/>
          <w:color w:val="auto"/>
        </w:rPr>
      </w:pPr>
      <w:r>
        <w:rPr>
          <w:rFonts w:ascii="Arial" w:cs="Arial" w:eastAsia="Arial" w:hAnsi="Arial"/>
          <w:sz w:val="15"/>
          <w:szCs w:val="15"/>
          <w:color w:val="auto"/>
        </w:rPr>
        <w:t>33, Boulevard Prince Henri</w:t>
      </w:r>
    </w:p>
    <w:p>
      <w:pPr>
        <w:ind w:left="2220"/>
        <w:spacing w:after="0"/>
        <w:rPr>
          <w:sz w:val="20"/>
          <w:szCs w:val="20"/>
          <w:color w:val="auto"/>
        </w:rPr>
      </w:pPr>
      <w:r>
        <w:rPr>
          <w:rFonts w:ascii="Arial" w:cs="Arial" w:eastAsia="Arial" w:hAnsi="Arial"/>
          <w:sz w:val="15"/>
          <w:szCs w:val="15"/>
          <w:color w:val="auto"/>
        </w:rPr>
        <w:t>L-1724 Luxembourg City</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5"/>
          <w:szCs w:val="15"/>
          <w:color w:val="auto"/>
        </w:rPr>
        <w:t>Grand Duchy of Luxembourg</w:t>
      </w:r>
    </w:p>
    <w:p>
      <w:pPr>
        <w:spacing w:after="0" w:line="198" w:lineRule="exact"/>
        <w:rPr>
          <w:sz w:val="20"/>
          <w:szCs w:val="20"/>
          <w:color w:val="auto"/>
        </w:rPr>
      </w:pPr>
    </w:p>
    <w:p>
      <w:pPr>
        <w:ind w:left="1060"/>
        <w:spacing w:after="0"/>
        <w:rPr>
          <w:sz w:val="20"/>
          <w:szCs w:val="20"/>
          <w:color w:val="auto"/>
        </w:rPr>
      </w:pPr>
      <w:r>
        <w:rPr>
          <w:rFonts w:ascii="Arial" w:cs="Arial" w:eastAsia="Arial" w:hAnsi="Arial"/>
          <w:sz w:val="15"/>
          <w:szCs w:val="15"/>
          <w:b w:val="1"/>
          <w:bCs w:val="1"/>
          <w:u w:val="single" w:color="auto"/>
          <w:color w:val="auto"/>
        </w:rPr>
        <w:t>PURPOSE</w:t>
      </w:r>
    </w:p>
    <w:p>
      <w:pPr>
        <w:spacing w:after="0" w:line="99" w:lineRule="exact"/>
        <w:rPr>
          <w:sz w:val="20"/>
          <w:szCs w:val="20"/>
          <w:color w:val="auto"/>
        </w:rPr>
      </w:pPr>
    </w:p>
    <w:p>
      <w:pPr>
        <w:ind w:left="1520" w:right="1099" w:hanging="153"/>
        <w:spacing w:after="0" w:line="255" w:lineRule="auto"/>
        <w:tabs>
          <w:tab w:leader="none" w:pos="15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To approve an amendment to Article 5 of the Company’s Amended and Restated Articles of Incorporation (the “Articles”) to consolidate eighty-eight million nine hundred fifty-one thousand nine hundred twenty-five (88,951,925) shares of the Company’s common stock without designation of nominal value into eleven million one hundred eighteen thousand nine hundred ninety (11,118,990) shares of the Company’s common stock without designation of nominal value, on the basis of a ratio of one</w:t>
      </w:r>
    </w:p>
    <w:p>
      <w:pPr>
        <w:ind w:left="1520"/>
        <w:spacing w:after="0"/>
        <w:rPr>
          <w:rFonts w:ascii="Arial" w:cs="Arial" w:eastAsia="Arial" w:hAnsi="Arial"/>
          <w:sz w:val="15"/>
          <w:szCs w:val="15"/>
          <w:color w:val="auto"/>
        </w:rPr>
      </w:pPr>
      <w:r>
        <w:rPr>
          <w:rFonts w:ascii="Arial" w:cs="Arial" w:eastAsia="Arial" w:hAnsi="Arial"/>
          <w:sz w:val="15"/>
          <w:szCs w:val="15"/>
          <w:color w:val="auto"/>
        </w:rPr>
        <w:t>(1) post-consolidation share of the Company’s common stock for every eight</w:t>
      </w:r>
    </w:p>
    <w:p>
      <w:pPr>
        <w:spacing w:after="0" w:line="9" w:lineRule="exact"/>
        <w:rPr>
          <w:sz w:val="20"/>
          <w:szCs w:val="20"/>
          <w:color w:val="auto"/>
        </w:rPr>
      </w:pPr>
    </w:p>
    <w:p>
      <w:pPr>
        <w:ind w:left="1520" w:right="1179"/>
        <w:spacing w:after="0" w:line="260" w:lineRule="auto"/>
        <w:rPr>
          <w:sz w:val="20"/>
          <w:szCs w:val="20"/>
          <w:color w:val="auto"/>
        </w:rPr>
      </w:pPr>
      <w:r>
        <w:rPr>
          <w:rFonts w:ascii="Arial" w:cs="Arial" w:eastAsia="Arial" w:hAnsi="Arial"/>
          <w:sz w:val="15"/>
          <w:szCs w:val="15"/>
          <w:color w:val="auto"/>
        </w:rPr>
        <w:t>(8) outstanding pre-consolidation shares of the Company’s common stock (the “Share Consolidation”), and to authorize the Board of Directors of the Company to proceed with all formalities to effect the Share Consolidation;</w:t>
      </w:r>
    </w:p>
    <w:p>
      <w:pPr>
        <w:spacing w:after="0" w:line="47" w:lineRule="exact"/>
        <w:rPr>
          <w:sz w:val="20"/>
          <w:szCs w:val="20"/>
          <w:color w:val="auto"/>
        </w:rPr>
      </w:pPr>
    </w:p>
    <w:p>
      <w:pPr>
        <w:ind w:left="1520" w:right="1119" w:hanging="153"/>
        <w:spacing w:after="0" w:line="255" w:lineRule="auto"/>
        <w:tabs>
          <w:tab w:leader="none" w:pos="1520" w:val="left"/>
        </w:tabs>
        <w:numPr>
          <w:ilvl w:val="0"/>
          <w:numId w:val="9"/>
        </w:numPr>
        <w:rPr>
          <w:rFonts w:ascii="Arial" w:cs="Arial" w:eastAsia="Arial" w:hAnsi="Arial"/>
          <w:sz w:val="15"/>
          <w:szCs w:val="15"/>
          <w:color w:val="auto"/>
        </w:rPr>
      </w:pPr>
      <w:r>
        <w:rPr>
          <w:rFonts w:ascii="Arial" w:cs="Arial" w:eastAsia="Arial" w:hAnsi="Arial"/>
          <w:sz w:val="15"/>
          <w:szCs w:val="15"/>
          <w:color w:val="auto"/>
        </w:rPr>
        <w:t>To approve an amendment to Article 5 of the Articles to decrease the share capital of the Company by an amount of seven hundred seventy-eight thousand three hundred twenty-nine dollars and thirty-five cents (USD 778,329.35) without cancellation of the outstanding Company’s common stock post-consolidation, by decreasing the par value of the existing shares of the Company’s common stock, in order to bring the share capital of the Company from its current amount of eight hundred eighty-nine thousand five hundred nineteen dollars and twenty-five cents (USD 889,519.25) to an amount of one hundred eleven thousand one hundred eighty-nine dollars and ninety cents (USD 111,189.90) represented by eleven million one hundred eighteen thousand nine hundred ninety (11,118,990) shares of the Company’s common stock without designation of nominal value, and by allocating such amount deriving from the share capital decrease to the share premium account of the Company;</w:t>
      </w:r>
    </w:p>
    <w:p>
      <w:pPr>
        <w:spacing w:after="0" w:line="235" w:lineRule="exact"/>
        <w:rPr>
          <w:rFonts w:ascii="Arial" w:cs="Arial" w:eastAsia="Arial" w:hAnsi="Arial"/>
          <w:sz w:val="15"/>
          <w:szCs w:val="15"/>
          <w:color w:val="auto"/>
        </w:rPr>
      </w:pPr>
    </w:p>
    <w:p>
      <w:pPr>
        <w:ind w:left="1520" w:right="1279" w:hanging="153"/>
        <w:spacing w:after="0" w:line="277" w:lineRule="auto"/>
        <w:tabs>
          <w:tab w:leader="none" w:pos="1520" w:val="left"/>
        </w:tabs>
        <w:numPr>
          <w:ilvl w:val="0"/>
          <w:numId w:val="9"/>
        </w:numPr>
        <w:rPr>
          <w:rFonts w:ascii="Arial" w:cs="Arial" w:eastAsia="Arial" w:hAnsi="Arial"/>
          <w:sz w:val="15"/>
          <w:szCs w:val="15"/>
          <w:color w:val="auto"/>
        </w:rPr>
      </w:pPr>
      <w:r>
        <w:rPr>
          <w:rFonts w:ascii="Arial" w:cs="Arial" w:eastAsia="Arial" w:hAnsi="Arial"/>
          <w:sz w:val="15"/>
          <w:szCs w:val="15"/>
          <w:color w:val="auto"/>
        </w:rPr>
        <w:t>To approve amendments to Articles 20 and 23 of the Articles to establish a minimum quorum requirement of at least thirty-three and one-third percent (33</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for all general meetings of shareholders per Nasdaq Stock Market Rule 5620(c);</w:t>
      </w:r>
    </w:p>
    <w:p>
      <w:pPr>
        <w:spacing w:after="0" w:line="47" w:lineRule="exact"/>
        <w:rPr>
          <w:rFonts w:ascii="Arial" w:cs="Arial" w:eastAsia="Arial" w:hAnsi="Arial"/>
          <w:sz w:val="15"/>
          <w:szCs w:val="15"/>
          <w:color w:val="auto"/>
        </w:rPr>
      </w:pPr>
    </w:p>
    <w:p>
      <w:pPr>
        <w:ind w:left="1520" w:right="1799" w:hanging="153"/>
        <w:spacing w:after="0" w:line="288" w:lineRule="auto"/>
        <w:tabs>
          <w:tab w:leader="none" w:pos="1520" w:val="left"/>
        </w:tabs>
        <w:numPr>
          <w:ilvl w:val="0"/>
          <w:numId w:val="9"/>
        </w:numPr>
        <w:rPr>
          <w:rFonts w:ascii="Arial" w:cs="Arial" w:eastAsia="Arial" w:hAnsi="Arial"/>
          <w:sz w:val="15"/>
          <w:szCs w:val="15"/>
          <w:color w:val="auto"/>
        </w:rPr>
      </w:pPr>
      <w:r>
        <w:rPr>
          <w:rFonts w:ascii="Arial" w:cs="Arial" w:eastAsia="Arial" w:hAnsi="Arial"/>
          <w:sz w:val="15"/>
          <w:szCs w:val="15"/>
          <w:color w:val="auto"/>
        </w:rPr>
        <w:t>To approve minor administrative updates to the Articles to streamline internal governance processes; and</w:t>
      </w:r>
    </w:p>
    <w:p>
      <w:pPr>
        <w:spacing w:after="0" w:line="27" w:lineRule="exact"/>
        <w:rPr>
          <w:rFonts w:ascii="Arial" w:cs="Arial" w:eastAsia="Arial" w:hAnsi="Arial"/>
          <w:sz w:val="15"/>
          <w:szCs w:val="15"/>
          <w:color w:val="auto"/>
        </w:rPr>
      </w:pPr>
    </w:p>
    <w:p>
      <w:pPr>
        <w:ind w:left="1520" w:right="1619" w:hanging="153"/>
        <w:spacing w:after="0" w:line="288" w:lineRule="auto"/>
        <w:tabs>
          <w:tab w:leader="none" w:pos="1520" w:val="left"/>
        </w:tabs>
        <w:numPr>
          <w:ilvl w:val="0"/>
          <w:numId w:val="9"/>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Extraordinary Meeting and any adjournment or postponement thereof.</w:t>
      </w:r>
    </w:p>
    <w:p>
      <w:pPr>
        <w:spacing w:after="0" w:line="1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u w:val="single" w:color="auto"/>
          <w:color w:val="auto"/>
        </w:rPr>
        <w:t>PROCEDURES</w:t>
      </w:r>
    </w:p>
    <w:p>
      <w:pPr>
        <w:spacing w:after="0" w:line="92" w:lineRule="exact"/>
        <w:rPr>
          <w:sz w:val="20"/>
          <w:szCs w:val="20"/>
          <w:color w:val="auto"/>
        </w:rPr>
      </w:pPr>
    </w:p>
    <w:p>
      <w:pPr>
        <w:ind w:left="1520" w:right="1419" w:hanging="153"/>
        <w:spacing w:after="0" w:line="279" w:lineRule="auto"/>
        <w:tabs>
          <w:tab w:leader="none" w:pos="15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Board of Directors has fixed March 17, 2025 as the record date for the determination of shareholders entitled to notice of and to vote at the Extraordinary Meeting.</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 w:name="page6"/>
    <w:bookmarkEnd w:id="5"/>
    <w:p>
      <w:pPr>
        <w:ind w:left="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right="1419" w:hanging="153"/>
        <w:spacing w:after="0" w:line="288" w:lineRule="auto"/>
        <w:tabs>
          <w:tab w:leader="none" w:pos="15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Only shareholders as of the close of business on the record date will be eligible to vote at the Extraordinary Meeting.</w:t>
      </w:r>
    </w:p>
    <w:p>
      <w:pPr>
        <w:spacing w:after="0" w:line="38" w:lineRule="exact"/>
        <w:rPr>
          <w:rFonts w:ascii="Arial" w:cs="Arial" w:eastAsia="Arial" w:hAnsi="Arial"/>
          <w:sz w:val="15"/>
          <w:szCs w:val="15"/>
          <w:color w:val="auto"/>
        </w:rPr>
      </w:pPr>
    </w:p>
    <w:p>
      <w:pPr>
        <w:ind w:left="1520" w:right="1159" w:hanging="153"/>
        <w:spacing w:after="0" w:line="256" w:lineRule="auto"/>
        <w:tabs>
          <w:tab w:leader="none" w:pos="15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 order to be admitted to the Extraordinary Meeting, shareholders must present proof of ownership as of the record date and valid government-issued photo identification. Shareholders holding shares in “street name” through a bank or broker, must also obtain a “legal proxy” from the holder of record to vote at the Extraordinary Meeting.</w:t>
      </w:r>
    </w:p>
    <w:p>
      <w:pPr>
        <w:spacing w:after="0" w:line="2" w:lineRule="exact"/>
        <w:rPr>
          <w:rFonts w:ascii="Arial" w:cs="Arial" w:eastAsia="Arial" w:hAnsi="Arial"/>
          <w:sz w:val="15"/>
          <w:szCs w:val="15"/>
          <w:color w:val="auto"/>
        </w:rPr>
      </w:pPr>
    </w:p>
    <w:p>
      <w:pPr>
        <w:ind w:left="1520" w:right="1079"/>
        <w:spacing w:after="0" w:line="260" w:lineRule="auto"/>
        <w:rPr>
          <w:rFonts w:ascii="Arial" w:cs="Arial" w:eastAsia="Arial" w:hAnsi="Arial"/>
          <w:sz w:val="15"/>
          <w:szCs w:val="15"/>
          <w:color w:val="auto"/>
        </w:rPr>
      </w:pPr>
      <w:r>
        <w:rPr>
          <w:rFonts w:ascii="Arial" w:cs="Arial" w:eastAsia="Arial" w:hAnsi="Arial"/>
          <w:sz w:val="15"/>
          <w:szCs w:val="15"/>
          <w:b w:val="1"/>
          <w:bCs w:val="1"/>
          <w:color w:val="auto"/>
        </w:rPr>
        <w:t xml:space="preserve">Shareholders are encouraged to vote in advance of the Extraordinary Meeting to ensure their vote is counted even if they are unable to attend in person. </w:t>
      </w:r>
      <w:r>
        <w:rPr>
          <w:rFonts w:ascii="Arial" w:cs="Arial" w:eastAsia="Arial" w:hAnsi="Arial"/>
          <w:sz w:val="15"/>
          <w:szCs w:val="15"/>
          <w:color w:val="auto"/>
        </w:rPr>
        <w:t>Instructions for voting in</w:t>
      </w:r>
      <w:r>
        <w:rPr>
          <w:rFonts w:ascii="Arial" w:cs="Arial" w:eastAsia="Arial" w:hAnsi="Arial"/>
          <w:sz w:val="15"/>
          <w:szCs w:val="15"/>
          <w:b w:val="1"/>
          <w:bCs w:val="1"/>
          <w:color w:val="auto"/>
        </w:rPr>
        <w:t xml:space="preserve"> </w:t>
      </w:r>
      <w:r>
        <w:rPr>
          <w:rFonts w:ascii="Arial" w:cs="Arial" w:eastAsia="Arial" w:hAnsi="Arial"/>
          <w:sz w:val="15"/>
          <w:szCs w:val="15"/>
          <w:color w:val="auto"/>
        </w:rPr>
        <w:t>advance are included in the accompanying materials.</w:t>
      </w:r>
    </w:p>
    <w:p>
      <w:pPr>
        <w:spacing w:after="0" w:line="58" w:lineRule="exact"/>
        <w:rPr>
          <w:rFonts w:ascii="Arial" w:cs="Arial" w:eastAsia="Arial" w:hAnsi="Arial"/>
          <w:sz w:val="15"/>
          <w:szCs w:val="15"/>
          <w:color w:val="auto"/>
        </w:rPr>
      </w:pPr>
    </w:p>
    <w:p>
      <w:pPr>
        <w:ind w:left="1520" w:right="1099" w:hanging="153"/>
        <w:spacing w:after="0" w:line="257" w:lineRule="auto"/>
        <w:tabs>
          <w:tab w:leader="none" w:pos="15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 xml:space="preserve">The joint proxy statement for our Extraordinary General Meeting and Annual General Meeting of Shareholders (the “proxy statement”) will be available on our website under Investor Relations—Financial​ Information at </w:t>
      </w:r>
      <w:r>
        <w:rPr>
          <w:rFonts w:ascii="Arial" w:cs="Arial" w:eastAsia="Arial" w:hAnsi="Arial"/>
          <w:sz w:val="15"/>
          <w:szCs w:val="15"/>
          <w:u w:val="single" w:color="auto"/>
          <w:color w:val="auto"/>
        </w:rPr>
        <w:t>https://ir.altisource.com/financial-information</w:t>
      </w:r>
      <w:r>
        <w:rPr>
          <w:rFonts w:ascii="Arial" w:cs="Arial" w:eastAsia="Arial" w:hAnsi="Arial"/>
          <w:sz w:val="15"/>
          <w:szCs w:val="15"/>
          <w:color w:val="auto"/>
        </w:rPr>
        <w:t xml:space="preserve">. In accordance with the rules of the U.S. Securities and Exchange Commission, you may also access our proxy statement at </w:t>
      </w:r>
      <w:r>
        <w:rPr>
          <w:rFonts w:ascii="Arial" w:cs="Arial" w:eastAsia="Arial" w:hAnsi="Arial"/>
          <w:sz w:val="15"/>
          <w:szCs w:val="15"/>
          <w:u w:val="single" w:color="auto"/>
          <w:color w:val="auto"/>
        </w:rPr>
        <w:t>www.proxyvote.com</w:t>
      </w:r>
      <w:r>
        <w:rPr>
          <w:rFonts w:ascii="Arial" w:cs="Arial" w:eastAsia="Arial" w:hAnsi="Arial"/>
          <w:sz w:val="15"/>
          <w:szCs w:val="15"/>
          <w:color w:val="auto"/>
        </w:rPr>
        <w:t>, a website that does not identify or track visitors to the site, by entering the Control Number provided in the Notice and Access Card, proxy card or email notification, as applicable.</w:t>
      </w:r>
    </w:p>
    <w:p>
      <w:pPr>
        <w:spacing w:after="0" w:line="245" w:lineRule="exact"/>
        <w:rPr>
          <w:rFonts w:ascii="Arial" w:cs="Arial" w:eastAsia="Arial" w:hAnsi="Arial"/>
          <w:sz w:val="15"/>
          <w:szCs w:val="15"/>
          <w:color w:val="auto"/>
        </w:rPr>
      </w:pPr>
    </w:p>
    <w:p>
      <w:pPr>
        <w:ind w:left="1520" w:right="1139" w:hanging="153"/>
        <w:spacing w:after="0" w:line="259" w:lineRule="auto"/>
        <w:tabs>
          <w:tab w:leader="none" w:pos="15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presence at the Extraordinary Meeting of holders of at least 50% of the issued and outstanding shares of common stock able to be voted, whether represented in person or by proxy, will constitute a quorum for the transaction of business at the Extraordinary Meeting. If the quorum of at least 50% is not met, in accordance with Luxembourg law, we will hold a second extraordinary meeting with at least 15 days prior notice, in lieu of an adjourned, postponed or rescheduled meeting. At the second extraordinary meeting, a quorum of at least 33</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our issued and outstanding shares of common stock able to be voted shall apply.</w:t>
      </w:r>
    </w:p>
    <w:p>
      <w:pPr>
        <w:spacing w:after="0" w:line="246" w:lineRule="exact"/>
        <w:rPr>
          <w:rFonts w:ascii="Arial" w:cs="Arial" w:eastAsia="Arial" w:hAnsi="Arial"/>
          <w:sz w:val="15"/>
          <w:szCs w:val="15"/>
          <w:color w:val="auto"/>
        </w:rPr>
      </w:pPr>
    </w:p>
    <w:p>
      <w:pPr>
        <w:ind w:left="1520" w:right="1599" w:hanging="153"/>
        <w:spacing w:after="0" w:line="287" w:lineRule="auto"/>
        <w:tabs>
          <w:tab w:leader="none" w:pos="15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following documents will be available at the Company’s registered office for inspection by shareholders and copies are available upon request:</w:t>
      </w:r>
    </w:p>
    <w:p>
      <w:pPr>
        <w:spacing w:after="0" w:line="74"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—the present convening notice</w:t>
      </w:r>
    </w:p>
    <w:p>
      <w:pPr>
        <w:spacing w:after="0" w:line="133" w:lineRule="exact"/>
        <w:rPr>
          <w:sz w:val="20"/>
          <w:szCs w:val="20"/>
          <w:color w:val="auto"/>
        </w:rPr>
      </w:pPr>
    </w:p>
    <w:p>
      <w:pPr>
        <w:ind w:left="1800" w:right="1539" w:hanging="135"/>
        <w:spacing w:after="0" w:line="287" w:lineRule="auto"/>
        <w:rPr>
          <w:sz w:val="20"/>
          <w:szCs w:val="20"/>
          <w:color w:val="auto"/>
        </w:rPr>
      </w:pPr>
      <w:r>
        <w:rPr>
          <w:rFonts w:ascii="Arial" w:cs="Arial" w:eastAsia="Arial" w:hAnsi="Arial"/>
          <w:sz w:val="15"/>
          <w:szCs w:val="15"/>
          <w:color w:val="auto"/>
        </w:rPr>
        <w:t>—the draft resolutions of the Extraordinary Meeting, which reflect the proposed amendments to the Articles of Incorporation of the Company</w:t>
      </w:r>
    </w:p>
    <w:p>
      <w:pPr>
        <w:spacing w:after="0" w:line="63"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—the draft power of attorney</w:t>
      </w:r>
    </w:p>
    <w:p>
      <w:pPr>
        <w:spacing w:after="0" w:line="133"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 xml:space="preserve">Any such request should be made to </w:t>
      </w:r>
      <w:r>
        <w:rPr>
          <w:rFonts w:ascii="Arial" w:cs="Arial" w:eastAsia="Arial" w:hAnsi="Arial"/>
          <w:sz w:val="15"/>
          <w:szCs w:val="15"/>
          <w:u w:val="single" w:color="auto"/>
          <w:color w:val="auto"/>
        </w:rPr>
        <w:t>CorporateSecretary@altisource.com</w:t>
      </w:r>
      <w:r>
        <w:rPr>
          <w:rFonts w:ascii="Arial" w:cs="Arial" w:eastAsia="Arial" w:hAnsi="Arial"/>
          <w:sz w:val="15"/>
          <w:szCs w:val="15"/>
          <w:color w:val="auto"/>
        </w:rPr>
        <w:t>.</w:t>
      </w:r>
    </w:p>
    <w:p>
      <w:pPr>
        <w:spacing w:after="0" w:line="280"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By authorization of our Board of Directors,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Gregory J. Ritts</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Corporate Secretary</w:t>
      </w:r>
    </w:p>
    <w:p>
      <w:pPr>
        <w:spacing w:after="0" w:line="221"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March 31, 2025</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Luxembourg City, Grand Duchy of Luxembourg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 w:name="page7"/>
    <w:bookmarkEnd w:id="6"/>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ALTISOURCE PORTFOLIO SOLUTIONS S.A.</w:t>
      </w:r>
    </w:p>
    <w:p>
      <w:pPr>
        <w:spacing w:after="0" w:line="99"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PROXY STATEMENT</w:t>
      </w:r>
    </w:p>
    <w:p>
      <w:pPr>
        <w:spacing w:after="0" w:line="99"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TABLE OF CONTENTS</w:t>
      </w:r>
    </w:p>
    <w:p>
      <w:pPr>
        <w:spacing w:after="0" w:line="174" w:lineRule="exact"/>
        <w:rPr>
          <w:sz w:val="20"/>
          <w:szCs w:val="20"/>
          <w:color w:val="auto"/>
        </w:rPr>
      </w:pPr>
    </w:p>
    <w:tbl>
      <w:tblPr>
        <w:tblLayout w:type="fixed"/>
        <w:tblInd w:w="10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gridSpan w:val="4"/>
          </w:tcPr>
          <w:p>
            <w:pPr>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24"/>
        </w:trPr>
        <w:tc>
          <w:tcPr>
            <w:tcW w:w="1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60" w:type="dxa"/>
            <w:vAlign w:val="bottom"/>
            <w:tcBorders>
              <w:top w:val="single" w:sz="8" w:color="CCEEFF"/>
              <w:bottom w:val="single" w:sz="8" w:color="0000EE"/>
            </w:tcBorders>
            <w:gridSpan w:val="4"/>
            <w:shd w:val="clear" w:color="auto" w:fill="CCEEFF"/>
          </w:tcPr>
          <w:p>
            <w:pPr>
              <w:spacing w:after="0"/>
              <w:rPr>
                <w:sz w:val="20"/>
                <w:szCs w:val="20"/>
                <w:color w:val="auto"/>
              </w:rPr>
            </w:pPr>
            <w:r>
              <w:rPr>
                <w:rFonts w:ascii="Arial" w:cs="Arial" w:eastAsia="Arial" w:hAnsi="Arial"/>
                <w:sz w:val="15"/>
                <w:szCs w:val="15"/>
                <w:color w:val="0000EE"/>
              </w:rPr>
              <w:t>Proxy Summary</w:t>
            </w:r>
          </w:p>
        </w:tc>
        <w:tc>
          <w:tcPr>
            <w:tcW w:w="4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2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28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6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6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20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4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12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4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8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8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22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4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4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12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2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4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2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22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4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4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8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12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2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20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6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10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16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14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28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4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28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6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10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146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1580" w:type="dxa"/>
            <w:vAlign w:val="bottom"/>
            <w:tcBorders>
              <w:top w:val="single" w:sz="8" w:color="CCEEFF"/>
              <w:bottom w:val="single" w:sz="8" w:color="CCEEFF"/>
            </w:tcBorders>
            <w:vMerge w:val="restart"/>
            <w:shd w:val="clear" w:color="auto" w:fill="CCEEFF"/>
          </w:tcPr>
          <w:p>
            <w:pPr>
              <w:spacing w:after="0"/>
              <w:rPr>
                <w:sz w:val="16"/>
                <w:szCs w:val="16"/>
                <w:color w:val="auto"/>
              </w:rPr>
            </w:pPr>
          </w:p>
        </w:tc>
        <w:tc>
          <w:tcPr>
            <w:tcW w:w="140" w:type="dxa"/>
            <w:vAlign w:val="bottom"/>
            <w:tcBorders>
              <w:top w:val="single" w:sz="8" w:color="auto"/>
              <w:bottom w:val="single" w:sz="8" w:color="auto"/>
            </w:tcBorders>
            <w:vMerge w:val="restart"/>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auto"/>
              <w:bottom w:val="single" w:sz="8" w:color="auto"/>
            </w:tcBorders>
            <w:vMerge w:val="restart"/>
            <w:shd w:val="clear" w:color="auto" w:fill="CCEEFF"/>
          </w:tcPr>
          <w:p>
            <w:pPr>
              <w:spacing w:after="0"/>
              <w:rPr>
                <w:sz w:val="16"/>
                <w:szCs w:val="16"/>
                <w:color w:val="auto"/>
              </w:rPr>
            </w:pPr>
          </w:p>
        </w:tc>
        <w:tc>
          <w:tcPr>
            <w:tcW w:w="120" w:type="dxa"/>
            <w:vAlign w:val="bottom"/>
            <w:tcBorders>
              <w:top w:val="single" w:sz="8" w:color="auto"/>
              <w:bottom w:val="single" w:sz="8" w:color="0000EE"/>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0000EE"/>
                <w:w w:val="71"/>
              </w:rPr>
              <w:t>8</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72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460" w:type="dxa"/>
            <w:vAlign w:val="bottom"/>
            <w:tcBorders>
              <w:bottom w:val="single" w:sz="8" w:color="CCEEFF"/>
            </w:tcBorders>
            <w:vMerge w:val="continue"/>
            <w:shd w:val="clear" w:color="auto" w:fill="CCEEFF"/>
          </w:tcPr>
          <w:p>
            <w:pPr>
              <w:spacing w:after="0"/>
              <w:rPr>
                <w:sz w:val="2"/>
                <w:szCs w:val="2"/>
                <w:color w:val="auto"/>
              </w:rPr>
            </w:pPr>
          </w:p>
        </w:tc>
        <w:tc>
          <w:tcPr>
            <w:tcW w:w="158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right w:val="single" w:sz="8" w:color="CCEEFF"/>
            </w:tcBorders>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1460" w:type="dxa"/>
            <w:vAlign w:val="bottom"/>
            <w:tcBorders>
              <w:bottom w:val="single" w:sz="8" w:color="0000EE"/>
            </w:tcBorders>
            <w:gridSpan w:val="7"/>
          </w:tcPr>
          <w:p>
            <w:pPr>
              <w:spacing w:after="0"/>
              <w:rPr>
                <w:sz w:val="20"/>
                <w:szCs w:val="20"/>
                <w:color w:val="auto"/>
              </w:rPr>
            </w:pPr>
            <w:r>
              <w:rPr>
                <w:rFonts w:ascii="Arial" w:cs="Arial" w:eastAsia="Arial" w:hAnsi="Arial"/>
                <w:sz w:val="15"/>
                <w:szCs w:val="15"/>
                <w:color w:val="0000EE"/>
              </w:rPr>
              <w:t>Meeting Information</w:t>
            </w:r>
          </w:p>
        </w:tc>
        <w:tc>
          <w:tcPr>
            <w:tcW w:w="20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22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0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6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28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28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460" w:type="dxa"/>
            <w:vAlign w:val="bottom"/>
            <w:vMerge w:val="restart"/>
          </w:tcPr>
          <w:p>
            <w:pPr>
              <w:spacing w:after="0"/>
              <w:rPr>
                <w:sz w:val="16"/>
                <w:szCs w:val="16"/>
                <w:color w:val="auto"/>
              </w:rPr>
            </w:pPr>
          </w:p>
        </w:tc>
        <w:tc>
          <w:tcPr>
            <w:tcW w:w="1580" w:type="dxa"/>
            <w:vAlign w:val="bottom"/>
            <w:vMerge w:val="restart"/>
          </w:tcPr>
          <w:p>
            <w:pPr>
              <w:spacing w:after="0"/>
              <w:rPr>
                <w:sz w:val="16"/>
                <w:szCs w:val="16"/>
                <w:color w:val="auto"/>
              </w:rPr>
            </w:pPr>
          </w:p>
        </w:tc>
        <w:tc>
          <w:tcPr>
            <w:tcW w:w="14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spacing w:after="0"/>
              <w:rPr>
                <w:sz w:val="16"/>
                <w:szCs w:val="16"/>
                <w:color w:val="auto"/>
              </w:rPr>
            </w:pPr>
          </w:p>
        </w:tc>
        <w:tc>
          <w:tcPr>
            <w:tcW w:w="12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71"/>
              </w:rPr>
              <w:t>8</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158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5920" w:type="dxa"/>
            <w:vAlign w:val="bottom"/>
            <w:tcBorders>
              <w:bottom w:val="single" w:sz="8" w:color="0000EE"/>
            </w:tcBorders>
            <w:gridSpan w:val="37"/>
            <w:shd w:val="clear" w:color="auto" w:fill="CCEEFF"/>
          </w:tcPr>
          <w:p>
            <w:pPr>
              <w:spacing w:after="0" w:line="127" w:lineRule="exact"/>
              <w:rPr>
                <w:sz w:val="20"/>
                <w:szCs w:val="20"/>
                <w:color w:val="auto"/>
              </w:rPr>
            </w:pPr>
            <w:r>
              <w:rPr>
                <w:rFonts w:ascii="Arial" w:cs="Arial" w:eastAsia="Arial" w:hAnsi="Arial"/>
                <w:sz w:val="14"/>
                <w:szCs w:val="14"/>
                <w:color w:val="0000EE"/>
              </w:rPr>
              <w:t>Annual Meeting, Voting Matters and Recommendations of our Board of Directors</w:t>
            </w:r>
          </w:p>
        </w:tc>
        <w:tc>
          <w:tcPr>
            <w:tcW w:w="158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120" w:type="dxa"/>
            <w:vAlign w:val="bottom"/>
            <w:tcBorders>
              <w:bottom w:val="single" w:sz="8" w:color="0000EE"/>
              <w:right w:val="single" w:sz="8" w:color="CCEEFF"/>
            </w:tcBorders>
            <w:shd w:val="clear" w:color="auto" w:fill="CCEEFF"/>
          </w:tcPr>
          <w:p>
            <w:pPr>
              <w:jc w:val="right"/>
              <w:spacing w:after="0" w:line="127" w:lineRule="exact"/>
              <w:rPr>
                <w:sz w:val="20"/>
                <w:szCs w:val="20"/>
                <w:color w:val="auto"/>
              </w:rPr>
            </w:pPr>
            <w:r>
              <w:rPr>
                <w:rFonts w:ascii="Arial" w:cs="Arial" w:eastAsia="Arial" w:hAnsi="Arial"/>
                <w:sz w:val="14"/>
                <w:szCs w:val="14"/>
                <w:color w:val="0000EE"/>
                <w:w w:val="76"/>
              </w:rPr>
              <w:t>8</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720" w:type="dxa"/>
            <w:vAlign w:val="bottom"/>
            <w:tcBorders>
              <w:bottom w:val="single" w:sz="8" w:color="CCEEFF"/>
            </w:tcBorders>
            <w:shd w:val="clear" w:color="auto" w:fill="CCEEFF"/>
          </w:tcPr>
          <w:p>
            <w:pPr>
              <w:spacing w:after="0"/>
              <w:rPr>
                <w:sz w:val="2"/>
                <w:szCs w:val="2"/>
                <w:color w:val="auto"/>
              </w:rPr>
            </w:pPr>
          </w:p>
        </w:tc>
        <w:tc>
          <w:tcPr>
            <w:tcW w:w="32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460" w:type="dxa"/>
            <w:vAlign w:val="bottom"/>
            <w:tcBorders>
              <w:bottom w:val="single" w:sz="8" w:color="CCEEFF"/>
            </w:tcBorders>
            <w:shd w:val="clear" w:color="auto" w:fill="CCEEFF"/>
          </w:tcPr>
          <w:p>
            <w:pPr>
              <w:spacing w:after="0"/>
              <w:rPr>
                <w:sz w:val="2"/>
                <w:szCs w:val="2"/>
                <w:color w:val="auto"/>
              </w:rPr>
            </w:pPr>
          </w:p>
        </w:tc>
        <w:tc>
          <w:tcPr>
            <w:tcW w:w="158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right w:val="single" w:sz="8" w:color="CCEEFF"/>
            </w:tcBorders>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720" w:type="dxa"/>
            <w:vAlign w:val="bottom"/>
            <w:tcBorders>
              <w:bottom w:val="single" w:sz="8" w:color="0000EE"/>
            </w:tcBorders>
          </w:tcPr>
          <w:p>
            <w:pPr>
              <w:spacing w:after="0" w:line="127" w:lineRule="exact"/>
              <w:rPr>
                <w:sz w:val="20"/>
                <w:szCs w:val="20"/>
                <w:color w:val="auto"/>
              </w:rPr>
            </w:pPr>
            <w:r>
              <w:rPr>
                <w:rFonts w:ascii="Arial" w:cs="Arial" w:eastAsia="Arial" w:hAnsi="Arial"/>
                <w:sz w:val="14"/>
                <w:szCs w:val="14"/>
                <w:color w:val="0000EE"/>
              </w:rPr>
              <w:t>Highlights</w:t>
            </w:r>
          </w:p>
        </w:tc>
        <w:tc>
          <w:tcPr>
            <w:tcW w:w="320" w:type="dxa"/>
            <w:vAlign w:val="bottom"/>
            <w:gridSpan w:val="2"/>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8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260" w:type="dxa"/>
            <w:vAlign w:val="bottom"/>
            <w:gridSpan w:val="2"/>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8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28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3040" w:type="dxa"/>
            <w:vAlign w:val="bottom"/>
            <w:gridSpan w:val="2"/>
            <w:vMerge w:val="restart"/>
          </w:tcPr>
          <w:p>
            <w:pPr>
              <w:spacing w:after="0"/>
              <w:rPr>
                <w:sz w:val="11"/>
                <w:szCs w:val="11"/>
                <w:color w:val="auto"/>
              </w:rPr>
            </w:pPr>
          </w:p>
        </w:tc>
        <w:tc>
          <w:tcPr>
            <w:tcW w:w="14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80" w:type="dxa"/>
            <w:vAlign w:val="bottom"/>
            <w:vMerge w:val="restart"/>
          </w:tcPr>
          <w:p>
            <w:pPr>
              <w:spacing w:after="0"/>
              <w:rPr>
                <w:sz w:val="11"/>
                <w:szCs w:val="11"/>
                <w:color w:val="auto"/>
              </w:rPr>
            </w:pPr>
          </w:p>
        </w:tc>
        <w:tc>
          <w:tcPr>
            <w:tcW w:w="120" w:type="dxa"/>
            <w:vAlign w:val="bottom"/>
            <w:tcBorders>
              <w:bottom w:val="single" w:sz="8" w:color="0000EE"/>
            </w:tcBorders>
          </w:tcPr>
          <w:p>
            <w:pPr>
              <w:jc w:val="right"/>
              <w:spacing w:after="0" w:line="127" w:lineRule="exact"/>
              <w:rPr>
                <w:sz w:val="20"/>
                <w:szCs w:val="20"/>
                <w:color w:val="auto"/>
              </w:rPr>
            </w:pPr>
            <w:r>
              <w:rPr>
                <w:rFonts w:ascii="Arial" w:cs="Arial" w:eastAsia="Arial" w:hAnsi="Arial"/>
                <w:sz w:val="14"/>
                <w:szCs w:val="14"/>
                <w:color w:val="0000EE"/>
                <w:w w:val="76"/>
              </w:rPr>
              <w:t>9</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3040" w:type="dxa"/>
            <w:vAlign w:val="bottom"/>
            <w:gridSpan w:val="2"/>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tcBorders>
              <w:bottom w:val="single" w:sz="8" w:color="0000EE"/>
            </w:tcBorders>
            <w:gridSpan w:val="35"/>
            <w:shd w:val="clear" w:color="auto" w:fill="CCEEFF"/>
          </w:tcPr>
          <w:p>
            <w:pPr>
              <w:spacing w:after="0"/>
              <w:rPr>
                <w:sz w:val="20"/>
                <w:szCs w:val="20"/>
                <w:color w:val="auto"/>
              </w:rPr>
            </w:pPr>
            <w:r>
              <w:rPr>
                <w:rFonts w:ascii="Arial" w:cs="Arial" w:eastAsia="Arial" w:hAnsi="Arial"/>
                <w:sz w:val="15"/>
                <w:szCs w:val="15"/>
                <w:color w:val="0000EE"/>
              </w:rPr>
              <w:t>Altisource Portfolio Solutions S.A. Joint Proxy Statement</w:t>
            </w:r>
          </w:p>
        </w:tc>
        <w:tc>
          <w:tcPr>
            <w:tcW w:w="280" w:type="dxa"/>
            <w:vAlign w:val="bottom"/>
            <w:tcBorders>
              <w:bottom w:val="single" w:sz="8" w:color="CCEEFF"/>
            </w:tcBorders>
            <w:vMerge w:val="restart"/>
            <w:shd w:val="clear" w:color="auto" w:fill="CCEEFF"/>
          </w:tcPr>
          <w:p>
            <w:pPr>
              <w:spacing w:after="0"/>
              <w:rPr>
                <w:sz w:val="18"/>
                <w:szCs w:val="18"/>
                <w:color w:val="auto"/>
              </w:rPr>
            </w:pPr>
          </w:p>
        </w:tc>
        <w:tc>
          <w:tcPr>
            <w:tcW w:w="60" w:type="dxa"/>
            <w:vAlign w:val="bottom"/>
            <w:tcBorders>
              <w:bottom w:val="single" w:sz="8" w:color="CCEEFF"/>
            </w:tcBorders>
            <w:vMerge w:val="restart"/>
            <w:shd w:val="clear" w:color="auto" w:fill="CCEEFF"/>
          </w:tcPr>
          <w:p>
            <w:pPr>
              <w:spacing w:after="0"/>
              <w:rPr>
                <w:sz w:val="18"/>
                <w:szCs w:val="18"/>
                <w:color w:val="auto"/>
              </w:rPr>
            </w:pPr>
          </w:p>
        </w:tc>
        <w:tc>
          <w:tcPr>
            <w:tcW w:w="100" w:type="dxa"/>
            <w:vAlign w:val="bottom"/>
            <w:tcBorders>
              <w:bottom w:val="single" w:sz="8" w:color="CCEEFF"/>
            </w:tcBorders>
            <w:vMerge w:val="restart"/>
            <w:shd w:val="clear" w:color="auto" w:fill="CCEEFF"/>
          </w:tcPr>
          <w:p>
            <w:pPr>
              <w:spacing w:after="0"/>
              <w:rPr>
                <w:sz w:val="18"/>
                <w:szCs w:val="18"/>
                <w:color w:val="auto"/>
              </w:rPr>
            </w:pPr>
          </w:p>
        </w:tc>
        <w:tc>
          <w:tcPr>
            <w:tcW w:w="3040" w:type="dxa"/>
            <w:vAlign w:val="bottom"/>
            <w:tcBorders>
              <w:bottom w:val="single" w:sz="8" w:color="CCEEFF"/>
            </w:tcBorders>
            <w:gridSpan w:val="2"/>
            <w:vMerge w:val="restart"/>
            <w:shd w:val="clear" w:color="auto" w:fill="CCEEFF"/>
          </w:tcPr>
          <w:p>
            <w:pPr>
              <w:spacing w:after="0"/>
              <w:rPr>
                <w:sz w:val="18"/>
                <w:szCs w:val="18"/>
                <w:color w:val="auto"/>
              </w:rPr>
            </w:pPr>
          </w:p>
        </w:tc>
        <w:tc>
          <w:tcPr>
            <w:tcW w:w="140" w:type="dxa"/>
            <w:vAlign w:val="bottom"/>
            <w:tcBorders>
              <w:bottom w:val="single" w:sz="8" w:color="CCEEFF"/>
            </w:tcBorders>
            <w:vMerge w:val="restart"/>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0000EE"/>
                <w:w w:val="83"/>
              </w:rPr>
              <w:t>13</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106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3040" w:type="dxa"/>
            <w:vAlign w:val="bottom"/>
            <w:tcBorders>
              <w:bottom w:val="single" w:sz="8" w:color="CCEEFF"/>
            </w:tcBorders>
            <w:gridSpan w:val="2"/>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1460" w:type="dxa"/>
            <w:vAlign w:val="bottom"/>
            <w:tcBorders>
              <w:bottom w:val="single" w:sz="8" w:color="0000EE"/>
            </w:tcBorders>
            <w:gridSpan w:val="7"/>
          </w:tcPr>
          <w:p>
            <w:pPr>
              <w:spacing w:after="0"/>
              <w:rPr>
                <w:sz w:val="20"/>
                <w:szCs w:val="20"/>
                <w:color w:val="auto"/>
              </w:rPr>
            </w:pPr>
            <w:r>
              <w:rPr>
                <w:rFonts w:ascii="Arial" w:cs="Arial" w:eastAsia="Arial" w:hAnsi="Arial"/>
                <w:sz w:val="15"/>
                <w:szCs w:val="15"/>
                <w:color w:val="0000EE"/>
              </w:rPr>
              <w:t>General Information</w:t>
            </w:r>
          </w:p>
        </w:tc>
        <w:tc>
          <w:tcPr>
            <w:tcW w:w="20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22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0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6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280" w:type="dxa"/>
            <w:vAlign w:val="bottom"/>
            <w:vMerge w:val="restart"/>
          </w:tcPr>
          <w:p>
            <w:pPr>
              <w:spacing w:after="0"/>
              <w:rPr>
                <w:sz w:val="16"/>
                <w:szCs w:val="16"/>
                <w:color w:val="auto"/>
              </w:rPr>
            </w:pPr>
          </w:p>
        </w:tc>
        <w:tc>
          <w:tcPr>
            <w:tcW w:w="320" w:type="dxa"/>
            <w:vAlign w:val="bottom"/>
            <w:gridSpan w:val="2"/>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3040" w:type="dxa"/>
            <w:vAlign w:val="bottom"/>
            <w:gridSpan w:val="2"/>
            <w:vMerge w:val="restart"/>
          </w:tcPr>
          <w:p>
            <w:pPr>
              <w:spacing w:after="0"/>
              <w:rPr>
                <w:sz w:val="16"/>
                <w:szCs w:val="16"/>
                <w:color w:val="auto"/>
              </w:rPr>
            </w:pPr>
          </w:p>
        </w:tc>
        <w:tc>
          <w:tcPr>
            <w:tcW w:w="14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83"/>
              </w:rPr>
              <w:t>13</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3040" w:type="dxa"/>
            <w:vAlign w:val="bottom"/>
            <w:gridSpan w:val="2"/>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780" w:type="dxa"/>
            <w:vAlign w:val="bottom"/>
            <w:tcBorders>
              <w:bottom w:val="single" w:sz="8" w:color="0000EE"/>
            </w:tcBorders>
            <w:gridSpan w:val="22"/>
            <w:shd w:val="clear" w:color="auto" w:fill="CCEEFF"/>
          </w:tcPr>
          <w:p>
            <w:pPr>
              <w:spacing w:after="0" w:line="127" w:lineRule="exact"/>
              <w:rPr>
                <w:sz w:val="20"/>
                <w:szCs w:val="20"/>
                <w:color w:val="auto"/>
              </w:rPr>
            </w:pPr>
            <w:r>
              <w:rPr>
                <w:rFonts w:ascii="Arial" w:cs="Arial" w:eastAsia="Arial" w:hAnsi="Arial"/>
                <w:sz w:val="14"/>
                <w:szCs w:val="14"/>
                <w:color w:val="0000EE"/>
              </w:rPr>
              <w:t>Internet Availability of Proxy Materials</w:t>
            </w: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0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16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280" w:type="dxa"/>
            <w:vAlign w:val="bottom"/>
            <w:tcBorders>
              <w:bottom w:val="single" w:sz="8" w:color="CCEEFF"/>
            </w:tcBorders>
            <w:vMerge w:val="restart"/>
            <w:shd w:val="clear" w:color="auto" w:fill="CCEEFF"/>
          </w:tcPr>
          <w:p>
            <w:pPr>
              <w:spacing w:after="0"/>
              <w:rPr>
                <w:sz w:val="12"/>
                <w:szCs w:val="12"/>
                <w:color w:val="auto"/>
              </w:rPr>
            </w:pPr>
          </w:p>
        </w:tc>
        <w:tc>
          <w:tcPr>
            <w:tcW w:w="320" w:type="dxa"/>
            <w:vAlign w:val="bottom"/>
            <w:tcBorders>
              <w:bottom w:val="single" w:sz="8" w:color="CCEEFF"/>
            </w:tcBorders>
            <w:gridSpan w:val="2"/>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3040" w:type="dxa"/>
            <w:vAlign w:val="bottom"/>
            <w:tcBorders>
              <w:bottom w:val="single" w:sz="8" w:color="CCEEFF"/>
            </w:tcBorders>
            <w:gridSpan w:val="2"/>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line="127" w:lineRule="exact"/>
              <w:rPr>
                <w:sz w:val="20"/>
                <w:szCs w:val="20"/>
                <w:color w:val="auto"/>
              </w:rPr>
            </w:pPr>
            <w:r>
              <w:rPr>
                <w:rFonts w:ascii="Arial" w:cs="Arial" w:eastAsia="Arial" w:hAnsi="Arial"/>
                <w:sz w:val="14"/>
                <w:szCs w:val="14"/>
                <w:color w:val="0000EE"/>
                <w:w w:val="89"/>
              </w:rPr>
              <w:t>13</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4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vMerge w:val="continue"/>
            <w:shd w:val="clear" w:color="auto" w:fill="CCEEFF"/>
          </w:tcPr>
          <w:p>
            <w:pPr>
              <w:spacing w:after="0"/>
              <w:rPr>
                <w:sz w:val="2"/>
                <w:szCs w:val="2"/>
                <w:color w:val="auto"/>
              </w:rPr>
            </w:pPr>
          </w:p>
        </w:tc>
        <w:tc>
          <w:tcPr>
            <w:tcW w:w="32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3040" w:type="dxa"/>
            <w:vAlign w:val="bottom"/>
            <w:tcBorders>
              <w:bottom w:val="single" w:sz="8" w:color="CCEEFF"/>
            </w:tcBorders>
            <w:gridSpan w:val="2"/>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040" w:type="dxa"/>
            <w:vAlign w:val="bottom"/>
            <w:tcBorders>
              <w:bottom w:val="single" w:sz="8" w:color="0000EE"/>
            </w:tcBorders>
            <w:gridSpan w:val="3"/>
          </w:tcPr>
          <w:p>
            <w:pPr>
              <w:spacing w:after="0" w:line="127" w:lineRule="exact"/>
              <w:rPr>
                <w:sz w:val="20"/>
                <w:szCs w:val="20"/>
                <w:color w:val="auto"/>
              </w:rPr>
            </w:pPr>
            <w:r>
              <w:rPr>
                <w:rFonts w:ascii="Arial" w:cs="Arial" w:eastAsia="Arial" w:hAnsi="Arial"/>
                <w:sz w:val="14"/>
                <w:szCs w:val="14"/>
                <w:color w:val="0000EE"/>
              </w:rPr>
              <w:t>Who May Vote</w:t>
            </w:r>
          </w:p>
        </w:tc>
        <w:tc>
          <w:tcPr>
            <w:tcW w:w="20" w:type="dxa"/>
            <w:vAlign w:val="bottom"/>
            <w:vMerge w:val="restart"/>
          </w:tcPr>
          <w:p>
            <w:pPr>
              <w:spacing w:after="0"/>
              <w:rPr>
                <w:sz w:val="11"/>
                <w:szCs w:val="11"/>
                <w:color w:val="auto"/>
              </w:rPr>
            </w:pPr>
          </w:p>
        </w:tc>
        <w:tc>
          <w:tcPr>
            <w:tcW w:w="28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260" w:type="dxa"/>
            <w:vAlign w:val="bottom"/>
            <w:gridSpan w:val="2"/>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80" w:type="dxa"/>
            <w:vAlign w:val="bottom"/>
            <w:gridSpan w:val="2"/>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80" w:type="dxa"/>
            <w:vAlign w:val="bottom"/>
            <w:vMerge w:val="restart"/>
          </w:tcPr>
          <w:p>
            <w:pPr>
              <w:spacing w:after="0"/>
              <w:rPr>
                <w:sz w:val="11"/>
                <w:szCs w:val="11"/>
                <w:color w:val="auto"/>
              </w:rPr>
            </w:pPr>
          </w:p>
        </w:tc>
        <w:tc>
          <w:tcPr>
            <w:tcW w:w="320" w:type="dxa"/>
            <w:vAlign w:val="bottom"/>
            <w:gridSpan w:val="2"/>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3040" w:type="dxa"/>
            <w:vAlign w:val="bottom"/>
            <w:gridSpan w:val="2"/>
            <w:vMerge w:val="restart"/>
          </w:tcPr>
          <w:p>
            <w:pPr>
              <w:spacing w:after="0"/>
              <w:rPr>
                <w:sz w:val="11"/>
                <w:szCs w:val="11"/>
                <w:color w:val="auto"/>
              </w:rPr>
            </w:pPr>
          </w:p>
        </w:tc>
        <w:tc>
          <w:tcPr>
            <w:tcW w:w="14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line="127" w:lineRule="exact"/>
              <w:rPr>
                <w:sz w:val="20"/>
                <w:szCs w:val="20"/>
                <w:color w:val="auto"/>
              </w:rPr>
            </w:pPr>
            <w:r>
              <w:rPr>
                <w:rFonts w:ascii="Arial" w:cs="Arial" w:eastAsia="Arial" w:hAnsi="Arial"/>
                <w:sz w:val="14"/>
                <w:szCs w:val="14"/>
                <w:color w:val="0000EE"/>
                <w:w w:val="89"/>
              </w:rPr>
              <w:t>13</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40" w:type="dxa"/>
            <w:vAlign w:val="bottom"/>
            <w:gridSpan w:val="3"/>
          </w:tcPr>
          <w:p>
            <w:pPr>
              <w:spacing w:after="0"/>
              <w:rPr>
                <w:sz w:val="2"/>
                <w:szCs w:val="2"/>
                <w:color w:val="auto"/>
              </w:rPr>
            </w:pPr>
          </w:p>
        </w:tc>
        <w:tc>
          <w:tcPr>
            <w:tcW w:w="2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3040" w:type="dxa"/>
            <w:vAlign w:val="bottom"/>
            <w:gridSpan w:val="2"/>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340" w:type="dxa"/>
            <w:vAlign w:val="bottom"/>
            <w:tcBorders>
              <w:bottom w:val="single" w:sz="8" w:color="0000EE"/>
            </w:tcBorders>
            <w:gridSpan w:val="5"/>
            <w:shd w:val="clear" w:color="auto" w:fill="CCEEFF"/>
          </w:tcPr>
          <w:p>
            <w:pPr>
              <w:spacing w:after="0" w:line="127" w:lineRule="exact"/>
              <w:rPr>
                <w:sz w:val="20"/>
                <w:szCs w:val="20"/>
                <w:color w:val="auto"/>
              </w:rPr>
            </w:pPr>
            <w:r>
              <w:rPr>
                <w:rFonts w:ascii="Arial" w:cs="Arial" w:eastAsia="Arial" w:hAnsi="Arial"/>
                <w:sz w:val="14"/>
                <w:szCs w:val="14"/>
                <w:color w:val="0000EE"/>
              </w:rPr>
              <w:t>Voting Procedures</w:t>
            </w: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260" w:type="dxa"/>
            <w:vAlign w:val="bottom"/>
            <w:tcBorders>
              <w:bottom w:val="single" w:sz="8" w:color="CCEEFF"/>
            </w:tcBorders>
            <w:gridSpan w:val="2"/>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22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2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gridSpan w:val="2"/>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0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16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280" w:type="dxa"/>
            <w:vAlign w:val="bottom"/>
            <w:tcBorders>
              <w:bottom w:val="single" w:sz="8" w:color="CCEEFF"/>
            </w:tcBorders>
            <w:vMerge w:val="restart"/>
            <w:shd w:val="clear" w:color="auto" w:fill="CCEEFF"/>
          </w:tcPr>
          <w:p>
            <w:pPr>
              <w:spacing w:after="0"/>
              <w:rPr>
                <w:sz w:val="12"/>
                <w:szCs w:val="12"/>
                <w:color w:val="auto"/>
              </w:rPr>
            </w:pPr>
          </w:p>
        </w:tc>
        <w:tc>
          <w:tcPr>
            <w:tcW w:w="320" w:type="dxa"/>
            <w:vAlign w:val="bottom"/>
            <w:tcBorders>
              <w:bottom w:val="single" w:sz="8" w:color="CCEEFF"/>
            </w:tcBorders>
            <w:gridSpan w:val="2"/>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3040" w:type="dxa"/>
            <w:vAlign w:val="bottom"/>
            <w:tcBorders>
              <w:bottom w:val="single" w:sz="8" w:color="CCEEFF"/>
            </w:tcBorders>
            <w:gridSpan w:val="2"/>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line="127" w:lineRule="exact"/>
              <w:rPr>
                <w:sz w:val="20"/>
                <w:szCs w:val="20"/>
                <w:color w:val="auto"/>
              </w:rPr>
            </w:pPr>
            <w:r>
              <w:rPr>
                <w:rFonts w:ascii="Arial" w:cs="Arial" w:eastAsia="Arial" w:hAnsi="Arial"/>
                <w:sz w:val="14"/>
                <w:szCs w:val="14"/>
                <w:color w:val="0000EE"/>
                <w:w w:val="89"/>
              </w:rPr>
              <w:t>13</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60" w:type="dxa"/>
            <w:vAlign w:val="bottom"/>
            <w:tcBorders>
              <w:bottom w:val="single" w:sz="8" w:color="CCEEFF"/>
            </w:tcBorders>
            <w:gridSpan w:val="4"/>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60" w:type="dxa"/>
            <w:vAlign w:val="bottom"/>
            <w:tcBorders>
              <w:bottom w:val="single" w:sz="8" w:color="CCEEFF"/>
            </w:tcBorders>
            <w:gridSpan w:val="2"/>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vMerge w:val="continue"/>
            <w:shd w:val="clear" w:color="auto" w:fill="CCEEFF"/>
          </w:tcPr>
          <w:p>
            <w:pPr>
              <w:spacing w:after="0"/>
              <w:rPr>
                <w:sz w:val="2"/>
                <w:szCs w:val="2"/>
                <w:color w:val="auto"/>
              </w:rPr>
            </w:pPr>
          </w:p>
        </w:tc>
        <w:tc>
          <w:tcPr>
            <w:tcW w:w="32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3040" w:type="dxa"/>
            <w:vAlign w:val="bottom"/>
            <w:tcBorders>
              <w:bottom w:val="single" w:sz="8" w:color="CCEEFF"/>
            </w:tcBorders>
            <w:gridSpan w:val="2"/>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700" w:type="dxa"/>
            <w:vAlign w:val="bottom"/>
            <w:tcBorders>
              <w:bottom w:val="single" w:sz="8" w:color="0000EE"/>
            </w:tcBorders>
            <w:gridSpan w:val="9"/>
          </w:tcPr>
          <w:p>
            <w:pPr>
              <w:spacing w:after="0" w:line="127" w:lineRule="exact"/>
              <w:rPr>
                <w:sz w:val="20"/>
                <w:szCs w:val="20"/>
                <w:color w:val="auto"/>
              </w:rPr>
            </w:pPr>
            <w:r>
              <w:rPr>
                <w:rFonts w:ascii="Arial" w:cs="Arial" w:eastAsia="Arial" w:hAnsi="Arial"/>
                <w:sz w:val="14"/>
                <w:szCs w:val="14"/>
                <w:color w:val="0000EE"/>
              </w:rPr>
              <w:t>How to Revoke a Proxy</w:t>
            </w:r>
          </w:p>
        </w:tc>
        <w:tc>
          <w:tcPr>
            <w:tcW w:w="12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80" w:type="dxa"/>
            <w:vAlign w:val="bottom"/>
            <w:gridSpan w:val="2"/>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80" w:type="dxa"/>
            <w:vAlign w:val="bottom"/>
            <w:vMerge w:val="restart"/>
          </w:tcPr>
          <w:p>
            <w:pPr>
              <w:spacing w:after="0"/>
              <w:rPr>
                <w:sz w:val="11"/>
                <w:szCs w:val="11"/>
                <w:color w:val="auto"/>
              </w:rPr>
            </w:pPr>
          </w:p>
        </w:tc>
        <w:tc>
          <w:tcPr>
            <w:tcW w:w="320" w:type="dxa"/>
            <w:vAlign w:val="bottom"/>
            <w:gridSpan w:val="2"/>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3040" w:type="dxa"/>
            <w:vAlign w:val="bottom"/>
            <w:gridSpan w:val="2"/>
            <w:vMerge w:val="restart"/>
          </w:tcPr>
          <w:p>
            <w:pPr>
              <w:spacing w:after="0"/>
              <w:rPr>
                <w:sz w:val="11"/>
                <w:szCs w:val="11"/>
                <w:color w:val="auto"/>
              </w:rPr>
            </w:pPr>
          </w:p>
        </w:tc>
        <w:tc>
          <w:tcPr>
            <w:tcW w:w="14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line="127" w:lineRule="exact"/>
              <w:rPr>
                <w:sz w:val="20"/>
                <w:szCs w:val="20"/>
                <w:color w:val="auto"/>
              </w:rPr>
            </w:pPr>
            <w:r>
              <w:rPr>
                <w:rFonts w:ascii="Arial" w:cs="Arial" w:eastAsia="Arial" w:hAnsi="Arial"/>
                <w:sz w:val="14"/>
                <w:szCs w:val="14"/>
                <w:color w:val="0000EE"/>
                <w:w w:val="89"/>
              </w:rPr>
              <w:t>14</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60" w:type="dxa"/>
            <w:vAlign w:val="bottom"/>
            <w:gridSpan w:val="4"/>
          </w:tcPr>
          <w:p>
            <w:pPr>
              <w:spacing w:after="0"/>
              <w:rPr>
                <w:sz w:val="2"/>
                <w:szCs w:val="2"/>
                <w:color w:val="auto"/>
              </w:rPr>
            </w:pPr>
          </w:p>
        </w:tc>
        <w:tc>
          <w:tcPr>
            <w:tcW w:w="34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3040" w:type="dxa"/>
            <w:vAlign w:val="bottom"/>
            <w:gridSpan w:val="2"/>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280" w:type="dxa"/>
            <w:vAlign w:val="bottom"/>
            <w:tcBorders>
              <w:bottom w:val="single" w:sz="8" w:color="0000EE"/>
            </w:tcBorders>
            <w:gridSpan w:val="15"/>
            <w:shd w:val="clear" w:color="auto" w:fill="CCEEFF"/>
          </w:tcPr>
          <w:p>
            <w:pPr>
              <w:spacing w:after="0" w:line="127" w:lineRule="exact"/>
              <w:rPr>
                <w:sz w:val="20"/>
                <w:szCs w:val="20"/>
                <w:color w:val="auto"/>
              </w:rPr>
            </w:pPr>
            <w:r>
              <w:rPr>
                <w:rFonts w:ascii="Arial" w:cs="Arial" w:eastAsia="Arial" w:hAnsi="Arial"/>
                <w:sz w:val="14"/>
                <w:szCs w:val="14"/>
                <w:color w:val="0000EE"/>
              </w:rPr>
              <w:t>Quorum and Voting Information</w:t>
            </w: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2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gridSpan w:val="2"/>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0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16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280" w:type="dxa"/>
            <w:vAlign w:val="bottom"/>
            <w:tcBorders>
              <w:bottom w:val="single" w:sz="8" w:color="CCEEFF"/>
            </w:tcBorders>
            <w:vMerge w:val="restart"/>
            <w:shd w:val="clear" w:color="auto" w:fill="CCEEFF"/>
          </w:tcPr>
          <w:p>
            <w:pPr>
              <w:spacing w:after="0"/>
              <w:rPr>
                <w:sz w:val="12"/>
                <w:szCs w:val="12"/>
                <w:color w:val="auto"/>
              </w:rPr>
            </w:pPr>
          </w:p>
        </w:tc>
        <w:tc>
          <w:tcPr>
            <w:tcW w:w="320" w:type="dxa"/>
            <w:vAlign w:val="bottom"/>
            <w:tcBorders>
              <w:bottom w:val="single" w:sz="8" w:color="CCEEFF"/>
            </w:tcBorders>
            <w:gridSpan w:val="2"/>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3040" w:type="dxa"/>
            <w:vAlign w:val="bottom"/>
            <w:tcBorders>
              <w:bottom w:val="single" w:sz="8" w:color="CCEEFF"/>
            </w:tcBorders>
            <w:gridSpan w:val="2"/>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line="127" w:lineRule="exact"/>
              <w:rPr>
                <w:sz w:val="20"/>
                <w:szCs w:val="20"/>
                <w:color w:val="auto"/>
              </w:rPr>
            </w:pPr>
            <w:r>
              <w:rPr>
                <w:rFonts w:ascii="Arial" w:cs="Arial" w:eastAsia="Arial" w:hAnsi="Arial"/>
                <w:sz w:val="14"/>
                <w:szCs w:val="14"/>
                <w:color w:val="0000EE"/>
                <w:w w:val="89"/>
              </w:rPr>
              <w:t>15</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60" w:type="dxa"/>
            <w:vAlign w:val="bottom"/>
            <w:tcBorders>
              <w:bottom w:val="single" w:sz="8" w:color="CCEEFF"/>
            </w:tcBorders>
            <w:gridSpan w:val="4"/>
            <w:shd w:val="clear" w:color="auto" w:fill="CCEEFF"/>
          </w:tcPr>
          <w:p>
            <w:pPr>
              <w:spacing w:after="0"/>
              <w:rPr>
                <w:sz w:val="2"/>
                <w:szCs w:val="2"/>
                <w:color w:val="auto"/>
              </w:rPr>
            </w:pPr>
          </w:p>
        </w:tc>
        <w:tc>
          <w:tcPr>
            <w:tcW w:w="340" w:type="dxa"/>
            <w:vAlign w:val="bottom"/>
            <w:tcBorders>
              <w:bottom w:val="single" w:sz="8" w:color="CCEEFF"/>
            </w:tcBorders>
            <w:gridSpan w:val="2"/>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16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vMerge w:val="continue"/>
            <w:shd w:val="clear" w:color="auto" w:fill="CCEEFF"/>
          </w:tcPr>
          <w:p>
            <w:pPr>
              <w:spacing w:after="0"/>
              <w:rPr>
                <w:sz w:val="2"/>
                <w:szCs w:val="2"/>
                <w:color w:val="auto"/>
              </w:rPr>
            </w:pPr>
          </w:p>
        </w:tc>
        <w:tc>
          <w:tcPr>
            <w:tcW w:w="32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3040" w:type="dxa"/>
            <w:vAlign w:val="bottom"/>
            <w:tcBorders>
              <w:bottom w:val="single" w:sz="8" w:color="CCEEFF"/>
            </w:tcBorders>
            <w:gridSpan w:val="2"/>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600" w:type="dxa"/>
            <w:vAlign w:val="bottom"/>
            <w:tcBorders>
              <w:bottom w:val="single" w:sz="8" w:color="0000EE"/>
            </w:tcBorders>
            <w:gridSpan w:val="19"/>
          </w:tcPr>
          <w:p>
            <w:pPr>
              <w:spacing w:after="0"/>
              <w:rPr>
                <w:sz w:val="20"/>
                <w:szCs w:val="20"/>
                <w:color w:val="auto"/>
              </w:rPr>
            </w:pPr>
            <w:r>
              <w:rPr>
                <w:rFonts w:ascii="Arial" w:cs="Arial" w:eastAsia="Arial" w:hAnsi="Arial"/>
                <w:sz w:val="15"/>
                <w:szCs w:val="15"/>
                <w:color w:val="0000EE"/>
              </w:rPr>
              <w:t>Proposal One: Election of Directors</w:t>
            </w:r>
          </w:p>
        </w:tc>
        <w:tc>
          <w:tcPr>
            <w:tcW w:w="2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vMerge w:val="restart"/>
          </w:tcPr>
          <w:p>
            <w:pPr>
              <w:spacing w:after="0"/>
              <w:rPr>
                <w:sz w:val="16"/>
                <w:szCs w:val="16"/>
                <w:color w:val="auto"/>
              </w:rPr>
            </w:pPr>
          </w:p>
        </w:tc>
        <w:tc>
          <w:tcPr>
            <w:tcW w:w="80" w:type="dxa"/>
            <w:vAlign w:val="bottom"/>
            <w:gridSpan w:val="2"/>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0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6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280" w:type="dxa"/>
            <w:vAlign w:val="bottom"/>
            <w:vMerge w:val="restart"/>
          </w:tcPr>
          <w:p>
            <w:pPr>
              <w:spacing w:after="0"/>
              <w:rPr>
                <w:sz w:val="16"/>
                <w:szCs w:val="16"/>
                <w:color w:val="auto"/>
              </w:rPr>
            </w:pPr>
          </w:p>
        </w:tc>
        <w:tc>
          <w:tcPr>
            <w:tcW w:w="320" w:type="dxa"/>
            <w:vAlign w:val="bottom"/>
            <w:gridSpan w:val="2"/>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3040" w:type="dxa"/>
            <w:vAlign w:val="bottom"/>
            <w:gridSpan w:val="2"/>
            <w:vMerge w:val="restart"/>
          </w:tcPr>
          <w:p>
            <w:pPr>
              <w:spacing w:after="0"/>
              <w:rPr>
                <w:sz w:val="16"/>
                <w:szCs w:val="16"/>
                <w:color w:val="auto"/>
              </w:rPr>
            </w:pPr>
          </w:p>
        </w:tc>
        <w:tc>
          <w:tcPr>
            <w:tcW w:w="14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83"/>
              </w:rPr>
              <w:t>16</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5"/>
          </w:tcPr>
          <w:p>
            <w:pPr>
              <w:spacing w:after="0"/>
              <w:rPr>
                <w:sz w:val="2"/>
                <w:szCs w:val="2"/>
                <w:color w:val="auto"/>
              </w:rPr>
            </w:pPr>
          </w:p>
        </w:tc>
        <w:tc>
          <w:tcPr>
            <w:tcW w:w="34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3040" w:type="dxa"/>
            <w:vAlign w:val="bottom"/>
            <w:gridSpan w:val="2"/>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3400" w:type="dxa"/>
            <w:vAlign w:val="bottom"/>
            <w:tcBorders>
              <w:bottom w:val="single" w:sz="8" w:color="0000EE"/>
            </w:tcBorders>
            <w:gridSpan w:val="29"/>
            <w:shd w:val="clear" w:color="auto" w:fill="CCEEFF"/>
          </w:tcPr>
          <w:p>
            <w:pPr>
              <w:spacing w:after="0"/>
              <w:rPr>
                <w:sz w:val="20"/>
                <w:szCs w:val="20"/>
                <w:color w:val="auto"/>
              </w:rPr>
            </w:pPr>
            <w:r>
              <w:rPr>
                <w:rFonts w:ascii="Arial" w:cs="Arial" w:eastAsia="Arial" w:hAnsi="Arial"/>
                <w:sz w:val="15"/>
                <w:szCs w:val="15"/>
                <w:color w:val="0000EE"/>
              </w:rPr>
              <w:t>Board of Directors and Corporate Governance</w:t>
            </w:r>
          </w:p>
        </w:tc>
        <w:tc>
          <w:tcPr>
            <w:tcW w:w="60" w:type="dxa"/>
            <w:vAlign w:val="bottom"/>
            <w:tcBorders>
              <w:bottom w:val="single" w:sz="8" w:color="CCEEFF"/>
            </w:tcBorders>
            <w:vMerge w:val="restart"/>
            <w:shd w:val="clear" w:color="auto" w:fill="CCEEFF"/>
          </w:tcPr>
          <w:p>
            <w:pPr>
              <w:spacing w:after="0"/>
              <w:rPr>
                <w:sz w:val="18"/>
                <w:szCs w:val="18"/>
                <w:color w:val="auto"/>
              </w:rPr>
            </w:pPr>
          </w:p>
        </w:tc>
        <w:tc>
          <w:tcPr>
            <w:tcW w:w="100" w:type="dxa"/>
            <w:vAlign w:val="bottom"/>
            <w:tcBorders>
              <w:bottom w:val="single" w:sz="8" w:color="CCEEFF"/>
            </w:tcBorders>
            <w:vMerge w:val="restart"/>
            <w:shd w:val="clear" w:color="auto" w:fill="CCEEFF"/>
          </w:tcPr>
          <w:p>
            <w:pPr>
              <w:spacing w:after="0"/>
              <w:rPr>
                <w:sz w:val="18"/>
                <w:szCs w:val="18"/>
                <w:color w:val="auto"/>
              </w:rPr>
            </w:pPr>
          </w:p>
        </w:tc>
        <w:tc>
          <w:tcPr>
            <w:tcW w:w="160" w:type="dxa"/>
            <w:vAlign w:val="bottom"/>
            <w:tcBorders>
              <w:bottom w:val="single" w:sz="8" w:color="CCEEFF"/>
            </w:tcBorders>
            <w:vMerge w:val="restart"/>
            <w:shd w:val="clear" w:color="auto" w:fill="CCEEFF"/>
          </w:tcPr>
          <w:p>
            <w:pPr>
              <w:spacing w:after="0"/>
              <w:rPr>
                <w:sz w:val="18"/>
                <w:szCs w:val="18"/>
                <w:color w:val="auto"/>
              </w:rPr>
            </w:pPr>
          </w:p>
        </w:tc>
        <w:tc>
          <w:tcPr>
            <w:tcW w:w="140" w:type="dxa"/>
            <w:vAlign w:val="bottom"/>
            <w:tcBorders>
              <w:bottom w:val="single" w:sz="8" w:color="CCEEFF"/>
            </w:tcBorders>
            <w:vMerge w:val="restart"/>
            <w:shd w:val="clear" w:color="auto" w:fill="CCEEFF"/>
          </w:tcPr>
          <w:p>
            <w:pPr>
              <w:spacing w:after="0"/>
              <w:rPr>
                <w:sz w:val="18"/>
                <w:szCs w:val="18"/>
                <w:color w:val="auto"/>
              </w:rPr>
            </w:pPr>
          </w:p>
        </w:tc>
        <w:tc>
          <w:tcPr>
            <w:tcW w:w="280" w:type="dxa"/>
            <w:vAlign w:val="bottom"/>
            <w:tcBorders>
              <w:bottom w:val="single" w:sz="8" w:color="CCEEFF"/>
            </w:tcBorders>
            <w:vMerge w:val="restart"/>
            <w:shd w:val="clear" w:color="auto" w:fill="CCEEFF"/>
          </w:tcPr>
          <w:p>
            <w:pPr>
              <w:spacing w:after="0"/>
              <w:rPr>
                <w:sz w:val="18"/>
                <w:szCs w:val="18"/>
                <w:color w:val="auto"/>
              </w:rPr>
            </w:pPr>
          </w:p>
        </w:tc>
        <w:tc>
          <w:tcPr>
            <w:tcW w:w="320" w:type="dxa"/>
            <w:vAlign w:val="bottom"/>
            <w:tcBorders>
              <w:bottom w:val="single" w:sz="8" w:color="CCEEFF"/>
            </w:tcBorders>
            <w:gridSpan w:val="2"/>
            <w:vMerge w:val="restart"/>
            <w:shd w:val="clear" w:color="auto" w:fill="CCEEFF"/>
          </w:tcPr>
          <w:p>
            <w:pPr>
              <w:spacing w:after="0"/>
              <w:rPr>
                <w:sz w:val="18"/>
                <w:szCs w:val="18"/>
                <w:color w:val="auto"/>
              </w:rPr>
            </w:pPr>
          </w:p>
        </w:tc>
        <w:tc>
          <w:tcPr>
            <w:tcW w:w="60" w:type="dxa"/>
            <w:vAlign w:val="bottom"/>
            <w:tcBorders>
              <w:bottom w:val="single" w:sz="8" w:color="CCEEFF"/>
            </w:tcBorders>
            <w:vMerge w:val="restart"/>
            <w:shd w:val="clear" w:color="auto" w:fill="CCEEFF"/>
          </w:tcPr>
          <w:p>
            <w:pPr>
              <w:spacing w:after="0"/>
              <w:rPr>
                <w:sz w:val="18"/>
                <w:szCs w:val="18"/>
                <w:color w:val="auto"/>
              </w:rPr>
            </w:pPr>
          </w:p>
        </w:tc>
        <w:tc>
          <w:tcPr>
            <w:tcW w:w="100" w:type="dxa"/>
            <w:vAlign w:val="bottom"/>
            <w:tcBorders>
              <w:bottom w:val="single" w:sz="8" w:color="CCEEFF"/>
            </w:tcBorders>
            <w:vMerge w:val="restart"/>
            <w:shd w:val="clear" w:color="auto" w:fill="CCEEFF"/>
          </w:tcPr>
          <w:p>
            <w:pPr>
              <w:spacing w:after="0"/>
              <w:rPr>
                <w:sz w:val="18"/>
                <w:szCs w:val="18"/>
                <w:color w:val="auto"/>
              </w:rPr>
            </w:pPr>
          </w:p>
        </w:tc>
        <w:tc>
          <w:tcPr>
            <w:tcW w:w="3040" w:type="dxa"/>
            <w:vAlign w:val="bottom"/>
            <w:tcBorders>
              <w:bottom w:val="single" w:sz="8" w:color="CCEEFF"/>
            </w:tcBorders>
            <w:gridSpan w:val="2"/>
            <w:vMerge w:val="restart"/>
            <w:shd w:val="clear" w:color="auto" w:fill="CCEEFF"/>
          </w:tcPr>
          <w:p>
            <w:pPr>
              <w:spacing w:after="0"/>
              <w:rPr>
                <w:sz w:val="18"/>
                <w:szCs w:val="18"/>
                <w:color w:val="auto"/>
              </w:rPr>
            </w:pPr>
          </w:p>
        </w:tc>
        <w:tc>
          <w:tcPr>
            <w:tcW w:w="140" w:type="dxa"/>
            <w:vAlign w:val="bottom"/>
            <w:tcBorders>
              <w:bottom w:val="single" w:sz="8" w:color="CCEEFF"/>
            </w:tcBorders>
            <w:vMerge w:val="restart"/>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0000EE"/>
                <w:w w:val="83"/>
              </w:rPr>
              <w:t>19</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1080" w:type="dxa"/>
            <w:vAlign w:val="bottom"/>
            <w:tcBorders>
              <w:bottom w:val="single" w:sz="8" w:color="CCEEFF"/>
            </w:tcBorders>
            <w:gridSpan w:val="5"/>
            <w:shd w:val="clear" w:color="auto" w:fill="CCEEFF"/>
          </w:tcPr>
          <w:p>
            <w:pPr>
              <w:spacing w:after="0"/>
              <w:rPr>
                <w:sz w:val="2"/>
                <w:szCs w:val="2"/>
                <w:color w:val="auto"/>
              </w:rPr>
            </w:pPr>
          </w:p>
        </w:tc>
        <w:tc>
          <w:tcPr>
            <w:tcW w:w="340" w:type="dxa"/>
            <w:vAlign w:val="bottom"/>
            <w:tcBorders>
              <w:bottom w:val="single" w:sz="8" w:color="CCEEFF"/>
            </w:tcBorders>
            <w:gridSpan w:val="2"/>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16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gridSpan w:val="2"/>
            <w:shd w:val="clear" w:color="auto" w:fill="CCEEFF"/>
          </w:tcPr>
          <w:p>
            <w:pPr>
              <w:spacing w:after="0"/>
              <w:rPr>
                <w:sz w:val="2"/>
                <w:szCs w:val="2"/>
                <w:color w:val="auto"/>
              </w:rPr>
            </w:pPr>
          </w:p>
        </w:tc>
        <w:tc>
          <w:tcPr>
            <w:tcW w:w="14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gridSpan w:val="2"/>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vMerge w:val="continue"/>
            <w:shd w:val="clear" w:color="auto" w:fill="CCEEFF"/>
          </w:tcPr>
          <w:p>
            <w:pPr>
              <w:spacing w:after="0"/>
              <w:rPr>
                <w:sz w:val="2"/>
                <w:szCs w:val="2"/>
                <w:color w:val="auto"/>
              </w:rPr>
            </w:pPr>
          </w:p>
        </w:tc>
        <w:tc>
          <w:tcPr>
            <w:tcW w:w="32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3040" w:type="dxa"/>
            <w:vAlign w:val="bottom"/>
            <w:tcBorders>
              <w:bottom w:val="single" w:sz="8" w:color="CCEEFF"/>
            </w:tcBorders>
            <w:gridSpan w:val="2"/>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520" w:type="dxa"/>
            <w:vAlign w:val="bottom"/>
            <w:tcBorders>
              <w:bottom w:val="single" w:sz="8" w:color="0000EE"/>
            </w:tcBorders>
            <w:gridSpan w:val="20"/>
          </w:tcPr>
          <w:p>
            <w:pPr>
              <w:spacing w:after="0"/>
              <w:rPr>
                <w:sz w:val="20"/>
                <w:szCs w:val="20"/>
                <w:color w:val="auto"/>
              </w:rPr>
            </w:pPr>
            <w:r>
              <w:rPr>
                <w:rFonts w:ascii="Arial" w:cs="Arial" w:eastAsia="Arial" w:hAnsi="Arial"/>
                <w:sz w:val="15"/>
                <w:szCs w:val="15"/>
                <w:color w:val="0000EE"/>
              </w:rPr>
              <w:t>Meetings of our Board of Directors</w:t>
            </w:r>
          </w:p>
        </w:tc>
        <w:tc>
          <w:tcPr>
            <w:tcW w:w="220" w:type="dxa"/>
            <w:vAlign w:val="bottom"/>
            <w:vMerge w:val="restart"/>
          </w:tcPr>
          <w:p>
            <w:pPr>
              <w:spacing w:after="0"/>
              <w:rPr>
                <w:sz w:val="16"/>
                <w:szCs w:val="16"/>
                <w:color w:val="auto"/>
              </w:rPr>
            </w:pPr>
          </w:p>
        </w:tc>
        <w:tc>
          <w:tcPr>
            <w:tcW w:w="80" w:type="dxa"/>
            <w:vAlign w:val="bottom"/>
            <w:gridSpan w:val="2"/>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60" w:type="dxa"/>
            <w:vAlign w:val="bottom"/>
            <w:gridSpan w:val="2"/>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6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280" w:type="dxa"/>
            <w:vAlign w:val="bottom"/>
            <w:vMerge w:val="restart"/>
          </w:tcPr>
          <w:p>
            <w:pPr>
              <w:spacing w:after="0"/>
              <w:rPr>
                <w:sz w:val="16"/>
                <w:szCs w:val="16"/>
                <w:color w:val="auto"/>
              </w:rPr>
            </w:pPr>
          </w:p>
        </w:tc>
        <w:tc>
          <w:tcPr>
            <w:tcW w:w="320" w:type="dxa"/>
            <w:vAlign w:val="bottom"/>
            <w:gridSpan w:val="2"/>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3040" w:type="dxa"/>
            <w:vAlign w:val="bottom"/>
            <w:gridSpan w:val="2"/>
            <w:vMerge w:val="restart"/>
          </w:tcPr>
          <w:p>
            <w:pPr>
              <w:spacing w:after="0"/>
              <w:rPr>
                <w:sz w:val="16"/>
                <w:szCs w:val="16"/>
                <w:color w:val="auto"/>
              </w:rPr>
            </w:pPr>
          </w:p>
        </w:tc>
        <w:tc>
          <w:tcPr>
            <w:tcW w:w="14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83"/>
              </w:rPr>
              <w:t>19</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60" w:type="dxa"/>
            <w:vAlign w:val="bottom"/>
            <w:gridSpan w:val="4"/>
          </w:tcPr>
          <w:p>
            <w:pPr>
              <w:spacing w:after="0"/>
              <w:rPr>
                <w:sz w:val="2"/>
                <w:szCs w:val="2"/>
                <w:color w:val="auto"/>
              </w:rPr>
            </w:pPr>
          </w:p>
        </w:tc>
        <w:tc>
          <w:tcPr>
            <w:tcW w:w="34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3040" w:type="dxa"/>
            <w:vAlign w:val="bottom"/>
            <w:gridSpan w:val="2"/>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940" w:type="dxa"/>
            <w:vAlign w:val="bottom"/>
            <w:tcBorders>
              <w:bottom w:val="single" w:sz="8" w:color="0000EE"/>
            </w:tcBorders>
            <w:gridSpan w:val="12"/>
            <w:shd w:val="clear" w:color="auto" w:fill="CCEEFF"/>
          </w:tcPr>
          <w:p>
            <w:pPr>
              <w:spacing w:after="0" w:line="127" w:lineRule="exact"/>
              <w:rPr>
                <w:sz w:val="20"/>
                <w:szCs w:val="20"/>
                <w:color w:val="auto"/>
              </w:rPr>
            </w:pPr>
            <w:r>
              <w:rPr>
                <w:rFonts w:ascii="Arial" w:cs="Arial" w:eastAsia="Arial" w:hAnsi="Arial"/>
                <w:sz w:val="14"/>
                <w:szCs w:val="14"/>
                <w:color w:val="0000EE"/>
              </w:rPr>
              <w:t>Independence of Directors</w:t>
            </w: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22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gridSpan w:val="2"/>
            <w:vMerge w:val="restart"/>
            <w:shd w:val="clear" w:color="auto" w:fill="CCEEFF"/>
          </w:tcPr>
          <w:p>
            <w:pPr>
              <w:spacing w:after="0"/>
              <w:rPr>
                <w:sz w:val="12"/>
                <w:szCs w:val="12"/>
                <w:color w:val="auto"/>
              </w:rPr>
            </w:pPr>
          </w:p>
        </w:tc>
        <w:tc>
          <w:tcPr>
            <w:tcW w:w="140" w:type="dxa"/>
            <w:vAlign w:val="bottom"/>
            <w:tcBorders>
              <w:bottom w:val="single" w:sz="8" w:color="CCEEFF"/>
            </w:tcBorders>
            <w:gridSpan w:val="2"/>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240" w:type="dxa"/>
            <w:vAlign w:val="bottom"/>
            <w:tcBorders>
              <w:bottom w:val="single" w:sz="8" w:color="CCEEFF"/>
            </w:tcBorders>
            <w:gridSpan w:val="2"/>
            <w:vMerge w:val="restart"/>
            <w:shd w:val="clear" w:color="auto" w:fill="CCEEFF"/>
          </w:tcPr>
          <w:p>
            <w:pPr>
              <w:spacing w:after="0"/>
              <w:rPr>
                <w:sz w:val="12"/>
                <w:szCs w:val="12"/>
                <w:color w:val="auto"/>
              </w:rPr>
            </w:pPr>
          </w:p>
        </w:tc>
        <w:tc>
          <w:tcPr>
            <w:tcW w:w="80" w:type="dxa"/>
            <w:vAlign w:val="bottom"/>
            <w:tcBorders>
              <w:bottom w:val="single" w:sz="8" w:color="CCEEFF"/>
            </w:tcBorders>
            <w:gridSpan w:val="2"/>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60" w:type="dxa"/>
            <w:vAlign w:val="bottom"/>
            <w:tcBorders>
              <w:bottom w:val="single" w:sz="8" w:color="CCEEFF"/>
            </w:tcBorders>
            <w:gridSpan w:val="2"/>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16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280" w:type="dxa"/>
            <w:vAlign w:val="bottom"/>
            <w:tcBorders>
              <w:bottom w:val="single" w:sz="8" w:color="CCEEFF"/>
            </w:tcBorders>
            <w:vMerge w:val="restart"/>
            <w:shd w:val="clear" w:color="auto" w:fill="CCEEFF"/>
          </w:tcPr>
          <w:p>
            <w:pPr>
              <w:spacing w:after="0"/>
              <w:rPr>
                <w:sz w:val="12"/>
                <w:szCs w:val="12"/>
                <w:color w:val="auto"/>
              </w:rPr>
            </w:pPr>
          </w:p>
        </w:tc>
        <w:tc>
          <w:tcPr>
            <w:tcW w:w="320" w:type="dxa"/>
            <w:vAlign w:val="bottom"/>
            <w:tcBorders>
              <w:bottom w:val="single" w:sz="8" w:color="CCEEFF"/>
            </w:tcBorders>
            <w:gridSpan w:val="2"/>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3040" w:type="dxa"/>
            <w:vAlign w:val="bottom"/>
            <w:tcBorders>
              <w:bottom w:val="single" w:sz="8" w:color="CCEEFF"/>
            </w:tcBorders>
            <w:gridSpan w:val="2"/>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line="127" w:lineRule="exact"/>
              <w:rPr>
                <w:sz w:val="20"/>
                <w:szCs w:val="20"/>
                <w:color w:val="auto"/>
              </w:rPr>
            </w:pPr>
            <w:r>
              <w:rPr>
                <w:rFonts w:ascii="Arial" w:cs="Arial" w:eastAsia="Arial" w:hAnsi="Arial"/>
                <w:sz w:val="14"/>
                <w:szCs w:val="14"/>
                <w:color w:val="0000EE"/>
                <w:w w:val="89"/>
              </w:rPr>
              <w:t>19</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60" w:type="dxa"/>
            <w:vAlign w:val="bottom"/>
            <w:tcBorders>
              <w:bottom w:val="single" w:sz="8" w:color="CCEEFF"/>
            </w:tcBorders>
            <w:gridSpan w:val="4"/>
            <w:shd w:val="clear" w:color="auto" w:fill="CCEEFF"/>
          </w:tcPr>
          <w:p>
            <w:pPr>
              <w:spacing w:after="0"/>
              <w:rPr>
                <w:sz w:val="2"/>
                <w:szCs w:val="2"/>
                <w:color w:val="auto"/>
              </w:rPr>
            </w:pPr>
          </w:p>
        </w:tc>
        <w:tc>
          <w:tcPr>
            <w:tcW w:w="340" w:type="dxa"/>
            <w:vAlign w:val="bottom"/>
            <w:tcBorders>
              <w:bottom w:val="single" w:sz="8" w:color="CCEEFF"/>
            </w:tcBorders>
            <w:gridSpan w:val="2"/>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16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gridSpan w:val="2"/>
            <w:vMerge w:val="continue"/>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4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60" w:type="dxa"/>
            <w:vAlign w:val="bottom"/>
            <w:tcBorders>
              <w:bottom w:val="single" w:sz="8" w:color="CCEEFF"/>
            </w:tcBorders>
            <w:gridSpan w:val="2"/>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vMerge w:val="continue"/>
            <w:shd w:val="clear" w:color="auto" w:fill="CCEEFF"/>
          </w:tcPr>
          <w:p>
            <w:pPr>
              <w:spacing w:after="0"/>
              <w:rPr>
                <w:sz w:val="2"/>
                <w:szCs w:val="2"/>
                <w:color w:val="auto"/>
              </w:rPr>
            </w:pPr>
          </w:p>
        </w:tc>
        <w:tc>
          <w:tcPr>
            <w:tcW w:w="32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3040" w:type="dxa"/>
            <w:vAlign w:val="bottom"/>
            <w:tcBorders>
              <w:bottom w:val="single" w:sz="8" w:color="CCEEFF"/>
            </w:tcBorders>
            <w:gridSpan w:val="2"/>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3300" w:type="dxa"/>
            <w:vAlign w:val="bottom"/>
            <w:tcBorders>
              <w:bottom w:val="single" w:sz="8" w:color="0000EE"/>
            </w:tcBorders>
            <w:gridSpan w:val="28"/>
          </w:tcPr>
          <w:p>
            <w:pPr>
              <w:spacing w:after="0" w:line="127" w:lineRule="exact"/>
              <w:rPr>
                <w:sz w:val="20"/>
                <w:szCs w:val="20"/>
                <w:color w:val="auto"/>
              </w:rPr>
            </w:pPr>
            <w:r>
              <w:rPr>
                <w:rFonts w:ascii="Arial" w:cs="Arial" w:eastAsia="Arial" w:hAnsi="Arial"/>
                <w:sz w:val="14"/>
                <w:szCs w:val="14"/>
                <w:color w:val="0000EE"/>
              </w:rPr>
              <w:t>Executive Sessions of Independent Directors</w:t>
            </w:r>
          </w:p>
        </w:tc>
        <w:tc>
          <w:tcPr>
            <w:tcW w:w="10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80" w:type="dxa"/>
            <w:vAlign w:val="bottom"/>
            <w:vMerge w:val="restart"/>
          </w:tcPr>
          <w:p>
            <w:pPr>
              <w:spacing w:after="0"/>
              <w:rPr>
                <w:sz w:val="11"/>
                <w:szCs w:val="11"/>
                <w:color w:val="auto"/>
              </w:rPr>
            </w:pPr>
          </w:p>
        </w:tc>
        <w:tc>
          <w:tcPr>
            <w:tcW w:w="320" w:type="dxa"/>
            <w:vAlign w:val="bottom"/>
            <w:gridSpan w:val="2"/>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3040" w:type="dxa"/>
            <w:vAlign w:val="bottom"/>
            <w:gridSpan w:val="2"/>
            <w:vMerge w:val="restart"/>
          </w:tcPr>
          <w:p>
            <w:pPr>
              <w:spacing w:after="0"/>
              <w:rPr>
                <w:sz w:val="11"/>
                <w:szCs w:val="11"/>
                <w:color w:val="auto"/>
              </w:rPr>
            </w:pPr>
          </w:p>
        </w:tc>
        <w:tc>
          <w:tcPr>
            <w:tcW w:w="14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line="127" w:lineRule="exact"/>
              <w:rPr>
                <w:sz w:val="20"/>
                <w:szCs w:val="20"/>
                <w:color w:val="auto"/>
              </w:rPr>
            </w:pPr>
            <w:r>
              <w:rPr>
                <w:rFonts w:ascii="Arial" w:cs="Arial" w:eastAsia="Arial" w:hAnsi="Arial"/>
                <w:sz w:val="14"/>
                <w:szCs w:val="14"/>
                <w:color w:val="0000EE"/>
                <w:w w:val="89"/>
              </w:rPr>
              <w:t>19</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60" w:type="dxa"/>
            <w:vAlign w:val="bottom"/>
            <w:gridSpan w:val="4"/>
          </w:tcPr>
          <w:p>
            <w:pPr>
              <w:spacing w:after="0"/>
              <w:rPr>
                <w:sz w:val="2"/>
                <w:szCs w:val="2"/>
                <w:color w:val="auto"/>
              </w:rPr>
            </w:pPr>
          </w:p>
        </w:tc>
        <w:tc>
          <w:tcPr>
            <w:tcW w:w="34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3040" w:type="dxa"/>
            <w:vAlign w:val="bottom"/>
            <w:gridSpan w:val="2"/>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020" w:type="dxa"/>
            <w:vAlign w:val="bottom"/>
            <w:tcBorders>
              <w:bottom w:val="single" w:sz="8" w:color="0000EE"/>
            </w:tcBorders>
            <w:gridSpan w:val="13"/>
            <w:shd w:val="clear" w:color="auto" w:fill="CCEEFF"/>
          </w:tcPr>
          <w:p>
            <w:pPr>
              <w:spacing w:after="0" w:line="127" w:lineRule="exact"/>
              <w:rPr>
                <w:sz w:val="20"/>
                <w:szCs w:val="20"/>
                <w:color w:val="auto"/>
              </w:rPr>
            </w:pPr>
            <w:r>
              <w:rPr>
                <w:rFonts w:ascii="Arial" w:cs="Arial" w:eastAsia="Arial" w:hAnsi="Arial"/>
                <w:sz w:val="14"/>
                <w:szCs w:val="14"/>
                <w:color w:val="0000EE"/>
              </w:rPr>
              <w:t>Board Leadership Structure</w:t>
            </w:r>
          </w:p>
        </w:tc>
        <w:tc>
          <w:tcPr>
            <w:tcW w:w="220" w:type="dxa"/>
            <w:vAlign w:val="bottom"/>
            <w:tcBorders>
              <w:bottom w:val="single" w:sz="8" w:color="CCEEFF"/>
            </w:tcBorders>
            <w:vMerge w:val="restart"/>
            <w:shd w:val="clear" w:color="auto" w:fill="CCEEFF"/>
          </w:tcPr>
          <w:p>
            <w:pPr>
              <w:spacing w:after="0"/>
              <w:rPr>
                <w:sz w:val="12"/>
                <w:szCs w:val="12"/>
                <w:color w:val="auto"/>
              </w:rPr>
            </w:pPr>
          </w:p>
        </w:tc>
        <w:tc>
          <w:tcPr>
            <w:tcW w:w="80" w:type="dxa"/>
            <w:vAlign w:val="bottom"/>
            <w:tcBorders>
              <w:bottom w:val="single" w:sz="8" w:color="CCEEFF"/>
            </w:tcBorders>
            <w:gridSpan w:val="2"/>
            <w:vMerge w:val="restart"/>
            <w:shd w:val="clear" w:color="auto" w:fill="CCEEFF"/>
          </w:tcPr>
          <w:p>
            <w:pPr>
              <w:spacing w:after="0"/>
              <w:rPr>
                <w:sz w:val="12"/>
                <w:szCs w:val="12"/>
                <w:color w:val="auto"/>
              </w:rPr>
            </w:pPr>
          </w:p>
        </w:tc>
        <w:tc>
          <w:tcPr>
            <w:tcW w:w="140" w:type="dxa"/>
            <w:vAlign w:val="bottom"/>
            <w:tcBorders>
              <w:bottom w:val="single" w:sz="8" w:color="CCEEFF"/>
            </w:tcBorders>
            <w:gridSpan w:val="2"/>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240" w:type="dxa"/>
            <w:vAlign w:val="bottom"/>
            <w:tcBorders>
              <w:bottom w:val="single" w:sz="8" w:color="CCEEFF"/>
            </w:tcBorders>
            <w:gridSpan w:val="2"/>
            <w:vMerge w:val="restart"/>
            <w:shd w:val="clear" w:color="auto" w:fill="CCEEFF"/>
          </w:tcPr>
          <w:p>
            <w:pPr>
              <w:spacing w:after="0"/>
              <w:rPr>
                <w:sz w:val="12"/>
                <w:szCs w:val="12"/>
                <w:color w:val="auto"/>
              </w:rPr>
            </w:pPr>
          </w:p>
        </w:tc>
        <w:tc>
          <w:tcPr>
            <w:tcW w:w="80" w:type="dxa"/>
            <w:vAlign w:val="bottom"/>
            <w:tcBorders>
              <w:bottom w:val="single" w:sz="8" w:color="CCEEFF"/>
            </w:tcBorders>
            <w:gridSpan w:val="2"/>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360" w:type="dxa"/>
            <w:vAlign w:val="bottom"/>
            <w:tcBorders>
              <w:bottom w:val="single" w:sz="8" w:color="CCEEFF"/>
            </w:tcBorders>
            <w:gridSpan w:val="3"/>
            <w:vMerge w:val="restart"/>
            <w:shd w:val="clear" w:color="auto" w:fill="CCEEFF"/>
          </w:tcPr>
          <w:p>
            <w:pPr>
              <w:spacing w:after="0"/>
              <w:rPr>
                <w:sz w:val="12"/>
                <w:szCs w:val="12"/>
                <w:color w:val="auto"/>
              </w:rPr>
            </w:pPr>
          </w:p>
        </w:tc>
        <w:tc>
          <w:tcPr>
            <w:tcW w:w="16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280" w:type="dxa"/>
            <w:vAlign w:val="bottom"/>
            <w:tcBorders>
              <w:bottom w:val="single" w:sz="8" w:color="CCEEFF"/>
            </w:tcBorders>
            <w:vMerge w:val="restart"/>
            <w:shd w:val="clear" w:color="auto" w:fill="CCEEFF"/>
          </w:tcPr>
          <w:p>
            <w:pPr>
              <w:spacing w:after="0"/>
              <w:rPr>
                <w:sz w:val="12"/>
                <w:szCs w:val="12"/>
                <w:color w:val="auto"/>
              </w:rPr>
            </w:pPr>
          </w:p>
        </w:tc>
        <w:tc>
          <w:tcPr>
            <w:tcW w:w="320" w:type="dxa"/>
            <w:vAlign w:val="bottom"/>
            <w:tcBorders>
              <w:bottom w:val="single" w:sz="8" w:color="CCEEFF"/>
            </w:tcBorders>
            <w:gridSpan w:val="2"/>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3040" w:type="dxa"/>
            <w:vAlign w:val="bottom"/>
            <w:tcBorders>
              <w:bottom w:val="single" w:sz="8" w:color="CCEEFF"/>
            </w:tcBorders>
            <w:gridSpan w:val="2"/>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line="127" w:lineRule="exact"/>
              <w:rPr>
                <w:sz w:val="20"/>
                <w:szCs w:val="20"/>
                <w:color w:val="auto"/>
              </w:rPr>
            </w:pPr>
            <w:r>
              <w:rPr>
                <w:rFonts w:ascii="Arial" w:cs="Arial" w:eastAsia="Arial" w:hAnsi="Arial"/>
                <w:sz w:val="14"/>
                <w:szCs w:val="14"/>
                <w:color w:val="0000EE"/>
                <w:w w:val="89"/>
              </w:rPr>
              <w:t>20</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60" w:type="dxa"/>
            <w:vAlign w:val="bottom"/>
            <w:tcBorders>
              <w:bottom w:val="single" w:sz="8" w:color="CCEEFF"/>
            </w:tcBorders>
            <w:gridSpan w:val="4"/>
            <w:shd w:val="clear" w:color="auto" w:fill="CCEEFF"/>
          </w:tcPr>
          <w:p>
            <w:pPr>
              <w:spacing w:after="0"/>
              <w:rPr>
                <w:sz w:val="2"/>
                <w:szCs w:val="2"/>
                <w:color w:val="auto"/>
              </w:rPr>
            </w:pPr>
          </w:p>
        </w:tc>
        <w:tc>
          <w:tcPr>
            <w:tcW w:w="340" w:type="dxa"/>
            <w:vAlign w:val="bottom"/>
            <w:tcBorders>
              <w:bottom w:val="single" w:sz="8" w:color="CCEEFF"/>
            </w:tcBorders>
            <w:gridSpan w:val="2"/>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16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gridSpan w:val="2"/>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gridSpan w:val="2"/>
            <w:vMerge w:val="continue"/>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4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360" w:type="dxa"/>
            <w:vAlign w:val="bottom"/>
            <w:tcBorders>
              <w:bottom w:val="single" w:sz="8" w:color="CCEEFF"/>
            </w:tcBorders>
            <w:gridSpan w:val="3"/>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vMerge w:val="continue"/>
            <w:shd w:val="clear" w:color="auto" w:fill="CCEEFF"/>
          </w:tcPr>
          <w:p>
            <w:pPr>
              <w:spacing w:after="0"/>
              <w:rPr>
                <w:sz w:val="2"/>
                <w:szCs w:val="2"/>
                <w:color w:val="auto"/>
              </w:rPr>
            </w:pPr>
          </w:p>
        </w:tc>
        <w:tc>
          <w:tcPr>
            <w:tcW w:w="32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3040" w:type="dxa"/>
            <w:vAlign w:val="bottom"/>
            <w:tcBorders>
              <w:bottom w:val="single" w:sz="8" w:color="CCEEFF"/>
            </w:tcBorders>
            <w:gridSpan w:val="2"/>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740" w:type="dxa"/>
            <w:vAlign w:val="bottom"/>
            <w:tcBorders>
              <w:bottom w:val="single" w:sz="8" w:color="0000EE"/>
            </w:tcBorders>
            <w:gridSpan w:val="21"/>
          </w:tcPr>
          <w:p>
            <w:pPr>
              <w:spacing w:after="0" w:line="127" w:lineRule="exact"/>
              <w:rPr>
                <w:sz w:val="20"/>
                <w:szCs w:val="20"/>
                <w:color w:val="auto"/>
              </w:rPr>
            </w:pPr>
            <w:r>
              <w:rPr>
                <w:rFonts w:ascii="Arial" w:cs="Arial" w:eastAsia="Arial" w:hAnsi="Arial"/>
                <w:sz w:val="14"/>
                <w:szCs w:val="14"/>
                <w:color w:val="0000EE"/>
              </w:rPr>
              <w:t>Committees of our Board of Directors</w:t>
            </w:r>
          </w:p>
        </w:tc>
        <w:tc>
          <w:tcPr>
            <w:tcW w:w="80" w:type="dxa"/>
            <w:vAlign w:val="bottom"/>
            <w:gridSpan w:val="2"/>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360" w:type="dxa"/>
            <w:vAlign w:val="bottom"/>
            <w:gridSpan w:val="3"/>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80" w:type="dxa"/>
            <w:vAlign w:val="bottom"/>
            <w:vMerge w:val="restart"/>
          </w:tcPr>
          <w:p>
            <w:pPr>
              <w:spacing w:after="0"/>
              <w:rPr>
                <w:sz w:val="11"/>
                <w:szCs w:val="11"/>
                <w:color w:val="auto"/>
              </w:rPr>
            </w:pPr>
          </w:p>
        </w:tc>
        <w:tc>
          <w:tcPr>
            <w:tcW w:w="320" w:type="dxa"/>
            <w:vAlign w:val="bottom"/>
            <w:gridSpan w:val="2"/>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3040" w:type="dxa"/>
            <w:vAlign w:val="bottom"/>
            <w:gridSpan w:val="2"/>
            <w:vMerge w:val="restart"/>
          </w:tcPr>
          <w:p>
            <w:pPr>
              <w:spacing w:after="0"/>
              <w:rPr>
                <w:sz w:val="11"/>
                <w:szCs w:val="11"/>
                <w:color w:val="auto"/>
              </w:rPr>
            </w:pPr>
          </w:p>
        </w:tc>
        <w:tc>
          <w:tcPr>
            <w:tcW w:w="14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line="127" w:lineRule="exact"/>
              <w:rPr>
                <w:sz w:val="20"/>
                <w:szCs w:val="20"/>
                <w:color w:val="auto"/>
              </w:rPr>
            </w:pPr>
            <w:r>
              <w:rPr>
                <w:rFonts w:ascii="Arial" w:cs="Arial" w:eastAsia="Arial" w:hAnsi="Arial"/>
                <w:sz w:val="14"/>
                <w:szCs w:val="14"/>
                <w:color w:val="0000EE"/>
                <w:w w:val="89"/>
              </w:rPr>
              <w:t>20</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60" w:type="dxa"/>
            <w:vAlign w:val="bottom"/>
            <w:gridSpan w:val="4"/>
          </w:tcPr>
          <w:p>
            <w:pPr>
              <w:spacing w:after="0"/>
              <w:rPr>
                <w:sz w:val="2"/>
                <w:szCs w:val="2"/>
                <w:color w:val="auto"/>
              </w:rPr>
            </w:pPr>
          </w:p>
        </w:tc>
        <w:tc>
          <w:tcPr>
            <w:tcW w:w="34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8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60" w:type="dxa"/>
            <w:vAlign w:val="bottom"/>
            <w:gridSpan w:val="3"/>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3040" w:type="dxa"/>
            <w:vAlign w:val="bottom"/>
            <w:gridSpan w:val="2"/>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500" w:type="dxa"/>
            <w:vAlign w:val="bottom"/>
            <w:tcBorders>
              <w:bottom w:val="single" w:sz="8" w:color="0000EE"/>
            </w:tcBorders>
            <w:gridSpan w:val="19"/>
            <w:shd w:val="clear" w:color="auto" w:fill="CCEEFF"/>
          </w:tcPr>
          <w:p>
            <w:pPr>
              <w:spacing w:after="0" w:line="127" w:lineRule="exact"/>
              <w:rPr>
                <w:sz w:val="20"/>
                <w:szCs w:val="20"/>
                <w:color w:val="auto"/>
              </w:rPr>
            </w:pPr>
            <w:r>
              <w:rPr>
                <w:rFonts w:ascii="Arial" w:cs="Arial" w:eastAsia="Arial" w:hAnsi="Arial"/>
                <w:sz w:val="14"/>
                <w:szCs w:val="14"/>
                <w:color w:val="0000EE"/>
              </w:rPr>
              <w:t>Corporate Governance Guidelines</w:t>
            </w:r>
          </w:p>
        </w:tc>
        <w:tc>
          <w:tcPr>
            <w:tcW w:w="320" w:type="dxa"/>
            <w:vAlign w:val="bottom"/>
            <w:tcBorders>
              <w:bottom w:val="single" w:sz="8" w:color="CCEEFF"/>
            </w:tcBorders>
            <w:gridSpan w:val="4"/>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360" w:type="dxa"/>
            <w:vAlign w:val="bottom"/>
            <w:tcBorders>
              <w:bottom w:val="single" w:sz="8" w:color="CCEEFF"/>
            </w:tcBorders>
            <w:gridSpan w:val="3"/>
            <w:vMerge w:val="restart"/>
            <w:shd w:val="clear" w:color="auto" w:fill="CCEEFF"/>
          </w:tcPr>
          <w:p>
            <w:pPr>
              <w:spacing w:after="0"/>
              <w:rPr>
                <w:sz w:val="12"/>
                <w:szCs w:val="12"/>
                <w:color w:val="auto"/>
              </w:rPr>
            </w:pPr>
          </w:p>
        </w:tc>
        <w:tc>
          <w:tcPr>
            <w:tcW w:w="16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280" w:type="dxa"/>
            <w:vAlign w:val="bottom"/>
            <w:tcBorders>
              <w:bottom w:val="single" w:sz="8" w:color="CCEEFF"/>
            </w:tcBorders>
            <w:vMerge w:val="restart"/>
            <w:shd w:val="clear" w:color="auto" w:fill="CCEEFF"/>
          </w:tcPr>
          <w:p>
            <w:pPr>
              <w:spacing w:after="0"/>
              <w:rPr>
                <w:sz w:val="12"/>
                <w:szCs w:val="12"/>
                <w:color w:val="auto"/>
              </w:rPr>
            </w:pPr>
          </w:p>
        </w:tc>
        <w:tc>
          <w:tcPr>
            <w:tcW w:w="320" w:type="dxa"/>
            <w:vAlign w:val="bottom"/>
            <w:tcBorders>
              <w:bottom w:val="single" w:sz="8" w:color="CCEEFF"/>
            </w:tcBorders>
            <w:gridSpan w:val="2"/>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3040" w:type="dxa"/>
            <w:vAlign w:val="bottom"/>
            <w:tcBorders>
              <w:bottom w:val="single" w:sz="8" w:color="CCEEFF"/>
            </w:tcBorders>
            <w:gridSpan w:val="2"/>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line="127" w:lineRule="exact"/>
              <w:rPr>
                <w:sz w:val="20"/>
                <w:szCs w:val="20"/>
                <w:color w:val="auto"/>
              </w:rPr>
            </w:pPr>
            <w:r>
              <w:rPr>
                <w:rFonts w:ascii="Arial" w:cs="Arial" w:eastAsia="Arial" w:hAnsi="Arial"/>
                <w:sz w:val="14"/>
                <w:szCs w:val="14"/>
                <w:color w:val="0000EE"/>
                <w:w w:val="89"/>
              </w:rPr>
              <w:t>23</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60" w:type="dxa"/>
            <w:vAlign w:val="bottom"/>
            <w:tcBorders>
              <w:bottom w:val="single" w:sz="8" w:color="CCEEFF"/>
            </w:tcBorders>
            <w:gridSpan w:val="4"/>
            <w:shd w:val="clear" w:color="auto" w:fill="CCEEFF"/>
          </w:tcPr>
          <w:p>
            <w:pPr>
              <w:spacing w:after="0"/>
              <w:rPr>
                <w:sz w:val="2"/>
                <w:szCs w:val="2"/>
                <w:color w:val="auto"/>
              </w:rPr>
            </w:pPr>
          </w:p>
        </w:tc>
        <w:tc>
          <w:tcPr>
            <w:tcW w:w="340" w:type="dxa"/>
            <w:vAlign w:val="bottom"/>
            <w:tcBorders>
              <w:bottom w:val="single" w:sz="8" w:color="CCEEFF"/>
            </w:tcBorders>
            <w:gridSpan w:val="2"/>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16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gridSpan w:val="3"/>
            <w:shd w:val="clear" w:color="auto" w:fill="CCEEFF"/>
          </w:tcPr>
          <w:p>
            <w:pPr>
              <w:spacing w:after="0"/>
              <w:rPr>
                <w:sz w:val="2"/>
                <w:szCs w:val="2"/>
                <w:color w:val="auto"/>
              </w:rPr>
            </w:pPr>
          </w:p>
        </w:tc>
        <w:tc>
          <w:tcPr>
            <w:tcW w:w="80" w:type="dxa"/>
            <w:vAlign w:val="bottom"/>
            <w:tcBorders>
              <w:bottom w:val="single" w:sz="8" w:color="CCEEFF"/>
            </w:tcBorders>
            <w:gridSpan w:val="2"/>
            <w:shd w:val="clear" w:color="auto" w:fill="CCEEFF"/>
          </w:tcPr>
          <w:p>
            <w:pPr>
              <w:spacing w:after="0"/>
              <w:rPr>
                <w:sz w:val="2"/>
                <w:szCs w:val="2"/>
                <w:color w:val="auto"/>
              </w:rPr>
            </w:pPr>
          </w:p>
        </w:tc>
        <w:tc>
          <w:tcPr>
            <w:tcW w:w="14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320" w:type="dxa"/>
            <w:vAlign w:val="bottom"/>
            <w:tcBorders>
              <w:bottom w:val="single" w:sz="8" w:color="CCEEFF"/>
            </w:tcBorders>
            <w:gridSpan w:val="4"/>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360" w:type="dxa"/>
            <w:vAlign w:val="bottom"/>
            <w:tcBorders>
              <w:bottom w:val="single" w:sz="8" w:color="CCEEFF"/>
            </w:tcBorders>
            <w:gridSpan w:val="3"/>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vMerge w:val="continue"/>
            <w:shd w:val="clear" w:color="auto" w:fill="CCEEFF"/>
          </w:tcPr>
          <w:p>
            <w:pPr>
              <w:spacing w:after="0"/>
              <w:rPr>
                <w:sz w:val="2"/>
                <w:szCs w:val="2"/>
                <w:color w:val="auto"/>
              </w:rPr>
            </w:pPr>
          </w:p>
        </w:tc>
        <w:tc>
          <w:tcPr>
            <w:tcW w:w="32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3040" w:type="dxa"/>
            <w:vAlign w:val="bottom"/>
            <w:tcBorders>
              <w:bottom w:val="single" w:sz="8" w:color="CCEEFF"/>
            </w:tcBorders>
            <w:gridSpan w:val="2"/>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400" w:type="dxa"/>
            <w:vAlign w:val="bottom"/>
            <w:tcBorders>
              <w:bottom w:val="single" w:sz="8" w:color="0000EE"/>
            </w:tcBorders>
            <w:gridSpan w:val="6"/>
          </w:tcPr>
          <w:p>
            <w:pPr>
              <w:spacing w:after="0" w:line="127" w:lineRule="exact"/>
              <w:rPr>
                <w:sz w:val="20"/>
                <w:szCs w:val="20"/>
                <w:color w:val="auto"/>
              </w:rPr>
            </w:pPr>
            <w:r>
              <w:rPr>
                <w:rFonts w:ascii="Arial" w:cs="Arial" w:eastAsia="Arial" w:hAnsi="Arial"/>
                <w:sz w:val="14"/>
                <w:szCs w:val="14"/>
                <w:color w:val="0000EE"/>
              </w:rPr>
              <w:t>Shareholder Rights</w:t>
            </w:r>
          </w:p>
        </w:tc>
        <w:tc>
          <w:tcPr>
            <w:tcW w:w="260" w:type="dxa"/>
            <w:vAlign w:val="bottom"/>
            <w:gridSpan w:val="2"/>
            <w:vMerge w:val="restart"/>
          </w:tcPr>
          <w:p>
            <w:pPr>
              <w:spacing w:after="0"/>
              <w:rPr>
                <w:sz w:val="11"/>
                <w:szCs w:val="11"/>
                <w:color w:val="auto"/>
              </w:rPr>
            </w:pPr>
          </w:p>
        </w:tc>
        <w:tc>
          <w:tcPr>
            <w:tcW w:w="160" w:type="dxa"/>
            <w:vAlign w:val="bottom"/>
            <w:gridSpan w:val="2"/>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380" w:type="dxa"/>
            <w:vAlign w:val="bottom"/>
            <w:gridSpan w:val="3"/>
            <w:vMerge w:val="restart"/>
          </w:tcPr>
          <w:p>
            <w:pPr>
              <w:spacing w:after="0"/>
              <w:rPr>
                <w:sz w:val="11"/>
                <w:szCs w:val="11"/>
                <w:color w:val="auto"/>
              </w:rPr>
            </w:pPr>
          </w:p>
        </w:tc>
        <w:tc>
          <w:tcPr>
            <w:tcW w:w="80" w:type="dxa"/>
            <w:vAlign w:val="bottom"/>
            <w:gridSpan w:val="2"/>
            <w:vMerge w:val="restart"/>
          </w:tcPr>
          <w:p>
            <w:pPr>
              <w:spacing w:after="0"/>
              <w:rPr>
                <w:sz w:val="11"/>
                <w:szCs w:val="11"/>
                <w:color w:val="auto"/>
              </w:rPr>
            </w:pPr>
          </w:p>
        </w:tc>
        <w:tc>
          <w:tcPr>
            <w:tcW w:w="140" w:type="dxa"/>
            <w:vAlign w:val="bottom"/>
            <w:gridSpan w:val="2"/>
            <w:vMerge w:val="restart"/>
          </w:tcPr>
          <w:p>
            <w:pPr>
              <w:spacing w:after="0"/>
              <w:rPr>
                <w:sz w:val="11"/>
                <w:szCs w:val="11"/>
                <w:color w:val="auto"/>
              </w:rPr>
            </w:pPr>
          </w:p>
        </w:tc>
        <w:tc>
          <w:tcPr>
            <w:tcW w:w="360" w:type="dxa"/>
            <w:vAlign w:val="bottom"/>
            <w:gridSpan w:val="5"/>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360" w:type="dxa"/>
            <w:vAlign w:val="bottom"/>
            <w:gridSpan w:val="3"/>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80" w:type="dxa"/>
            <w:vAlign w:val="bottom"/>
            <w:vMerge w:val="restart"/>
          </w:tcPr>
          <w:p>
            <w:pPr>
              <w:spacing w:after="0"/>
              <w:rPr>
                <w:sz w:val="11"/>
                <w:szCs w:val="11"/>
                <w:color w:val="auto"/>
              </w:rPr>
            </w:pPr>
          </w:p>
        </w:tc>
        <w:tc>
          <w:tcPr>
            <w:tcW w:w="320" w:type="dxa"/>
            <w:vAlign w:val="bottom"/>
            <w:gridSpan w:val="2"/>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3040" w:type="dxa"/>
            <w:vAlign w:val="bottom"/>
            <w:gridSpan w:val="2"/>
            <w:vMerge w:val="restart"/>
          </w:tcPr>
          <w:p>
            <w:pPr>
              <w:spacing w:after="0"/>
              <w:rPr>
                <w:sz w:val="11"/>
                <w:szCs w:val="11"/>
                <w:color w:val="auto"/>
              </w:rPr>
            </w:pPr>
          </w:p>
        </w:tc>
        <w:tc>
          <w:tcPr>
            <w:tcW w:w="14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line="127" w:lineRule="exact"/>
              <w:rPr>
                <w:sz w:val="20"/>
                <w:szCs w:val="20"/>
                <w:color w:val="auto"/>
              </w:rPr>
            </w:pPr>
            <w:r>
              <w:rPr>
                <w:rFonts w:ascii="Arial" w:cs="Arial" w:eastAsia="Arial" w:hAnsi="Arial"/>
                <w:sz w:val="14"/>
                <w:szCs w:val="14"/>
                <w:color w:val="0000EE"/>
                <w:w w:val="89"/>
              </w:rPr>
              <w:t>23</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60" w:type="dxa"/>
            <w:vAlign w:val="bottom"/>
            <w:gridSpan w:val="4"/>
          </w:tcPr>
          <w:p>
            <w:pPr>
              <w:spacing w:after="0"/>
              <w:rPr>
                <w:sz w:val="2"/>
                <w:szCs w:val="2"/>
                <w:color w:val="auto"/>
              </w:rPr>
            </w:pPr>
          </w:p>
        </w:tc>
        <w:tc>
          <w:tcPr>
            <w:tcW w:w="340" w:type="dxa"/>
            <w:vAlign w:val="bottom"/>
            <w:gridSpan w:val="2"/>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160" w:type="dxa"/>
            <w:vAlign w:val="bottom"/>
            <w:gridSpan w:val="2"/>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380" w:type="dxa"/>
            <w:vAlign w:val="bottom"/>
            <w:gridSpan w:val="3"/>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360" w:type="dxa"/>
            <w:vAlign w:val="bottom"/>
            <w:gridSpan w:val="5"/>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60" w:type="dxa"/>
            <w:vAlign w:val="bottom"/>
            <w:gridSpan w:val="3"/>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3040" w:type="dxa"/>
            <w:vAlign w:val="bottom"/>
            <w:gridSpan w:val="2"/>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860" w:type="dxa"/>
            <w:vAlign w:val="bottom"/>
            <w:tcBorders>
              <w:bottom w:val="single" w:sz="8" w:color="0000EE"/>
            </w:tcBorders>
            <w:gridSpan w:val="11"/>
            <w:shd w:val="clear" w:color="auto" w:fill="CCEEFF"/>
          </w:tcPr>
          <w:p>
            <w:pPr>
              <w:spacing w:after="0" w:line="127" w:lineRule="exact"/>
              <w:rPr>
                <w:sz w:val="20"/>
                <w:szCs w:val="20"/>
                <w:color w:val="auto"/>
              </w:rPr>
            </w:pPr>
            <w:r>
              <w:rPr>
                <w:rFonts w:ascii="Arial" w:cs="Arial" w:eastAsia="Arial" w:hAnsi="Arial"/>
                <w:sz w:val="14"/>
                <w:szCs w:val="14"/>
                <w:color w:val="0000EE"/>
              </w:rPr>
              <w:t>Shareholder Engagement</w:t>
            </w:r>
          </w:p>
        </w:tc>
        <w:tc>
          <w:tcPr>
            <w:tcW w:w="380" w:type="dxa"/>
            <w:vAlign w:val="bottom"/>
            <w:tcBorders>
              <w:bottom w:val="single" w:sz="8" w:color="CCEEFF"/>
            </w:tcBorders>
            <w:gridSpan w:val="3"/>
            <w:vMerge w:val="restart"/>
            <w:shd w:val="clear" w:color="auto" w:fill="CCEEFF"/>
          </w:tcPr>
          <w:p>
            <w:pPr>
              <w:spacing w:after="0"/>
              <w:rPr>
                <w:sz w:val="12"/>
                <w:szCs w:val="12"/>
                <w:color w:val="auto"/>
              </w:rPr>
            </w:pPr>
          </w:p>
        </w:tc>
        <w:tc>
          <w:tcPr>
            <w:tcW w:w="80" w:type="dxa"/>
            <w:vAlign w:val="bottom"/>
            <w:tcBorders>
              <w:bottom w:val="single" w:sz="8" w:color="CCEEFF"/>
            </w:tcBorders>
            <w:gridSpan w:val="2"/>
            <w:vMerge w:val="restart"/>
            <w:shd w:val="clear" w:color="auto" w:fill="CCEEFF"/>
          </w:tcPr>
          <w:p>
            <w:pPr>
              <w:spacing w:after="0"/>
              <w:rPr>
                <w:sz w:val="12"/>
                <w:szCs w:val="12"/>
                <w:color w:val="auto"/>
              </w:rPr>
            </w:pPr>
          </w:p>
        </w:tc>
        <w:tc>
          <w:tcPr>
            <w:tcW w:w="140" w:type="dxa"/>
            <w:vAlign w:val="bottom"/>
            <w:tcBorders>
              <w:bottom w:val="single" w:sz="8" w:color="CCEEFF"/>
            </w:tcBorders>
            <w:gridSpan w:val="2"/>
            <w:vMerge w:val="restart"/>
            <w:shd w:val="clear" w:color="auto" w:fill="CCEEFF"/>
          </w:tcPr>
          <w:p>
            <w:pPr>
              <w:spacing w:after="0"/>
              <w:rPr>
                <w:sz w:val="12"/>
                <w:szCs w:val="12"/>
                <w:color w:val="auto"/>
              </w:rPr>
            </w:pPr>
          </w:p>
        </w:tc>
        <w:tc>
          <w:tcPr>
            <w:tcW w:w="360" w:type="dxa"/>
            <w:vAlign w:val="bottom"/>
            <w:tcBorders>
              <w:bottom w:val="single" w:sz="8" w:color="CCEEFF"/>
            </w:tcBorders>
            <w:gridSpan w:val="5"/>
            <w:vMerge w:val="restart"/>
            <w:shd w:val="clear" w:color="auto" w:fill="CCEEFF"/>
          </w:tcPr>
          <w:p>
            <w:pPr>
              <w:spacing w:after="0"/>
              <w:rPr>
                <w:sz w:val="12"/>
                <w:szCs w:val="12"/>
                <w:color w:val="auto"/>
              </w:rPr>
            </w:pPr>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360" w:type="dxa"/>
            <w:vAlign w:val="bottom"/>
            <w:tcBorders>
              <w:bottom w:val="single" w:sz="8" w:color="CCEEFF"/>
            </w:tcBorders>
            <w:gridSpan w:val="3"/>
            <w:vMerge w:val="restart"/>
            <w:shd w:val="clear" w:color="auto" w:fill="CCEEFF"/>
          </w:tcPr>
          <w:p>
            <w:pPr>
              <w:spacing w:after="0"/>
              <w:rPr>
                <w:sz w:val="12"/>
                <w:szCs w:val="12"/>
                <w:color w:val="auto"/>
              </w:rPr>
            </w:pPr>
          </w:p>
        </w:tc>
        <w:tc>
          <w:tcPr>
            <w:tcW w:w="16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280" w:type="dxa"/>
            <w:vAlign w:val="bottom"/>
            <w:tcBorders>
              <w:bottom w:val="single" w:sz="8" w:color="CCEEFF"/>
            </w:tcBorders>
            <w:vMerge w:val="restart"/>
            <w:shd w:val="clear" w:color="auto" w:fill="CCEEFF"/>
          </w:tcPr>
          <w:p>
            <w:pPr>
              <w:spacing w:after="0"/>
              <w:rPr>
                <w:sz w:val="12"/>
                <w:szCs w:val="12"/>
                <w:color w:val="auto"/>
              </w:rPr>
            </w:pPr>
          </w:p>
        </w:tc>
        <w:tc>
          <w:tcPr>
            <w:tcW w:w="320" w:type="dxa"/>
            <w:vAlign w:val="bottom"/>
            <w:tcBorders>
              <w:bottom w:val="single" w:sz="8" w:color="CCEEFF"/>
            </w:tcBorders>
            <w:gridSpan w:val="2"/>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3040" w:type="dxa"/>
            <w:vAlign w:val="bottom"/>
            <w:tcBorders>
              <w:bottom w:val="single" w:sz="8" w:color="CCEEFF"/>
            </w:tcBorders>
            <w:gridSpan w:val="2"/>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line="127" w:lineRule="exact"/>
              <w:rPr>
                <w:sz w:val="20"/>
                <w:szCs w:val="20"/>
                <w:color w:val="auto"/>
              </w:rPr>
            </w:pPr>
            <w:r>
              <w:rPr>
                <w:rFonts w:ascii="Arial" w:cs="Arial" w:eastAsia="Arial" w:hAnsi="Arial"/>
                <w:sz w:val="14"/>
                <w:szCs w:val="14"/>
                <w:color w:val="0000EE"/>
                <w:w w:val="89"/>
              </w:rPr>
              <w:t>24</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60" w:type="dxa"/>
            <w:vAlign w:val="bottom"/>
            <w:tcBorders>
              <w:bottom w:val="single" w:sz="8" w:color="CCEEFF"/>
            </w:tcBorders>
            <w:gridSpan w:val="4"/>
            <w:shd w:val="clear" w:color="auto" w:fill="CCEEFF"/>
          </w:tcPr>
          <w:p>
            <w:pPr>
              <w:spacing w:after="0"/>
              <w:rPr>
                <w:sz w:val="2"/>
                <w:szCs w:val="2"/>
                <w:color w:val="auto"/>
              </w:rPr>
            </w:pPr>
          </w:p>
        </w:tc>
        <w:tc>
          <w:tcPr>
            <w:tcW w:w="600" w:type="dxa"/>
            <w:vAlign w:val="bottom"/>
            <w:tcBorders>
              <w:bottom w:val="single" w:sz="8" w:color="CCEEFF"/>
            </w:tcBorders>
            <w:gridSpan w:val="4"/>
            <w:shd w:val="clear" w:color="auto" w:fill="CCEEFF"/>
          </w:tcPr>
          <w:p>
            <w:pPr>
              <w:spacing w:after="0"/>
              <w:rPr>
                <w:sz w:val="2"/>
                <w:szCs w:val="2"/>
                <w:color w:val="auto"/>
              </w:rPr>
            </w:pPr>
          </w:p>
        </w:tc>
        <w:tc>
          <w:tcPr>
            <w:tcW w:w="16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gridSpan w:val="3"/>
            <w:vMerge w:val="continue"/>
            <w:shd w:val="clear" w:color="auto" w:fill="CCEEFF"/>
          </w:tcPr>
          <w:p>
            <w:pPr>
              <w:spacing w:after="0"/>
              <w:rPr>
                <w:sz w:val="2"/>
                <w:szCs w:val="2"/>
                <w:color w:val="auto"/>
              </w:rPr>
            </w:pPr>
          </w:p>
        </w:tc>
        <w:tc>
          <w:tcPr>
            <w:tcW w:w="80" w:type="dxa"/>
            <w:vAlign w:val="bottom"/>
            <w:tcBorders>
              <w:bottom w:val="single" w:sz="8" w:color="CCEEFF"/>
            </w:tcBorders>
            <w:gridSpan w:val="2"/>
            <w:vMerge w:val="continue"/>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360" w:type="dxa"/>
            <w:vAlign w:val="bottom"/>
            <w:tcBorders>
              <w:bottom w:val="single" w:sz="8" w:color="CCEEFF"/>
            </w:tcBorders>
            <w:gridSpan w:val="5"/>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360" w:type="dxa"/>
            <w:vAlign w:val="bottom"/>
            <w:tcBorders>
              <w:bottom w:val="single" w:sz="8" w:color="CCEEFF"/>
            </w:tcBorders>
            <w:gridSpan w:val="3"/>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vMerge w:val="continue"/>
            <w:shd w:val="clear" w:color="auto" w:fill="CCEEFF"/>
          </w:tcPr>
          <w:p>
            <w:pPr>
              <w:spacing w:after="0"/>
              <w:rPr>
                <w:sz w:val="2"/>
                <w:szCs w:val="2"/>
                <w:color w:val="auto"/>
              </w:rPr>
            </w:pPr>
          </w:p>
        </w:tc>
        <w:tc>
          <w:tcPr>
            <w:tcW w:w="32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3040" w:type="dxa"/>
            <w:vAlign w:val="bottom"/>
            <w:tcBorders>
              <w:bottom w:val="single" w:sz="8" w:color="CCEEFF"/>
            </w:tcBorders>
            <w:gridSpan w:val="2"/>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060" w:type="dxa"/>
            <w:vAlign w:val="bottom"/>
            <w:tcBorders>
              <w:bottom w:val="single" w:sz="8" w:color="0000EE"/>
            </w:tcBorders>
            <w:gridSpan w:val="4"/>
          </w:tcPr>
          <w:p>
            <w:pPr>
              <w:spacing w:after="0" w:line="127" w:lineRule="exact"/>
              <w:rPr>
                <w:sz w:val="20"/>
                <w:szCs w:val="20"/>
                <w:color w:val="auto"/>
              </w:rPr>
            </w:pPr>
            <w:r>
              <w:rPr>
                <w:rFonts w:ascii="Arial" w:cs="Arial" w:eastAsia="Arial" w:hAnsi="Arial"/>
                <w:sz w:val="14"/>
                <w:szCs w:val="14"/>
                <w:color w:val="0000EE"/>
              </w:rPr>
              <w:t>Code of Ethics</w:t>
            </w:r>
          </w:p>
        </w:tc>
        <w:tc>
          <w:tcPr>
            <w:tcW w:w="600" w:type="dxa"/>
            <w:vAlign w:val="bottom"/>
            <w:gridSpan w:val="4"/>
            <w:vMerge w:val="restart"/>
          </w:tcPr>
          <w:p>
            <w:pPr>
              <w:spacing w:after="0"/>
              <w:rPr>
                <w:sz w:val="11"/>
                <w:szCs w:val="11"/>
                <w:color w:val="auto"/>
              </w:rPr>
            </w:pPr>
          </w:p>
        </w:tc>
        <w:tc>
          <w:tcPr>
            <w:tcW w:w="160" w:type="dxa"/>
            <w:vAlign w:val="bottom"/>
            <w:gridSpan w:val="2"/>
            <w:vMerge w:val="restart"/>
          </w:tcPr>
          <w:p>
            <w:pPr>
              <w:spacing w:after="0"/>
              <w:rPr>
                <w:sz w:val="11"/>
                <w:szCs w:val="11"/>
                <w:color w:val="auto"/>
              </w:rPr>
            </w:pPr>
          </w:p>
        </w:tc>
        <w:tc>
          <w:tcPr>
            <w:tcW w:w="420" w:type="dxa"/>
            <w:vAlign w:val="bottom"/>
            <w:gridSpan w:val="4"/>
            <w:vMerge w:val="restart"/>
          </w:tcPr>
          <w:p>
            <w:pPr>
              <w:spacing w:after="0"/>
              <w:rPr>
                <w:sz w:val="11"/>
                <w:szCs w:val="11"/>
                <w:color w:val="auto"/>
              </w:rPr>
            </w:pPr>
          </w:p>
        </w:tc>
        <w:tc>
          <w:tcPr>
            <w:tcW w:w="80" w:type="dxa"/>
            <w:vAlign w:val="bottom"/>
            <w:gridSpan w:val="2"/>
            <w:vMerge w:val="restart"/>
          </w:tcPr>
          <w:p>
            <w:pPr>
              <w:spacing w:after="0"/>
              <w:rPr>
                <w:sz w:val="11"/>
                <w:szCs w:val="11"/>
                <w:color w:val="auto"/>
              </w:rPr>
            </w:pPr>
          </w:p>
        </w:tc>
        <w:tc>
          <w:tcPr>
            <w:tcW w:w="140" w:type="dxa"/>
            <w:vAlign w:val="bottom"/>
            <w:gridSpan w:val="2"/>
            <w:vMerge w:val="restart"/>
          </w:tcPr>
          <w:p>
            <w:pPr>
              <w:spacing w:after="0"/>
              <w:rPr>
                <w:sz w:val="11"/>
                <w:szCs w:val="11"/>
                <w:color w:val="auto"/>
              </w:rPr>
            </w:pPr>
          </w:p>
        </w:tc>
        <w:tc>
          <w:tcPr>
            <w:tcW w:w="360" w:type="dxa"/>
            <w:vAlign w:val="bottom"/>
            <w:gridSpan w:val="5"/>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360" w:type="dxa"/>
            <w:vAlign w:val="bottom"/>
            <w:gridSpan w:val="3"/>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280" w:type="dxa"/>
            <w:vAlign w:val="bottom"/>
            <w:vMerge w:val="restart"/>
          </w:tcPr>
          <w:p>
            <w:pPr>
              <w:spacing w:after="0"/>
              <w:rPr>
                <w:sz w:val="11"/>
                <w:szCs w:val="11"/>
                <w:color w:val="auto"/>
              </w:rPr>
            </w:pPr>
          </w:p>
        </w:tc>
        <w:tc>
          <w:tcPr>
            <w:tcW w:w="320" w:type="dxa"/>
            <w:vAlign w:val="bottom"/>
            <w:gridSpan w:val="2"/>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3040" w:type="dxa"/>
            <w:vAlign w:val="bottom"/>
            <w:gridSpan w:val="2"/>
            <w:vMerge w:val="restart"/>
          </w:tcPr>
          <w:p>
            <w:pPr>
              <w:spacing w:after="0"/>
              <w:rPr>
                <w:sz w:val="11"/>
                <w:szCs w:val="11"/>
                <w:color w:val="auto"/>
              </w:rPr>
            </w:pPr>
          </w:p>
        </w:tc>
        <w:tc>
          <w:tcPr>
            <w:tcW w:w="14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line="127" w:lineRule="exact"/>
              <w:rPr>
                <w:sz w:val="20"/>
                <w:szCs w:val="20"/>
                <w:color w:val="auto"/>
              </w:rPr>
            </w:pPr>
            <w:r>
              <w:rPr>
                <w:rFonts w:ascii="Arial" w:cs="Arial" w:eastAsia="Arial" w:hAnsi="Arial"/>
                <w:sz w:val="14"/>
                <w:szCs w:val="14"/>
                <w:color w:val="0000EE"/>
                <w:w w:val="89"/>
              </w:rPr>
              <w:t>24</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60" w:type="dxa"/>
            <w:vAlign w:val="bottom"/>
            <w:gridSpan w:val="4"/>
          </w:tcPr>
          <w:p>
            <w:pPr>
              <w:spacing w:after="0"/>
              <w:rPr>
                <w:sz w:val="2"/>
                <w:szCs w:val="2"/>
                <w:color w:val="auto"/>
              </w:rPr>
            </w:pPr>
          </w:p>
        </w:tc>
        <w:tc>
          <w:tcPr>
            <w:tcW w:w="600" w:type="dxa"/>
            <w:vAlign w:val="bottom"/>
            <w:gridSpan w:val="4"/>
            <w:vMerge w:val="continue"/>
          </w:tcPr>
          <w:p>
            <w:pPr>
              <w:spacing w:after="0"/>
              <w:rPr>
                <w:sz w:val="2"/>
                <w:szCs w:val="2"/>
                <w:color w:val="auto"/>
              </w:rPr>
            </w:pPr>
          </w:p>
        </w:tc>
        <w:tc>
          <w:tcPr>
            <w:tcW w:w="160" w:type="dxa"/>
            <w:vAlign w:val="bottom"/>
            <w:gridSpan w:val="2"/>
            <w:vMerge w:val="continue"/>
          </w:tcPr>
          <w:p>
            <w:pPr>
              <w:spacing w:after="0"/>
              <w:rPr>
                <w:sz w:val="2"/>
                <w:szCs w:val="2"/>
                <w:color w:val="auto"/>
              </w:rPr>
            </w:pPr>
          </w:p>
        </w:tc>
        <w:tc>
          <w:tcPr>
            <w:tcW w:w="420" w:type="dxa"/>
            <w:vAlign w:val="bottom"/>
            <w:gridSpan w:val="4"/>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360" w:type="dxa"/>
            <w:vAlign w:val="bottom"/>
            <w:gridSpan w:val="5"/>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60" w:type="dxa"/>
            <w:vAlign w:val="bottom"/>
            <w:gridSpan w:val="3"/>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3040" w:type="dxa"/>
            <w:vAlign w:val="bottom"/>
            <w:gridSpan w:val="2"/>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3040" w:type="dxa"/>
            <w:vAlign w:val="bottom"/>
            <w:tcBorders>
              <w:bottom w:val="single" w:sz="8" w:color="0000EE"/>
            </w:tcBorders>
            <w:gridSpan w:val="26"/>
            <w:shd w:val="clear" w:color="auto" w:fill="CCEEFF"/>
          </w:tcPr>
          <w:p>
            <w:pPr>
              <w:spacing w:after="0" w:line="127" w:lineRule="exact"/>
              <w:rPr>
                <w:sz w:val="20"/>
                <w:szCs w:val="20"/>
                <w:color w:val="auto"/>
              </w:rPr>
            </w:pPr>
            <w:r>
              <w:rPr>
                <w:rFonts w:ascii="Arial" w:cs="Arial" w:eastAsia="Arial" w:hAnsi="Arial"/>
                <w:sz w:val="14"/>
                <w:szCs w:val="14"/>
                <w:color w:val="0000EE"/>
              </w:rPr>
              <w:t>Risk Management and Oversight Process</w:t>
            </w:r>
          </w:p>
        </w:tc>
        <w:tc>
          <w:tcPr>
            <w:tcW w:w="360" w:type="dxa"/>
            <w:vAlign w:val="bottom"/>
            <w:tcBorders>
              <w:bottom w:val="single" w:sz="8" w:color="CCEEFF"/>
            </w:tcBorders>
            <w:gridSpan w:val="3"/>
            <w:vMerge w:val="restart"/>
            <w:shd w:val="clear" w:color="auto" w:fill="CCEEFF"/>
          </w:tcPr>
          <w:p>
            <w:pPr>
              <w:spacing w:after="0"/>
              <w:rPr>
                <w:sz w:val="12"/>
                <w:szCs w:val="12"/>
                <w:color w:val="auto"/>
              </w:rPr>
            </w:pPr>
          </w:p>
        </w:tc>
        <w:tc>
          <w:tcPr>
            <w:tcW w:w="160" w:type="dxa"/>
            <w:vAlign w:val="bottom"/>
            <w:tcBorders>
              <w:bottom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280" w:type="dxa"/>
            <w:vAlign w:val="bottom"/>
            <w:tcBorders>
              <w:bottom w:val="single" w:sz="8" w:color="CCEEFF"/>
            </w:tcBorders>
            <w:vMerge w:val="restart"/>
            <w:shd w:val="clear" w:color="auto" w:fill="CCEEFF"/>
          </w:tcPr>
          <w:p>
            <w:pPr>
              <w:spacing w:after="0"/>
              <w:rPr>
                <w:sz w:val="12"/>
                <w:szCs w:val="12"/>
                <w:color w:val="auto"/>
              </w:rPr>
            </w:pPr>
          </w:p>
        </w:tc>
        <w:tc>
          <w:tcPr>
            <w:tcW w:w="320" w:type="dxa"/>
            <w:vAlign w:val="bottom"/>
            <w:tcBorders>
              <w:bottom w:val="single" w:sz="8" w:color="CCEEFF"/>
            </w:tcBorders>
            <w:gridSpan w:val="2"/>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3040" w:type="dxa"/>
            <w:vAlign w:val="bottom"/>
            <w:tcBorders>
              <w:bottom w:val="single" w:sz="8" w:color="CCEEFF"/>
            </w:tcBorders>
            <w:gridSpan w:val="2"/>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line="127" w:lineRule="exact"/>
              <w:rPr>
                <w:sz w:val="20"/>
                <w:szCs w:val="20"/>
                <w:color w:val="auto"/>
              </w:rPr>
            </w:pPr>
            <w:r>
              <w:rPr>
                <w:rFonts w:ascii="Arial" w:cs="Arial" w:eastAsia="Arial" w:hAnsi="Arial"/>
                <w:sz w:val="14"/>
                <w:szCs w:val="14"/>
                <w:color w:val="0000EE"/>
                <w:w w:val="89"/>
              </w:rPr>
              <w:t>24</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660" w:type="dxa"/>
            <w:vAlign w:val="bottom"/>
            <w:tcBorders>
              <w:bottom w:val="single" w:sz="8" w:color="CCEEFF"/>
            </w:tcBorders>
            <w:gridSpan w:val="8"/>
            <w:shd w:val="clear" w:color="auto" w:fill="CCEEFF"/>
          </w:tcPr>
          <w:p>
            <w:pPr>
              <w:spacing w:after="0"/>
              <w:rPr>
                <w:sz w:val="2"/>
                <w:szCs w:val="2"/>
                <w:color w:val="auto"/>
              </w:rPr>
            </w:pPr>
          </w:p>
        </w:tc>
        <w:tc>
          <w:tcPr>
            <w:tcW w:w="160" w:type="dxa"/>
            <w:vAlign w:val="bottom"/>
            <w:tcBorders>
              <w:bottom w:val="single" w:sz="8" w:color="CCEEFF"/>
            </w:tcBorders>
            <w:gridSpan w:val="2"/>
            <w:shd w:val="clear" w:color="auto" w:fill="CCEEFF"/>
          </w:tcPr>
          <w:p>
            <w:pPr>
              <w:spacing w:after="0"/>
              <w:rPr>
                <w:sz w:val="2"/>
                <w:szCs w:val="2"/>
                <w:color w:val="auto"/>
              </w:rPr>
            </w:pPr>
          </w:p>
        </w:tc>
        <w:tc>
          <w:tcPr>
            <w:tcW w:w="420" w:type="dxa"/>
            <w:vAlign w:val="bottom"/>
            <w:tcBorders>
              <w:bottom w:val="single" w:sz="8" w:color="CCEEFF"/>
            </w:tcBorders>
            <w:gridSpan w:val="4"/>
            <w:shd w:val="clear" w:color="auto" w:fill="CCEEFF"/>
          </w:tcPr>
          <w:p>
            <w:pPr>
              <w:spacing w:after="0"/>
              <w:rPr>
                <w:sz w:val="2"/>
                <w:szCs w:val="2"/>
                <w:color w:val="auto"/>
              </w:rPr>
            </w:pPr>
          </w:p>
        </w:tc>
        <w:tc>
          <w:tcPr>
            <w:tcW w:w="80" w:type="dxa"/>
            <w:vAlign w:val="bottom"/>
            <w:tcBorders>
              <w:bottom w:val="single" w:sz="8" w:color="CCEEFF"/>
            </w:tcBorders>
            <w:gridSpan w:val="2"/>
            <w:shd w:val="clear" w:color="auto" w:fill="CCEEFF"/>
          </w:tcPr>
          <w:p>
            <w:pPr>
              <w:spacing w:after="0"/>
              <w:rPr>
                <w:sz w:val="2"/>
                <w:szCs w:val="2"/>
                <w:color w:val="auto"/>
              </w:rPr>
            </w:pPr>
          </w:p>
        </w:tc>
        <w:tc>
          <w:tcPr>
            <w:tcW w:w="140" w:type="dxa"/>
            <w:vAlign w:val="bottom"/>
            <w:tcBorders>
              <w:bottom w:val="single" w:sz="8" w:color="CCEEFF"/>
            </w:tcBorders>
            <w:gridSpan w:val="2"/>
            <w:shd w:val="clear" w:color="auto" w:fill="CCEEFF"/>
          </w:tcPr>
          <w:p>
            <w:pPr>
              <w:spacing w:after="0"/>
              <w:rPr>
                <w:sz w:val="2"/>
                <w:szCs w:val="2"/>
                <w:color w:val="auto"/>
              </w:rPr>
            </w:pPr>
          </w:p>
        </w:tc>
        <w:tc>
          <w:tcPr>
            <w:tcW w:w="360" w:type="dxa"/>
            <w:vAlign w:val="bottom"/>
            <w:tcBorders>
              <w:bottom w:val="single" w:sz="8" w:color="CCEEFF"/>
            </w:tcBorders>
            <w:gridSpan w:val="5"/>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360" w:type="dxa"/>
            <w:vAlign w:val="bottom"/>
            <w:tcBorders>
              <w:bottom w:val="single" w:sz="8" w:color="CCEEFF"/>
            </w:tcBorders>
            <w:gridSpan w:val="3"/>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vMerge w:val="continue"/>
            <w:shd w:val="clear" w:color="auto" w:fill="CCEEFF"/>
          </w:tcPr>
          <w:p>
            <w:pPr>
              <w:spacing w:after="0"/>
              <w:rPr>
                <w:sz w:val="2"/>
                <w:szCs w:val="2"/>
                <w:color w:val="auto"/>
              </w:rPr>
            </w:pPr>
          </w:p>
        </w:tc>
        <w:tc>
          <w:tcPr>
            <w:tcW w:w="32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3040" w:type="dxa"/>
            <w:vAlign w:val="bottom"/>
            <w:tcBorders>
              <w:bottom w:val="single" w:sz="8" w:color="CCEEFF"/>
            </w:tcBorders>
            <w:gridSpan w:val="2"/>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3560" w:type="dxa"/>
            <w:vAlign w:val="bottom"/>
            <w:tcBorders>
              <w:bottom w:val="single" w:sz="8" w:color="0000EE"/>
            </w:tcBorders>
            <w:gridSpan w:val="30"/>
          </w:tcPr>
          <w:p>
            <w:pPr>
              <w:spacing w:after="0" w:line="127" w:lineRule="exact"/>
              <w:rPr>
                <w:sz w:val="20"/>
                <w:szCs w:val="20"/>
                <w:color w:val="auto"/>
              </w:rPr>
            </w:pPr>
            <w:r>
              <w:rPr>
                <w:rFonts w:ascii="Arial" w:cs="Arial" w:eastAsia="Arial" w:hAnsi="Arial"/>
                <w:sz w:val="14"/>
                <w:szCs w:val="14"/>
                <w:color w:val="0000EE"/>
              </w:rPr>
              <w:t>Share Hedging, Margin Lending, Share Pledging</w:t>
            </w:r>
          </w:p>
        </w:tc>
        <w:tc>
          <w:tcPr>
            <w:tcW w:w="140" w:type="dxa"/>
            <w:vAlign w:val="bottom"/>
            <w:vMerge w:val="restart"/>
          </w:tcPr>
          <w:p>
            <w:pPr>
              <w:spacing w:after="0"/>
              <w:rPr>
                <w:sz w:val="11"/>
                <w:szCs w:val="11"/>
                <w:color w:val="auto"/>
              </w:rPr>
            </w:pPr>
          </w:p>
        </w:tc>
        <w:tc>
          <w:tcPr>
            <w:tcW w:w="280" w:type="dxa"/>
            <w:vAlign w:val="bottom"/>
            <w:vMerge w:val="restart"/>
          </w:tcPr>
          <w:p>
            <w:pPr>
              <w:spacing w:after="0"/>
              <w:rPr>
                <w:sz w:val="11"/>
                <w:szCs w:val="11"/>
                <w:color w:val="auto"/>
              </w:rPr>
            </w:pPr>
          </w:p>
        </w:tc>
        <w:tc>
          <w:tcPr>
            <w:tcW w:w="320" w:type="dxa"/>
            <w:vAlign w:val="bottom"/>
            <w:gridSpan w:val="2"/>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3040" w:type="dxa"/>
            <w:vAlign w:val="bottom"/>
            <w:gridSpan w:val="2"/>
            <w:vMerge w:val="restart"/>
          </w:tcPr>
          <w:p>
            <w:pPr>
              <w:spacing w:after="0"/>
              <w:rPr>
                <w:sz w:val="11"/>
                <w:szCs w:val="11"/>
                <w:color w:val="auto"/>
              </w:rPr>
            </w:pPr>
          </w:p>
        </w:tc>
        <w:tc>
          <w:tcPr>
            <w:tcW w:w="14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line="127" w:lineRule="exact"/>
              <w:rPr>
                <w:sz w:val="20"/>
                <w:szCs w:val="20"/>
                <w:color w:val="auto"/>
              </w:rPr>
            </w:pPr>
            <w:r>
              <w:rPr>
                <w:rFonts w:ascii="Arial" w:cs="Arial" w:eastAsia="Arial" w:hAnsi="Arial"/>
                <w:sz w:val="14"/>
                <w:szCs w:val="14"/>
                <w:color w:val="0000EE"/>
                <w:w w:val="89"/>
              </w:rPr>
              <w:t>25</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60" w:type="dxa"/>
            <w:vAlign w:val="bottom"/>
            <w:gridSpan w:val="8"/>
          </w:tcPr>
          <w:p>
            <w:pPr>
              <w:spacing w:after="0"/>
              <w:rPr>
                <w:sz w:val="2"/>
                <w:szCs w:val="2"/>
                <w:color w:val="auto"/>
              </w:rPr>
            </w:pPr>
          </w:p>
        </w:tc>
        <w:tc>
          <w:tcPr>
            <w:tcW w:w="160" w:type="dxa"/>
            <w:vAlign w:val="bottom"/>
            <w:gridSpan w:val="2"/>
          </w:tcPr>
          <w:p>
            <w:pPr>
              <w:spacing w:after="0"/>
              <w:rPr>
                <w:sz w:val="2"/>
                <w:szCs w:val="2"/>
                <w:color w:val="auto"/>
              </w:rPr>
            </w:pPr>
          </w:p>
        </w:tc>
        <w:tc>
          <w:tcPr>
            <w:tcW w:w="420" w:type="dxa"/>
            <w:vAlign w:val="bottom"/>
            <w:gridSpan w:val="4"/>
          </w:tcPr>
          <w:p>
            <w:pPr>
              <w:spacing w:after="0"/>
              <w:rPr>
                <w:sz w:val="2"/>
                <w:szCs w:val="2"/>
                <w:color w:val="auto"/>
              </w:rPr>
            </w:pPr>
          </w:p>
        </w:tc>
        <w:tc>
          <w:tcPr>
            <w:tcW w:w="8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360" w:type="dxa"/>
            <w:vAlign w:val="bottom"/>
            <w:gridSpan w:val="5"/>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gridSpan w:val="4"/>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3040" w:type="dxa"/>
            <w:vAlign w:val="bottom"/>
            <w:gridSpan w:val="2"/>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4300" w:type="dxa"/>
            <w:vAlign w:val="bottom"/>
            <w:tcBorders>
              <w:bottom w:val="single" w:sz="8" w:color="0000EE"/>
            </w:tcBorders>
            <w:gridSpan w:val="34"/>
            <w:shd w:val="clear" w:color="auto" w:fill="CCEEFF"/>
          </w:tcPr>
          <w:p>
            <w:pPr>
              <w:spacing w:after="0" w:line="127" w:lineRule="exact"/>
              <w:rPr>
                <w:sz w:val="20"/>
                <w:szCs w:val="20"/>
                <w:color w:val="auto"/>
              </w:rPr>
            </w:pPr>
            <w:r>
              <w:rPr>
                <w:rFonts w:ascii="Arial" w:cs="Arial" w:eastAsia="Arial" w:hAnsi="Arial"/>
                <w:sz w:val="14"/>
                <w:szCs w:val="14"/>
                <w:color w:val="0000EE"/>
              </w:rPr>
              <w:t>Corporate Responsibility, Sustainability and Human Rights</w:t>
            </w: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3040" w:type="dxa"/>
            <w:vAlign w:val="bottom"/>
            <w:tcBorders>
              <w:bottom w:val="single" w:sz="8" w:color="CCEEFF"/>
            </w:tcBorders>
            <w:gridSpan w:val="2"/>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line="127" w:lineRule="exact"/>
              <w:rPr>
                <w:sz w:val="20"/>
                <w:szCs w:val="20"/>
                <w:color w:val="auto"/>
              </w:rPr>
            </w:pPr>
            <w:r>
              <w:rPr>
                <w:rFonts w:ascii="Arial" w:cs="Arial" w:eastAsia="Arial" w:hAnsi="Arial"/>
                <w:sz w:val="14"/>
                <w:szCs w:val="14"/>
                <w:color w:val="0000EE"/>
                <w:w w:val="89"/>
              </w:rPr>
              <w:t>25</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660" w:type="dxa"/>
            <w:vAlign w:val="bottom"/>
            <w:tcBorders>
              <w:bottom w:val="single" w:sz="8" w:color="CCEEFF"/>
            </w:tcBorders>
            <w:gridSpan w:val="8"/>
            <w:shd w:val="clear" w:color="auto" w:fill="CCEEFF"/>
          </w:tcPr>
          <w:p>
            <w:pPr>
              <w:spacing w:after="0"/>
              <w:rPr>
                <w:sz w:val="2"/>
                <w:szCs w:val="2"/>
                <w:color w:val="auto"/>
              </w:rPr>
            </w:pPr>
          </w:p>
        </w:tc>
        <w:tc>
          <w:tcPr>
            <w:tcW w:w="160" w:type="dxa"/>
            <w:vAlign w:val="bottom"/>
            <w:tcBorders>
              <w:bottom w:val="single" w:sz="8" w:color="CCEEFF"/>
            </w:tcBorders>
            <w:gridSpan w:val="2"/>
            <w:shd w:val="clear" w:color="auto" w:fill="CCEEFF"/>
          </w:tcPr>
          <w:p>
            <w:pPr>
              <w:spacing w:after="0"/>
              <w:rPr>
                <w:sz w:val="2"/>
                <w:szCs w:val="2"/>
                <w:color w:val="auto"/>
              </w:rPr>
            </w:pPr>
          </w:p>
        </w:tc>
        <w:tc>
          <w:tcPr>
            <w:tcW w:w="420" w:type="dxa"/>
            <w:vAlign w:val="bottom"/>
            <w:tcBorders>
              <w:bottom w:val="single" w:sz="8" w:color="CCEEFF"/>
            </w:tcBorders>
            <w:gridSpan w:val="4"/>
            <w:shd w:val="clear" w:color="auto" w:fill="CCEEFF"/>
          </w:tcPr>
          <w:p>
            <w:pPr>
              <w:spacing w:after="0"/>
              <w:rPr>
                <w:sz w:val="2"/>
                <w:szCs w:val="2"/>
                <w:color w:val="auto"/>
              </w:rPr>
            </w:pPr>
          </w:p>
        </w:tc>
        <w:tc>
          <w:tcPr>
            <w:tcW w:w="80" w:type="dxa"/>
            <w:vAlign w:val="bottom"/>
            <w:tcBorders>
              <w:bottom w:val="single" w:sz="8" w:color="CCEEFF"/>
            </w:tcBorders>
            <w:gridSpan w:val="2"/>
            <w:shd w:val="clear" w:color="auto" w:fill="CCEEFF"/>
          </w:tcPr>
          <w:p>
            <w:pPr>
              <w:spacing w:after="0"/>
              <w:rPr>
                <w:sz w:val="2"/>
                <w:szCs w:val="2"/>
                <w:color w:val="auto"/>
              </w:rPr>
            </w:pPr>
          </w:p>
        </w:tc>
        <w:tc>
          <w:tcPr>
            <w:tcW w:w="140" w:type="dxa"/>
            <w:vAlign w:val="bottom"/>
            <w:tcBorders>
              <w:bottom w:val="single" w:sz="8" w:color="CCEEFF"/>
            </w:tcBorders>
            <w:gridSpan w:val="2"/>
            <w:shd w:val="clear" w:color="auto" w:fill="CCEEFF"/>
          </w:tcPr>
          <w:p>
            <w:pPr>
              <w:spacing w:after="0"/>
              <w:rPr>
                <w:sz w:val="2"/>
                <w:szCs w:val="2"/>
                <w:color w:val="auto"/>
              </w:rPr>
            </w:pPr>
          </w:p>
        </w:tc>
        <w:tc>
          <w:tcPr>
            <w:tcW w:w="360" w:type="dxa"/>
            <w:vAlign w:val="bottom"/>
            <w:tcBorders>
              <w:bottom w:val="single" w:sz="8" w:color="CCEEFF"/>
            </w:tcBorders>
            <w:gridSpan w:val="5"/>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gridSpan w:val="4"/>
            <w:shd w:val="clear" w:color="auto" w:fill="CCEEFF"/>
          </w:tcPr>
          <w:p>
            <w:pPr>
              <w:spacing w:after="0"/>
              <w:rPr>
                <w:sz w:val="2"/>
                <w:szCs w:val="2"/>
                <w:color w:val="auto"/>
              </w:rPr>
            </w:pPr>
          </w:p>
        </w:tc>
        <w:tc>
          <w:tcPr>
            <w:tcW w:w="300" w:type="dxa"/>
            <w:vAlign w:val="bottom"/>
            <w:tcBorders>
              <w:bottom w:val="single" w:sz="8" w:color="CCEEFF"/>
            </w:tcBorders>
            <w:gridSpan w:val="2"/>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320" w:type="dxa"/>
            <w:vAlign w:val="bottom"/>
            <w:tcBorders>
              <w:bottom w:val="single" w:sz="8" w:color="CCEEFF"/>
            </w:tcBorders>
            <w:gridSpan w:val="2"/>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3040" w:type="dxa"/>
            <w:vAlign w:val="bottom"/>
            <w:tcBorders>
              <w:bottom w:val="single" w:sz="8" w:color="CCEEFF"/>
            </w:tcBorders>
            <w:gridSpan w:val="2"/>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480" w:type="dxa"/>
            <w:vAlign w:val="bottom"/>
            <w:tcBorders>
              <w:bottom w:val="single" w:sz="8" w:color="0000EE"/>
            </w:tcBorders>
            <w:gridSpan w:val="18"/>
          </w:tcPr>
          <w:p>
            <w:pPr>
              <w:spacing w:after="0"/>
              <w:rPr>
                <w:sz w:val="20"/>
                <w:szCs w:val="20"/>
                <w:color w:val="auto"/>
              </w:rPr>
            </w:pPr>
            <w:r>
              <w:rPr>
                <w:rFonts w:ascii="Arial" w:cs="Arial" w:eastAsia="Arial" w:hAnsi="Arial"/>
                <w:sz w:val="15"/>
                <w:szCs w:val="15"/>
                <w:color w:val="0000EE"/>
              </w:rPr>
              <w:t>Board of Directors’ Compensation</w:t>
            </w:r>
          </w:p>
        </w:tc>
        <w:tc>
          <w:tcPr>
            <w:tcW w:w="140" w:type="dxa"/>
            <w:vAlign w:val="bottom"/>
            <w:gridSpan w:val="2"/>
            <w:vMerge w:val="restart"/>
          </w:tcPr>
          <w:p>
            <w:pPr>
              <w:spacing w:after="0"/>
              <w:rPr>
                <w:sz w:val="16"/>
                <w:szCs w:val="16"/>
                <w:color w:val="auto"/>
              </w:rPr>
            </w:pPr>
          </w:p>
        </w:tc>
        <w:tc>
          <w:tcPr>
            <w:tcW w:w="360" w:type="dxa"/>
            <w:vAlign w:val="bottom"/>
            <w:gridSpan w:val="5"/>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380" w:type="dxa"/>
            <w:vAlign w:val="bottom"/>
            <w:gridSpan w:val="4"/>
            <w:vMerge w:val="restart"/>
          </w:tcPr>
          <w:p>
            <w:pPr>
              <w:spacing w:after="0"/>
              <w:rPr>
                <w:sz w:val="16"/>
                <w:szCs w:val="16"/>
                <w:color w:val="auto"/>
              </w:rPr>
            </w:pPr>
          </w:p>
        </w:tc>
        <w:tc>
          <w:tcPr>
            <w:tcW w:w="300" w:type="dxa"/>
            <w:vAlign w:val="bottom"/>
            <w:gridSpan w:val="2"/>
            <w:vMerge w:val="restart"/>
          </w:tcPr>
          <w:p>
            <w:pPr>
              <w:spacing w:after="0"/>
              <w:rPr>
                <w:sz w:val="16"/>
                <w:szCs w:val="16"/>
                <w:color w:val="auto"/>
              </w:rPr>
            </w:pPr>
          </w:p>
        </w:tc>
        <w:tc>
          <w:tcPr>
            <w:tcW w:w="280" w:type="dxa"/>
            <w:vAlign w:val="bottom"/>
            <w:vMerge w:val="restart"/>
          </w:tcPr>
          <w:p>
            <w:pPr>
              <w:spacing w:after="0"/>
              <w:rPr>
                <w:sz w:val="16"/>
                <w:szCs w:val="16"/>
                <w:color w:val="auto"/>
              </w:rPr>
            </w:pPr>
          </w:p>
        </w:tc>
        <w:tc>
          <w:tcPr>
            <w:tcW w:w="380" w:type="dxa"/>
            <w:vAlign w:val="bottom"/>
            <w:gridSpan w:val="3"/>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3040" w:type="dxa"/>
            <w:vAlign w:val="bottom"/>
            <w:gridSpan w:val="2"/>
            <w:vMerge w:val="restart"/>
          </w:tcPr>
          <w:p>
            <w:pPr>
              <w:spacing w:after="0"/>
              <w:rPr>
                <w:sz w:val="16"/>
                <w:szCs w:val="16"/>
                <w:color w:val="auto"/>
              </w:rPr>
            </w:pPr>
          </w:p>
        </w:tc>
        <w:tc>
          <w:tcPr>
            <w:tcW w:w="14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83"/>
              </w:rPr>
              <w:t>26</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gridSpan w:val="9"/>
          </w:tcPr>
          <w:p>
            <w:pPr>
              <w:spacing w:after="0"/>
              <w:rPr>
                <w:sz w:val="2"/>
                <w:szCs w:val="2"/>
                <w:color w:val="auto"/>
              </w:rPr>
            </w:pPr>
          </w:p>
        </w:tc>
        <w:tc>
          <w:tcPr>
            <w:tcW w:w="160" w:type="dxa"/>
            <w:vAlign w:val="bottom"/>
            <w:gridSpan w:val="2"/>
          </w:tcPr>
          <w:p>
            <w:pPr>
              <w:spacing w:after="0"/>
              <w:rPr>
                <w:sz w:val="2"/>
                <w:szCs w:val="2"/>
                <w:color w:val="auto"/>
              </w:rPr>
            </w:pPr>
          </w:p>
        </w:tc>
        <w:tc>
          <w:tcPr>
            <w:tcW w:w="420" w:type="dxa"/>
            <w:vAlign w:val="bottom"/>
            <w:gridSpan w:val="4"/>
          </w:tcPr>
          <w:p>
            <w:pPr>
              <w:spacing w:after="0"/>
              <w:rPr>
                <w:sz w:val="2"/>
                <w:szCs w:val="2"/>
                <w:color w:val="auto"/>
              </w:rPr>
            </w:pPr>
          </w:p>
        </w:tc>
        <w:tc>
          <w:tcPr>
            <w:tcW w:w="80" w:type="dxa"/>
            <w:vAlign w:val="bottom"/>
            <w:gridSpan w:val="2"/>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360" w:type="dxa"/>
            <w:vAlign w:val="bottom"/>
            <w:gridSpan w:val="5"/>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380" w:type="dxa"/>
            <w:vAlign w:val="bottom"/>
            <w:gridSpan w:val="4"/>
            <w:vMerge w:val="continue"/>
          </w:tcPr>
          <w:p>
            <w:pPr>
              <w:spacing w:after="0"/>
              <w:rPr>
                <w:sz w:val="2"/>
                <w:szCs w:val="2"/>
                <w:color w:val="auto"/>
              </w:rPr>
            </w:pPr>
          </w:p>
        </w:tc>
        <w:tc>
          <w:tcPr>
            <w:tcW w:w="300" w:type="dxa"/>
            <w:vAlign w:val="bottom"/>
            <w:gridSpan w:val="2"/>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380" w:type="dxa"/>
            <w:vAlign w:val="bottom"/>
            <w:gridSpan w:val="3"/>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3040" w:type="dxa"/>
            <w:vAlign w:val="bottom"/>
            <w:gridSpan w:val="2"/>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140" w:type="dxa"/>
            <w:vAlign w:val="bottom"/>
            <w:tcBorders>
              <w:bottom w:val="single" w:sz="8" w:color="CCEEFF"/>
            </w:tcBorders>
            <w:vMerge w:val="restart"/>
            <w:shd w:val="clear" w:color="auto" w:fill="CCEEFF"/>
          </w:tcPr>
          <w:p>
            <w:pPr>
              <w:spacing w:after="0"/>
              <w:rPr>
                <w:sz w:val="18"/>
                <w:szCs w:val="18"/>
                <w:color w:val="auto"/>
              </w:rPr>
            </w:pPr>
          </w:p>
        </w:tc>
        <w:tc>
          <w:tcPr>
            <w:tcW w:w="20" w:type="dxa"/>
            <w:vAlign w:val="bottom"/>
            <w:tcBorders>
              <w:bottom w:val="single" w:sz="8" w:color="CCEEFF"/>
            </w:tcBorders>
            <w:vMerge w:val="restart"/>
            <w:shd w:val="clear" w:color="auto" w:fill="CCEEFF"/>
          </w:tcPr>
          <w:p>
            <w:pPr>
              <w:spacing w:after="0"/>
              <w:rPr>
                <w:sz w:val="18"/>
                <w:szCs w:val="18"/>
                <w:color w:val="auto"/>
              </w:rPr>
            </w:pPr>
          </w:p>
        </w:tc>
        <w:tc>
          <w:tcPr>
            <w:tcW w:w="4460" w:type="dxa"/>
            <w:vAlign w:val="bottom"/>
            <w:tcBorders>
              <w:bottom w:val="single" w:sz="8" w:color="0000EE"/>
            </w:tcBorders>
            <w:gridSpan w:val="36"/>
            <w:shd w:val="clear" w:color="auto" w:fill="CCEEFF"/>
          </w:tcPr>
          <w:p>
            <w:pPr>
              <w:spacing w:after="0"/>
              <w:rPr>
                <w:sz w:val="20"/>
                <w:szCs w:val="20"/>
                <w:color w:val="auto"/>
              </w:rPr>
            </w:pPr>
            <w:r>
              <w:rPr>
                <w:rFonts w:ascii="Arial" w:cs="Arial" w:eastAsia="Arial" w:hAnsi="Arial"/>
                <w:sz w:val="15"/>
                <w:szCs w:val="15"/>
                <w:color w:val="0000EE"/>
              </w:rPr>
              <w:t>Compensation Arrangements for Non-Management Directors</w:t>
            </w:r>
          </w:p>
        </w:tc>
        <w:tc>
          <w:tcPr>
            <w:tcW w:w="3040" w:type="dxa"/>
            <w:vAlign w:val="bottom"/>
            <w:tcBorders>
              <w:bottom w:val="single" w:sz="8" w:color="CCEEFF"/>
            </w:tcBorders>
            <w:gridSpan w:val="2"/>
            <w:vMerge w:val="restart"/>
            <w:shd w:val="clear" w:color="auto" w:fill="CCEEFF"/>
          </w:tcPr>
          <w:p>
            <w:pPr>
              <w:spacing w:after="0"/>
              <w:rPr>
                <w:sz w:val="18"/>
                <w:szCs w:val="18"/>
                <w:color w:val="auto"/>
              </w:rPr>
            </w:pPr>
          </w:p>
        </w:tc>
        <w:tc>
          <w:tcPr>
            <w:tcW w:w="140" w:type="dxa"/>
            <w:vAlign w:val="bottom"/>
            <w:tcBorders>
              <w:bottom w:val="single" w:sz="8" w:color="CCEEFF"/>
            </w:tcBorders>
            <w:vMerge w:val="restart"/>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0000EE"/>
                <w:w w:val="83"/>
              </w:rPr>
              <w:t>26</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660" w:type="dxa"/>
            <w:vAlign w:val="bottom"/>
            <w:tcBorders>
              <w:bottom w:val="single" w:sz="8" w:color="CCEEFF"/>
            </w:tcBorders>
            <w:gridSpan w:val="8"/>
            <w:shd w:val="clear" w:color="auto" w:fill="CCEEFF"/>
          </w:tcPr>
          <w:p>
            <w:pPr>
              <w:spacing w:after="0"/>
              <w:rPr>
                <w:sz w:val="2"/>
                <w:szCs w:val="2"/>
                <w:color w:val="auto"/>
              </w:rPr>
            </w:pPr>
          </w:p>
        </w:tc>
        <w:tc>
          <w:tcPr>
            <w:tcW w:w="160" w:type="dxa"/>
            <w:vAlign w:val="bottom"/>
            <w:tcBorders>
              <w:bottom w:val="single" w:sz="8" w:color="CCEEFF"/>
            </w:tcBorders>
            <w:gridSpan w:val="2"/>
            <w:shd w:val="clear" w:color="auto" w:fill="CCEEFF"/>
          </w:tcPr>
          <w:p>
            <w:pPr>
              <w:spacing w:after="0"/>
              <w:rPr>
                <w:sz w:val="2"/>
                <w:szCs w:val="2"/>
                <w:color w:val="auto"/>
              </w:rPr>
            </w:pPr>
          </w:p>
        </w:tc>
        <w:tc>
          <w:tcPr>
            <w:tcW w:w="420" w:type="dxa"/>
            <w:vAlign w:val="bottom"/>
            <w:tcBorders>
              <w:bottom w:val="single" w:sz="8" w:color="CCEEFF"/>
            </w:tcBorders>
            <w:gridSpan w:val="4"/>
            <w:shd w:val="clear" w:color="auto" w:fill="CCEEFF"/>
          </w:tcPr>
          <w:p>
            <w:pPr>
              <w:spacing w:after="0"/>
              <w:rPr>
                <w:sz w:val="2"/>
                <w:szCs w:val="2"/>
                <w:color w:val="auto"/>
              </w:rPr>
            </w:pPr>
          </w:p>
        </w:tc>
        <w:tc>
          <w:tcPr>
            <w:tcW w:w="220" w:type="dxa"/>
            <w:vAlign w:val="bottom"/>
            <w:tcBorders>
              <w:bottom w:val="single" w:sz="8" w:color="CCEEFF"/>
            </w:tcBorders>
            <w:gridSpan w:val="4"/>
            <w:shd w:val="clear" w:color="auto" w:fill="CCEEFF"/>
          </w:tcPr>
          <w:p>
            <w:pPr>
              <w:spacing w:after="0"/>
              <w:rPr>
                <w:sz w:val="2"/>
                <w:szCs w:val="2"/>
                <w:color w:val="auto"/>
              </w:rPr>
            </w:pPr>
          </w:p>
        </w:tc>
        <w:tc>
          <w:tcPr>
            <w:tcW w:w="360" w:type="dxa"/>
            <w:vAlign w:val="bottom"/>
            <w:tcBorders>
              <w:bottom w:val="single" w:sz="8" w:color="CCEEFF"/>
            </w:tcBorders>
            <w:gridSpan w:val="5"/>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gridSpan w:val="4"/>
            <w:shd w:val="clear" w:color="auto" w:fill="CCEEFF"/>
          </w:tcPr>
          <w:p>
            <w:pPr>
              <w:spacing w:after="0"/>
              <w:rPr>
                <w:sz w:val="2"/>
                <w:szCs w:val="2"/>
                <w:color w:val="auto"/>
              </w:rPr>
            </w:pPr>
          </w:p>
        </w:tc>
        <w:tc>
          <w:tcPr>
            <w:tcW w:w="300" w:type="dxa"/>
            <w:vAlign w:val="bottom"/>
            <w:tcBorders>
              <w:bottom w:val="single" w:sz="8" w:color="CCEEFF"/>
            </w:tcBorders>
            <w:gridSpan w:val="2"/>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gridSpan w:val="3"/>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3040" w:type="dxa"/>
            <w:vAlign w:val="bottom"/>
            <w:tcBorders>
              <w:bottom w:val="single" w:sz="8" w:color="CCEEFF"/>
            </w:tcBorders>
            <w:gridSpan w:val="2"/>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3700" w:type="dxa"/>
            <w:vAlign w:val="bottom"/>
            <w:tcBorders>
              <w:bottom w:val="single" w:sz="8" w:color="0000EE"/>
            </w:tcBorders>
            <w:gridSpan w:val="31"/>
          </w:tcPr>
          <w:p>
            <w:pPr>
              <w:spacing w:after="0" w:line="127" w:lineRule="exact"/>
              <w:rPr>
                <w:sz w:val="20"/>
                <w:szCs w:val="20"/>
                <w:color w:val="auto"/>
              </w:rPr>
            </w:pPr>
            <w:r>
              <w:rPr>
                <w:rFonts w:ascii="Arial" w:cs="Arial" w:eastAsia="Arial" w:hAnsi="Arial"/>
                <w:sz w:val="14"/>
                <w:szCs w:val="14"/>
                <w:color w:val="0000EE"/>
              </w:rPr>
              <w:t>Non-Management Director Compensation for 2024</w:t>
            </w:r>
          </w:p>
        </w:tc>
        <w:tc>
          <w:tcPr>
            <w:tcW w:w="280" w:type="dxa"/>
            <w:vAlign w:val="bottom"/>
            <w:vMerge w:val="restart"/>
          </w:tcPr>
          <w:p>
            <w:pPr>
              <w:spacing w:after="0"/>
              <w:rPr>
                <w:sz w:val="11"/>
                <w:szCs w:val="11"/>
                <w:color w:val="auto"/>
              </w:rPr>
            </w:pPr>
          </w:p>
        </w:tc>
        <w:tc>
          <w:tcPr>
            <w:tcW w:w="380" w:type="dxa"/>
            <w:vAlign w:val="bottom"/>
            <w:gridSpan w:val="3"/>
            <w:vMerge w:val="restart"/>
          </w:tcPr>
          <w:p>
            <w:pPr>
              <w:spacing w:after="0"/>
              <w:rPr>
                <w:sz w:val="11"/>
                <w:szCs w:val="11"/>
                <w:color w:val="auto"/>
              </w:rPr>
            </w:pPr>
          </w:p>
        </w:tc>
        <w:tc>
          <w:tcPr>
            <w:tcW w:w="3140" w:type="dxa"/>
            <w:vAlign w:val="bottom"/>
            <w:gridSpan w:val="3"/>
            <w:vMerge w:val="restart"/>
          </w:tcPr>
          <w:p>
            <w:pPr>
              <w:spacing w:after="0"/>
              <w:rPr>
                <w:sz w:val="11"/>
                <w:szCs w:val="11"/>
                <w:color w:val="auto"/>
              </w:rPr>
            </w:pPr>
          </w:p>
        </w:tc>
        <w:tc>
          <w:tcPr>
            <w:tcW w:w="14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line="127" w:lineRule="exact"/>
              <w:rPr>
                <w:sz w:val="20"/>
                <w:szCs w:val="20"/>
                <w:color w:val="auto"/>
              </w:rPr>
            </w:pPr>
            <w:r>
              <w:rPr>
                <w:rFonts w:ascii="Arial" w:cs="Arial" w:eastAsia="Arial" w:hAnsi="Arial"/>
                <w:sz w:val="14"/>
                <w:szCs w:val="14"/>
                <w:color w:val="0000EE"/>
                <w:w w:val="89"/>
              </w:rPr>
              <w:t>27</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60" w:type="dxa"/>
            <w:vAlign w:val="bottom"/>
            <w:gridSpan w:val="8"/>
          </w:tcPr>
          <w:p>
            <w:pPr>
              <w:spacing w:after="0"/>
              <w:rPr>
                <w:sz w:val="2"/>
                <w:szCs w:val="2"/>
                <w:color w:val="auto"/>
              </w:rPr>
            </w:pPr>
          </w:p>
        </w:tc>
        <w:tc>
          <w:tcPr>
            <w:tcW w:w="160" w:type="dxa"/>
            <w:vAlign w:val="bottom"/>
            <w:gridSpan w:val="2"/>
          </w:tcPr>
          <w:p>
            <w:pPr>
              <w:spacing w:after="0"/>
              <w:rPr>
                <w:sz w:val="2"/>
                <w:szCs w:val="2"/>
                <w:color w:val="auto"/>
              </w:rPr>
            </w:pPr>
          </w:p>
        </w:tc>
        <w:tc>
          <w:tcPr>
            <w:tcW w:w="420" w:type="dxa"/>
            <w:vAlign w:val="bottom"/>
            <w:gridSpan w:val="4"/>
          </w:tcPr>
          <w:p>
            <w:pPr>
              <w:spacing w:after="0"/>
              <w:rPr>
                <w:sz w:val="2"/>
                <w:szCs w:val="2"/>
                <w:color w:val="auto"/>
              </w:rPr>
            </w:pPr>
          </w:p>
        </w:tc>
        <w:tc>
          <w:tcPr>
            <w:tcW w:w="220" w:type="dxa"/>
            <w:vAlign w:val="bottom"/>
            <w:gridSpan w:val="4"/>
          </w:tcPr>
          <w:p>
            <w:pPr>
              <w:spacing w:after="0"/>
              <w:rPr>
                <w:sz w:val="2"/>
                <w:szCs w:val="2"/>
                <w:color w:val="auto"/>
              </w:rPr>
            </w:pPr>
          </w:p>
        </w:tc>
        <w:tc>
          <w:tcPr>
            <w:tcW w:w="360" w:type="dxa"/>
            <w:vAlign w:val="bottom"/>
            <w:gridSpan w:val="5"/>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gridSpan w:val="4"/>
          </w:tcPr>
          <w:p>
            <w:pPr>
              <w:spacing w:after="0"/>
              <w:rPr>
                <w:sz w:val="2"/>
                <w:szCs w:val="2"/>
                <w:color w:val="auto"/>
              </w:rPr>
            </w:pPr>
          </w:p>
        </w:tc>
        <w:tc>
          <w:tcPr>
            <w:tcW w:w="300" w:type="dxa"/>
            <w:vAlign w:val="bottom"/>
            <w:gridSpan w:val="2"/>
          </w:tcPr>
          <w:p>
            <w:pPr>
              <w:spacing w:after="0"/>
              <w:rPr>
                <w:sz w:val="2"/>
                <w:szCs w:val="2"/>
                <w:color w:val="auto"/>
              </w:rPr>
            </w:pPr>
          </w:p>
        </w:tc>
        <w:tc>
          <w:tcPr>
            <w:tcW w:w="280" w:type="dxa"/>
            <w:vAlign w:val="bottom"/>
            <w:vMerge w:val="continue"/>
          </w:tcPr>
          <w:p>
            <w:pPr>
              <w:spacing w:after="0"/>
              <w:rPr>
                <w:sz w:val="2"/>
                <w:szCs w:val="2"/>
                <w:color w:val="auto"/>
              </w:rPr>
            </w:pPr>
          </w:p>
        </w:tc>
        <w:tc>
          <w:tcPr>
            <w:tcW w:w="380" w:type="dxa"/>
            <w:vAlign w:val="bottom"/>
            <w:gridSpan w:val="3"/>
            <w:vMerge w:val="continue"/>
          </w:tcPr>
          <w:p>
            <w:pPr>
              <w:spacing w:after="0"/>
              <w:rPr>
                <w:sz w:val="2"/>
                <w:szCs w:val="2"/>
                <w:color w:val="auto"/>
              </w:rPr>
            </w:pPr>
          </w:p>
        </w:tc>
        <w:tc>
          <w:tcPr>
            <w:tcW w:w="3140" w:type="dxa"/>
            <w:vAlign w:val="bottom"/>
            <w:gridSpan w:val="3"/>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3020" w:type="dxa"/>
            <w:vAlign w:val="bottom"/>
            <w:tcBorders>
              <w:bottom w:val="single" w:sz="8" w:color="0000EE"/>
            </w:tcBorders>
            <w:gridSpan w:val="25"/>
            <w:shd w:val="clear" w:color="auto" w:fill="CCEEFF"/>
          </w:tcPr>
          <w:p>
            <w:pPr>
              <w:spacing w:after="0" w:line="127" w:lineRule="exact"/>
              <w:rPr>
                <w:sz w:val="20"/>
                <w:szCs w:val="20"/>
                <w:color w:val="auto"/>
              </w:rPr>
            </w:pPr>
            <w:r>
              <w:rPr>
                <w:rFonts w:ascii="Arial" w:cs="Arial" w:eastAsia="Arial" w:hAnsi="Arial"/>
                <w:sz w:val="14"/>
                <w:szCs w:val="14"/>
                <w:color w:val="0000EE"/>
              </w:rPr>
              <w:t>Minimum Stock Ownership Requirements</w:t>
            </w:r>
          </w:p>
        </w:tc>
        <w:tc>
          <w:tcPr>
            <w:tcW w:w="380" w:type="dxa"/>
            <w:vAlign w:val="bottom"/>
            <w:tcBorders>
              <w:bottom w:val="single" w:sz="8" w:color="CCEEFF"/>
            </w:tcBorders>
            <w:gridSpan w:val="4"/>
            <w:vMerge w:val="restart"/>
            <w:shd w:val="clear" w:color="auto" w:fill="CCEEFF"/>
          </w:tcPr>
          <w:p>
            <w:pPr>
              <w:spacing w:after="0"/>
              <w:rPr>
                <w:sz w:val="12"/>
                <w:szCs w:val="12"/>
                <w:color w:val="auto"/>
              </w:rPr>
            </w:pPr>
          </w:p>
        </w:tc>
        <w:tc>
          <w:tcPr>
            <w:tcW w:w="580" w:type="dxa"/>
            <w:vAlign w:val="bottom"/>
            <w:tcBorders>
              <w:bottom w:val="single" w:sz="8" w:color="CCEEFF"/>
            </w:tcBorders>
            <w:gridSpan w:val="3"/>
            <w:vMerge w:val="restart"/>
            <w:shd w:val="clear" w:color="auto" w:fill="CCEEFF"/>
          </w:tcPr>
          <w:p>
            <w:pPr>
              <w:spacing w:after="0"/>
              <w:rPr>
                <w:sz w:val="12"/>
                <w:szCs w:val="12"/>
                <w:color w:val="auto"/>
              </w:rPr>
            </w:pPr>
          </w:p>
        </w:tc>
        <w:tc>
          <w:tcPr>
            <w:tcW w:w="380" w:type="dxa"/>
            <w:vAlign w:val="bottom"/>
            <w:tcBorders>
              <w:bottom w:val="single" w:sz="8" w:color="CCEEFF"/>
            </w:tcBorders>
            <w:gridSpan w:val="3"/>
            <w:vMerge w:val="restart"/>
            <w:shd w:val="clear" w:color="auto" w:fill="CCEEFF"/>
          </w:tcPr>
          <w:p>
            <w:pPr>
              <w:spacing w:after="0"/>
              <w:rPr>
                <w:sz w:val="12"/>
                <w:szCs w:val="12"/>
                <w:color w:val="auto"/>
              </w:rPr>
            </w:pPr>
          </w:p>
        </w:tc>
        <w:tc>
          <w:tcPr>
            <w:tcW w:w="3140" w:type="dxa"/>
            <w:vAlign w:val="bottom"/>
            <w:tcBorders>
              <w:bottom w:val="single" w:sz="8" w:color="CCEEFF"/>
            </w:tcBorders>
            <w:gridSpan w:val="3"/>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line="127" w:lineRule="exact"/>
              <w:rPr>
                <w:sz w:val="20"/>
                <w:szCs w:val="20"/>
                <w:color w:val="auto"/>
              </w:rPr>
            </w:pPr>
            <w:r>
              <w:rPr>
                <w:rFonts w:ascii="Arial" w:cs="Arial" w:eastAsia="Arial" w:hAnsi="Arial"/>
                <w:sz w:val="14"/>
                <w:szCs w:val="14"/>
                <w:color w:val="0000EE"/>
                <w:w w:val="89"/>
              </w:rPr>
              <w:t>28</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660" w:type="dxa"/>
            <w:vAlign w:val="bottom"/>
            <w:tcBorders>
              <w:bottom w:val="single" w:sz="8" w:color="CCEEFF"/>
            </w:tcBorders>
            <w:gridSpan w:val="8"/>
            <w:shd w:val="clear" w:color="auto" w:fill="CCEEFF"/>
          </w:tcPr>
          <w:p>
            <w:pPr>
              <w:spacing w:after="0"/>
              <w:rPr>
                <w:sz w:val="2"/>
                <w:szCs w:val="2"/>
                <w:color w:val="auto"/>
              </w:rPr>
            </w:pPr>
          </w:p>
        </w:tc>
        <w:tc>
          <w:tcPr>
            <w:tcW w:w="160" w:type="dxa"/>
            <w:vAlign w:val="bottom"/>
            <w:tcBorders>
              <w:bottom w:val="single" w:sz="8" w:color="CCEEFF"/>
            </w:tcBorders>
            <w:gridSpan w:val="2"/>
            <w:shd w:val="clear" w:color="auto" w:fill="CCEEFF"/>
          </w:tcPr>
          <w:p>
            <w:pPr>
              <w:spacing w:after="0"/>
              <w:rPr>
                <w:sz w:val="2"/>
                <w:szCs w:val="2"/>
                <w:color w:val="auto"/>
              </w:rPr>
            </w:pPr>
          </w:p>
        </w:tc>
        <w:tc>
          <w:tcPr>
            <w:tcW w:w="420" w:type="dxa"/>
            <w:vAlign w:val="bottom"/>
            <w:tcBorders>
              <w:bottom w:val="single" w:sz="8" w:color="CCEEFF"/>
            </w:tcBorders>
            <w:gridSpan w:val="4"/>
            <w:shd w:val="clear" w:color="auto" w:fill="CCEEFF"/>
          </w:tcPr>
          <w:p>
            <w:pPr>
              <w:spacing w:after="0"/>
              <w:rPr>
                <w:sz w:val="2"/>
                <w:szCs w:val="2"/>
                <w:color w:val="auto"/>
              </w:rPr>
            </w:pPr>
          </w:p>
        </w:tc>
        <w:tc>
          <w:tcPr>
            <w:tcW w:w="220" w:type="dxa"/>
            <w:vAlign w:val="bottom"/>
            <w:tcBorders>
              <w:bottom w:val="single" w:sz="8" w:color="CCEEFF"/>
            </w:tcBorders>
            <w:gridSpan w:val="4"/>
            <w:shd w:val="clear" w:color="auto" w:fill="CCEEFF"/>
          </w:tcPr>
          <w:p>
            <w:pPr>
              <w:spacing w:after="0"/>
              <w:rPr>
                <w:sz w:val="2"/>
                <w:szCs w:val="2"/>
                <w:color w:val="auto"/>
              </w:rPr>
            </w:pPr>
          </w:p>
        </w:tc>
        <w:tc>
          <w:tcPr>
            <w:tcW w:w="360" w:type="dxa"/>
            <w:vAlign w:val="bottom"/>
            <w:tcBorders>
              <w:bottom w:val="single" w:sz="8" w:color="CCEEFF"/>
            </w:tcBorders>
            <w:gridSpan w:val="5"/>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gridSpan w:val="4"/>
            <w:vMerge w:val="continue"/>
            <w:shd w:val="clear" w:color="auto" w:fill="CCEEFF"/>
          </w:tcPr>
          <w:p>
            <w:pPr>
              <w:spacing w:after="0"/>
              <w:rPr>
                <w:sz w:val="2"/>
                <w:szCs w:val="2"/>
                <w:color w:val="auto"/>
              </w:rPr>
            </w:pPr>
          </w:p>
        </w:tc>
        <w:tc>
          <w:tcPr>
            <w:tcW w:w="580" w:type="dxa"/>
            <w:vAlign w:val="bottom"/>
            <w:tcBorders>
              <w:bottom w:val="single" w:sz="8" w:color="CCEEFF"/>
            </w:tcBorders>
            <w:gridSpan w:val="3"/>
            <w:vMerge w:val="continue"/>
            <w:shd w:val="clear" w:color="auto" w:fill="CCEEFF"/>
          </w:tcPr>
          <w:p>
            <w:pPr>
              <w:spacing w:after="0"/>
              <w:rPr>
                <w:sz w:val="2"/>
                <w:szCs w:val="2"/>
                <w:color w:val="auto"/>
              </w:rPr>
            </w:pPr>
          </w:p>
        </w:tc>
        <w:tc>
          <w:tcPr>
            <w:tcW w:w="380" w:type="dxa"/>
            <w:vAlign w:val="bottom"/>
            <w:tcBorders>
              <w:bottom w:val="single" w:sz="8" w:color="CCEEFF"/>
            </w:tcBorders>
            <w:gridSpan w:val="3"/>
            <w:vMerge w:val="continue"/>
            <w:shd w:val="clear" w:color="auto" w:fill="CCEEFF"/>
          </w:tcPr>
          <w:p>
            <w:pPr>
              <w:spacing w:after="0"/>
              <w:rPr>
                <w:sz w:val="2"/>
                <w:szCs w:val="2"/>
                <w:color w:val="auto"/>
              </w:rPr>
            </w:pPr>
          </w:p>
        </w:tc>
        <w:tc>
          <w:tcPr>
            <w:tcW w:w="3140" w:type="dxa"/>
            <w:vAlign w:val="bottom"/>
            <w:tcBorders>
              <w:bottom w:val="single" w:sz="8" w:color="CCEEFF"/>
            </w:tcBorders>
            <w:gridSpan w:val="3"/>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900" w:type="dxa"/>
            <w:vAlign w:val="bottom"/>
            <w:tcBorders>
              <w:bottom w:val="single" w:sz="8" w:color="0000EE"/>
            </w:tcBorders>
            <w:gridSpan w:val="24"/>
          </w:tcPr>
          <w:p>
            <w:pPr>
              <w:spacing w:after="0" w:line="127" w:lineRule="exact"/>
              <w:rPr>
                <w:sz w:val="20"/>
                <w:szCs w:val="20"/>
                <w:color w:val="auto"/>
              </w:rPr>
            </w:pPr>
            <w:r>
              <w:rPr>
                <w:rFonts w:ascii="Arial" w:cs="Arial" w:eastAsia="Arial" w:hAnsi="Arial"/>
                <w:sz w:val="14"/>
                <w:szCs w:val="14"/>
                <w:color w:val="0000EE"/>
              </w:rPr>
              <w:t>Beneficial Ownership of Common Stock</w:t>
            </w:r>
          </w:p>
        </w:tc>
        <w:tc>
          <w:tcPr>
            <w:tcW w:w="500" w:type="dxa"/>
            <w:vAlign w:val="bottom"/>
            <w:gridSpan w:val="5"/>
            <w:vMerge w:val="restart"/>
          </w:tcPr>
          <w:p>
            <w:pPr>
              <w:spacing w:after="0"/>
              <w:rPr>
                <w:sz w:val="11"/>
                <w:szCs w:val="11"/>
                <w:color w:val="auto"/>
              </w:rPr>
            </w:pPr>
          </w:p>
        </w:tc>
        <w:tc>
          <w:tcPr>
            <w:tcW w:w="580" w:type="dxa"/>
            <w:vAlign w:val="bottom"/>
            <w:gridSpan w:val="3"/>
            <w:vMerge w:val="restart"/>
          </w:tcPr>
          <w:p>
            <w:pPr>
              <w:spacing w:after="0"/>
              <w:rPr>
                <w:sz w:val="11"/>
                <w:szCs w:val="11"/>
                <w:color w:val="auto"/>
              </w:rPr>
            </w:pPr>
          </w:p>
        </w:tc>
        <w:tc>
          <w:tcPr>
            <w:tcW w:w="380" w:type="dxa"/>
            <w:vAlign w:val="bottom"/>
            <w:gridSpan w:val="3"/>
            <w:vMerge w:val="restart"/>
          </w:tcPr>
          <w:p>
            <w:pPr>
              <w:spacing w:after="0"/>
              <w:rPr>
                <w:sz w:val="11"/>
                <w:szCs w:val="11"/>
                <w:color w:val="auto"/>
              </w:rPr>
            </w:pPr>
          </w:p>
        </w:tc>
        <w:tc>
          <w:tcPr>
            <w:tcW w:w="3140" w:type="dxa"/>
            <w:vAlign w:val="bottom"/>
            <w:gridSpan w:val="3"/>
            <w:vMerge w:val="restart"/>
          </w:tcPr>
          <w:p>
            <w:pPr>
              <w:spacing w:after="0"/>
              <w:rPr>
                <w:sz w:val="11"/>
                <w:szCs w:val="11"/>
                <w:color w:val="auto"/>
              </w:rPr>
            </w:pPr>
          </w:p>
        </w:tc>
        <w:tc>
          <w:tcPr>
            <w:tcW w:w="14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line="127" w:lineRule="exact"/>
              <w:rPr>
                <w:sz w:val="20"/>
                <w:szCs w:val="20"/>
                <w:color w:val="auto"/>
              </w:rPr>
            </w:pPr>
            <w:r>
              <w:rPr>
                <w:rFonts w:ascii="Arial" w:cs="Arial" w:eastAsia="Arial" w:hAnsi="Arial"/>
                <w:sz w:val="14"/>
                <w:szCs w:val="14"/>
                <w:color w:val="0000EE"/>
                <w:w w:val="89"/>
              </w:rPr>
              <w:t>29</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60" w:type="dxa"/>
            <w:vAlign w:val="bottom"/>
            <w:gridSpan w:val="8"/>
          </w:tcPr>
          <w:p>
            <w:pPr>
              <w:spacing w:after="0"/>
              <w:rPr>
                <w:sz w:val="2"/>
                <w:szCs w:val="2"/>
                <w:color w:val="auto"/>
              </w:rPr>
            </w:pPr>
          </w:p>
        </w:tc>
        <w:tc>
          <w:tcPr>
            <w:tcW w:w="160" w:type="dxa"/>
            <w:vAlign w:val="bottom"/>
            <w:gridSpan w:val="2"/>
          </w:tcPr>
          <w:p>
            <w:pPr>
              <w:spacing w:after="0"/>
              <w:rPr>
                <w:sz w:val="2"/>
                <w:szCs w:val="2"/>
                <w:color w:val="auto"/>
              </w:rPr>
            </w:pPr>
          </w:p>
        </w:tc>
        <w:tc>
          <w:tcPr>
            <w:tcW w:w="420" w:type="dxa"/>
            <w:vAlign w:val="bottom"/>
            <w:gridSpan w:val="4"/>
          </w:tcPr>
          <w:p>
            <w:pPr>
              <w:spacing w:after="0"/>
              <w:rPr>
                <w:sz w:val="2"/>
                <w:szCs w:val="2"/>
                <w:color w:val="auto"/>
              </w:rPr>
            </w:pPr>
          </w:p>
        </w:tc>
        <w:tc>
          <w:tcPr>
            <w:tcW w:w="220" w:type="dxa"/>
            <w:vAlign w:val="bottom"/>
            <w:gridSpan w:val="4"/>
          </w:tcPr>
          <w:p>
            <w:pPr>
              <w:spacing w:after="0"/>
              <w:rPr>
                <w:sz w:val="2"/>
                <w:szCs w:val="2"/>
                <w:color w:val="auto"/>
              </w:rPr>
            </w:pPr>
          </w:p>
        </w:tc>
        <w:tc>
          <w:tcPr>
            <w:tcW w:w="360" w:type="dxa"/>
            <w:vAlign w:val="bottom"/>
            <w:gridSpan w:val="5"/>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gridSpan w:val="5"/>
            <w:vMerge w:val="continue"/>
          </w:tcPr>
          <w:p>
            <w:pPr>
              <w:spacing w:after="0"/>
              <w:rPr>
                <w:sz w:val="2"/>
                <w:szCs w:val="2"/>
                <w:color w:val="auto"/>
              </w:rPr>
            </w:pPr>
          </w:p>
        </w:tc>
        <w:tc>
          <w:tcPr>
            <w:tcW w:w="580" w:type="dxa"/>
            <w:vAlign w:val="bottom"/>
            <w:gridSpan w:val="3"/>
            <w:vMerge w:val="continue"/>
          </w:tcPr>
          <w:p>
            <w:pPr>
              <w:spacing w:after="0"/>
              <w:rPr>
                <w:sz w:val="2"/>
                <w:szCs w:val="2"/>
                <w:color w:val="auto"/>
              </w:rPr>
            </w:pPr>
          </w:p>
        </w:tc>
        <w:tc>
          <w:tcPr>
            <w:tcW w:w="380" w:type="dxa"/>
            <w:vAlign w:val="bottom"/>
            <w:gridSpan w:val="3"/>
            <w:vMerge w:val="continue"/>
          </w:tcPr>
          <w:p>
            <w:pPr>
              <w:spacing w:after="0"/>
              <w:rPr>
                <w:sz w:val="2"/>
                <w:szCs w:val="2"/>
                <w:color w:val="auto"/>
              </w:rPr>
            </w:pPr>
          </w:p>
        </w:tc>
        <w:tc>
          <w:tcPr>
            <w:tcW w:w="3140" w:type="dxa"/>
            <w:vAlign w:val="bottom"/>
            <w:gridSpan w:val="3"/>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820" w:type="dxa"/>
            <w:vAlign w:val="bottom"/>
            <w:tcBorders>
              <w:bottom w:val="single" w:sz="8" w:color="0000EE"/>
            </w:tcBorders>
            <w:gridSpan w:val="23"/>
            <w:shd w:val="clear" w:color="auto" w:fill="CCEEFF"/>
          </w:tcPr>
          <w:p>
            <w:pPr>
              <w:spacing w:after="0" w:line="127" w:lineRule="exact"/>
              <w:rPr>
                <w:sz w:val="20"/>
                <w:szCs w:val="20"/>
                <w:color w:val="auto"/>
              </w:rPr>
            </w:pPr>
            <w:r>
              <w:rPr>
                <w:rFonts w:ascii="Arial" w:cs="Arial" w:eastAsia="Arial" w:hAnsi="Arial"/>
                <w:sz w:val="14"/>
                <w:szCs w:val="14"/>
                <w:color w:val="0000EE"/>
              </w:rPr>
              <w:t>Equity Compensation Plan Information</w:t>
            </w:r>
          </w:p>
        </w:tc>
        <w:tc>
          <w:tcPr>
            <w:tcW w:w="580" w:type="dxa"/>
            <w:vAlign w:val="bottom"/>
            <w:tcBorders>
              <w:bottom w:val="single" w:sz="8" w:color="CCEEFF"/>
            </w:tcBorders>
            <w:gridSpan w:val="6"/>
            <w:vMerge w:val="restart"/>
            <w:shd w:val="clear" w:color="auto" w:fill="CCEEFF"/>
          </w:tcPr>
          <w:p>
            <w:pPr>
              <w:spacing w:after="0"/>
              <w:rPr>
                <w:sz w:val="12"/>
                <w:szCs w:val="12"/>
                <w:color w:val="auto"/>
              </w:rPr>
            </w:pPr>
          </w:p>
        </w:tc>
        <w:tc>
          <w:tcPr>
            <w:tcW w:w="580" w:type="dxa"/>
            <w:vAlign w:val="bottom"/>
            <w:tcBorders>
              <w:bottom w:val="single" w:sz="8" w:color="CCEEFF"/>
            </w:tcBorders>
            <w:gridSpan w:val="3"/>
            <w:vMerge w:val="restart"/>
            <w:shd w:val="clear" w:color="auto" w:fill="CCEEFF"/>
          </w:tcPr>
          <w:p>
            <w:pPr>
              <w:spacing w:after="0"/>
              <w:rPr>
                <w:sz w:val="12"/>
                <w:szCs w:val="12"/>
                <w:color w:val="auto"/>
              </w:rPr>
            </w:pPr>
          </w:p>
        </w:tc>
        <w:tc>
          <w:tcPr>
            <w:tcW w:w="380" w:type="dxa"/>
            <w:vAlign w:val="bottom"/>
            <w:tcBorders>
              <w:bottom w:val="single" w:sz="8" w:color="CCEEFF"/>
            </w:tcBorders>
            <w:gridSpan w:val="3"/>
            <w:vMerge w:val="restart"/>
            <w:shd w:val="clear" w:color="auto" w:fill="CCEEFF"/>
          </w:tcPr>
          <w:p>
            <w:pPr>
              <w:spacing w:after="0"/>
              <w:rPr>
                <w:sz w:val="12"/>
                <w:szCs w:val="12"/>
                <w:color w:val="auto"/>
              </w:rPr>
            </w:pPr>
          </w:p>
        </w:tc>
        <w:tc>
          <w:tcPr>
            <w:tcW w:w="3140" w:type="dxa"/>
            <w:vAlign w:val="bottom"/>
            <w:tcBorders>
              <w:bottom w:val="single" w:sz="8" w:color="CCEEFF"/>
            </w:tcBorders>
            <w:gridSpan w:val="3"/>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line="127" w:lineRule="exact"/>
              <w:rPr>
                <w:sz w:val="20"/>
                <w:szCs w:val="20"/>
                <w:color w:val="auto"/>
              </w:rPr>
            </w:pPr>
            <w:r>
              <w:rPr>
                <w:rFonts w:ascii="Arial" w:cs="Arial" w:eastAsia="Arial" w:hAnsi="Arial"/>
                <w:sz w:val="14"/>
                <w:szCs w:val="14"/>
                <w:color w:val="0000EE"/>
                <w:w w:val="89"/>
              </w:rPr>
              <w:t>31</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660" w:type="dxa"/>
            <w:vAlign w:val="bottom"/>
            <w:tcBorders>
              <w:bottom w:val="single" w:sz="8" w:color="CCEEFF"/>
            </w:tcBorders>
            <w:gridSpan w:val="8"/>
            <w:shd w:val="clear" w:color="auto" w:fill="CCEEFF"/>
          </w:tcPr>
          <w:p>
            <w:pPr>
              <w:spacing w:after="0"/>
              <w:rPr>
                <w:sz w:val="2"/>
                <w:szCs w:val="2"/>
                <w:color w:val="auto"/>
              </w:rPr>
            </w:pPr>
          </w:p>
        </w:tc>
        <w:tc>
          <w:tcPr>
            <w:tcW w:w="160" w:type="dxa"/>
            <w:vAlign w:val="bottom"/>
            <w:tcBorders>
              <w:bottom w:val="single" w:sz="8" w:color="CCEEFF"/>
            </w:tcBorders>
            <w:gridSpan w:val="2"/>
            <w:shd w:val="clear" w:color="auto" w:fill="CCEEFF"/>
          </w:tcPr>
          <w:p>
            <w:pPr>
              <w:spacing w:after="0"/>
              <w:rPr>
                <w:sz w:val="2"/>
                <w:szCs w:val="2"/>
                <w:color w:val="auto"/>
              </w:rPr>
            </w:pPr>
          </w:p>
        </w:tc>
        <w:tc>
          <w:tcPr>
            <w:tcW w:w="420" w:type="dxa"/>
            <w:vAlign w:val="bottom"/>
            <w:tcBorders>
              <w:bottom w:val="single" w:sz="8" w:color="CCEEFF"/>
            </w:tcBorders>
            <w:gridSpan w:val="4"/>
            <w:shd w:val="clear" w:color="auto" w:fill="CCEEFF"/>
          </w:tcPr>
          <w:p>
            <w:pPr>
              <w:spacing w:after="0"/>
              <w:rPr>
                <w:sz w:val="2"/>
                <w:szCs w:val="2"/>
                <w:color w:val="auto"/>
              </w:rPr>
            </w:pPr>
          </w:p>
        </w:tc>
        <w:tc>
          <w:tcPr>
            <w:tcW w:w="220" w:type="dxa"/>
            <w:vAlign w:val="bottom"/>
            <w:tcBorders>
              <w:bottom w:val="single" w:sz="8" w:color="CCEEFF"/>
            </w:tcBorders>
            <w:gridSpan w:val="4"/>
            <w:shd w:val="clear" w:color="auto" w:fill="CCEEFF"/>
          </w:tcPr>
          <w:p>
            <w:pPr>
              <w:spacing w:after="0"/>
              <w:rPr>
                <w:sz w:val="2"/>
                <w:szCs w:val="2"/>
                <w:color w:val="auto"/>
              </w:rPr>
            </w:pPr>
          </w:p>
        </w:tc>
        <w:tc>
          <w:tcPr>
            <w:tcW w:w="360" w:type="dxa"/>
            <w:vAlign w:val="bottom"/>
            <w:tcBorders>
              <w:bottom w:val="single" w:sz="8" w:color="CCEEFF"/>
            </w:tcBorders>
            <w:gridSpan w:val="5"/>
            <w:shd w:val="clear" w:color="auto" w:fill="CCEEFF"/>
          </w:tcPr>
          <w:p>
            <w:pPr>
              <w:spacing w:after="0"/>
              <w:rPr>
                <w:sz w:val="2"/>
                <w:szCs w:val="2"/>
                <w:color w:val="auto"/>
              </w:rPr>
            </w:pPr>
          </w:p>
        </w:tc>
        <w:tc>
          <w:tcPr>
            <w:tcW w:w="580" w:type="dxa"/>
            <w:vAlign w:val="bottom"/>
            <w:tcBorders>
              <w:bottom w:val="single" w:sz="8" w:color="CCEEFF"/>
            </w:tcBorders>
            <w:gridSpan w:val="6"/>
            <w:vMerge w:val="continue"/>
            <w:shd w:val="clear" w:color="auto" w:fill="CCEEFF"/>
          </w:tcPr>
          <w:p>
            <w:pPr>
              <w:spacing w:after="0"/>
              <w:rPr>
                <w:sz w:val="2"/>
                <w:szCs w:val="2"/>
                <w:color w:val="auto"/>
              </w:rPr>
            </w:pPr>
          </w:p>
        </w:tc>
        <w:tc>
          <w:tcPr>
            <w:tcW w:w="580" w:type="dxa"/>
            <w:vAlign w:val="bottom"/>
            <w:tcBorders>
              <w:bottom w:val="single" w:sz="8" w:color="CCEEFF"/>
            </w:tcBorders>
            <w:gridSpan w:val="3"/>
            <w:vMerge w:val="continue"/>
            <w:shd w:val="clear" w:color="auto" w:fill="CCEEFF"/>
          </w:tcPr>
          <w:p>
            <w:pPr>
              <w:spacing w:after="0"/>
              <w:rPr>
                <w:sz w:val="2"/>
                <w:szCs w:val="2"/>
                <w:color w:val="auto"/>
              </w:rPr>
            </w:pPr>
          </w:p>
        </w:tc>
        <w:tc>
          <w:tcPr>
            <w:tcW w:w="380" w:type="dxa"/>
            <w:vAlign w:val="bottom"/>
            <w:tcBorders>
              <w:bottom w:val="single" w:sz="8" w:color="CCEEFF"/>
            </w:tcBorders>
            <w:gridSpan w:val="3"/>
            <w:vMerge w:val="continue"/>
            <w:shd w:val="clear" w:color="auto" w:fill="CCEEFF"/>
          </w:tcPr>
          <w:p>
            <w:pPr>
              <w:spacing w:after="0"/>
              <w:rPr>
                <w:sz w:val="2"/>
                <w:szCs w:val="2"/>
                <w:color w:val="auto"/>
              </w:rPr>
            </w:pPr>
          </w:p>
        </w:tc>
        <w:tc>
          <w:tcPr>
            <w:tcW w:w="3140" w:type="dxa"/>
            <w:vAlign w:val="bottom"/>
            <w:tcBorders>
              <w:bottom w:val="single" w:sz="8" w:color="CCEEFF"/>
            </w:tcBorders>
            <w:gridSpan w:val="3"/>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460" w:type="dxa"/>
            <w:vAlign w:val="bottom"/>
            <w:tcBorders>
              <w:bottom w:val="single" w:sz="8" w:color="0000EE"/>
            </w:tcBorders>
            <w:gridSpan w:val="18"/>
          </w:tcPr>
          <w:p>
            <w:pPr>
              <w:spacing w:after="0" w:line="127" w:lineRule="exact"/>
              <w:rPr>
                <w:sz w:val="20"/>
                <w:szCs w:val="20"/>
                <w:color w:val="auto"/>
              </w:rPr>
            </w:pPr>
            <w:r>
              <w:rPr>
                <w:rFonts w:ascii="Arial" w:cs="Arial" w:eastAsia="Arial" w:hAnsi="Arial"/>
                <w:sz w:val="14"/>
                <w:szCs w:val="14"/>
                <w:color w:val="0000EE"/>
              </w:rPr>
              <w:t>Delinquent Section 16(a) Reports</w:t>
            </w:r>
          </w:p>
        </w:tc>
        <w:tc>
          <w:tcPr>
            <w:tcW w:w="940" w:type="dxa"/>
            <w:vAlign w:val="bottom"/>
            <w:gridSpan w:val="11"/>
            <w:vMerge w:val="restart"/>
          </w:tcPr>
          <w:p>
            <w:pPr>
              <w:spacing w:after="0"/>
              <w:rPr>
                <w:sz w:val="11"/>
                <w:szCs w:val="11"/>
                <w:color w:val="auto"/>
              </w:rPr>
            </w:pPr>
          </w:p>
        </w:tc>
        <w:tc>
          <w:tcPr>
            <w:tcW w:w="580" w:type="dxa"/>
            <w:vAlign w:val="bottom"/>
            <w:gridSpan w:val="3"/>
            <w:vMerge w:val="restart"/>
          </w:tcPr>
          <w:p>
            <w:pPr>
              <w:spacing w:after="0"/>
              <w:rPr>
                <w:sz w:val="11"/>
                <w:szCs w:val="11"/>
                <w:color w:val="auto"/>
              </w:rPr>
            </w:pPr>
          </w:p>
        </w:tc>
        <w:tc>
          <w:tcPr>
            <w:tcW w:w="380" w:type="dxa"/>
            <w:vAlign w:val="bottom"/>
            <w:gridSpan w:val="3"/>
            <w:vMerge w:val="restart"/>
          </w:tcPr>
          <w:p>
            <w:pPr>
              <w:spacing w:after="0"/>
              <w:rPr>
                <w:sz w:val="11"/>
                <w:szCs w:val="11"/>
                <w:color w:val="auto"/>
              </w:rPr>
            </w:pPr>
          </w:p>
        </w:tc>
        <w:tc>
          <w:tcPr>
            <w:tcW w:w="3140" w:type="dxa"/>
            <w:vAlign w:val="bottom"/>
            <w:gridSpan w:val="3"/>
            <w:vMerge w:val="restart"/>
          </w:tcPr>
          <w:p>
            <w:pPr>
              <w:spacing w:after="0"/>
              <w:rPr>
                <w:sz w:val="11"/>
                <w:szCs w:val="11"/>
                <w:color w:val="auto"/>
              </w:rPr>
            </w:pPr>
          </w:p>
        </w:tc>
        <w:tc>
          <w:tcPr>
            <w:tcW w:w="14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line="127" w:lineRule="exact"/>
              <w:rPr>
                <w:sz w:val="20"/>
                <w:szCs w:val="20"/>
                <w:color w:val="auto"/>
              </w:rPr>
            </w:pPr>
            <w:r>
              <w:rPr>
                <w:rFonts w:ascii="Arial" w:cs="Arial" w:eastAsia="Arial" w:hAnsi="Arial"/>
                <w:sz w:val="14"/>
                <w:szCs w:val="14"/>
                <w:color w:val="0000EE"/>
                <w:w w:val="89"/>
              </w:rPr>
              <w:t>31</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60" w:type="dxa"/>
            <w:vAlign w:val="bottom"/>
            <w:gridSpan w:val="8"/>
          </w:tcPr>
          <w:p>
            <w:pPr>
              <w:spacing w:after="0"/>
              <w:rPr>
                <w:sz w:val="2"/>
                <w:szCs w:val="2"/>
                <w:color w:val="auto"/>
              </w:rPr>
            </w:pPr>
          </w:p>
        </w:tc>
        <w:tc>
          <w:tcPr>
            <w:tcW w:w="160" w:type="dxa"/>
            <w:vAlign w:val="bottom"/>
            <w:gridSpan w:val="2"/>
          </w:tcPr>
          <w:p>
            <w:pPr>
              <w:spacing w:after="0"/>
              <w:rPr>
                <w:sz w:val="2"/>
                <w:szCs w:val="2"/>
                <w:color w:val="auto"/>
              </w:rPr>
            </w:pPr>
          </w:p>
        </w:tc>
        <w:tc>
          <w:tcPr>
            <w:tcW w:w="420" w:type="dxa"/>
            <w:vAlign w:val="bottom"/>
            <w:gridSpan w:val="4"/>
          </w:tcPr>
          <w:p>
            <w:pPr>
              <w:spacing w:after="0"/>
              <w:rPr>
                <w:sz w:val="2"/>
                <w:szCs w:val="2"/>
                <w:color w:val="auto"/>
              </w:rPr>
            </w:pPr>
          </w:p>
        </w:tc>
        <w:tc>
          <w:tcPr>
            <w:tcW w:w="220" w:type="dxa"/>
            <w:vAlign w:val="bottom"/>
            <w:gridSpan w:val="4"/>
          </w:tcPr>
          <w:p>
            <w:pPr>
              <w:spacing w:after="0"/>
              <w:rPr>
                <w:sz w:val="2"/>
                <w:szCs w:val="2"/>
                <w:color w:val="auto"/>
              </w:rPr>
            </w:pPr>
          </w:p>
        </w:tc>
        <w:tc>
          <w:tcPr>
            <w:tcW w:w="940" w:type="dxa"/>
            <w:vAlign w:val="bottom"/>
            <w:gridSpan w:val="11"/>
            <w:vMerge w:val="continue"/>
          </w:tcPr>
          <w:p>
            <w:pPr>
              <w:spacing w:after="0"/>
              <w:rPr>
                <w:sz w:val="2"/>
                <w:szCs w:val="2"/>
                <w:color w:val="auto"/>
              </w:rPr>
            </w:pPr>
          </w:p>
        </w:tc>
        <w:tc>
          <w:tcPr>
            <w:tcW w:w="580" w:type="dxa"/>
            <w:vAlign w:val="bottom"/>
            <w:gridSpan w:val="3"/>
            <w:vMerge w:val="continue"/>
          </w:tcPr>
          <w:p>
            <w:pPr>
              <w:spacing w:after="0"/>
              <w:rPr>
                <w:sz w:val="2"/>
                <w:szCs w:val="2"/>
                <w:color w:val="auto"/>
              </w:rPr>
            </w:pPr>
          </w:p>
        </w:tc>
        <w:tc>
          <w:tcPr>
            <w:tcW w:w="380" w:type="dxa"/>
            <w:vAlign w:val="bottom"/>
            <w:gridSpan w:val="3"/>
            <w:vMerge w:val="continue"/>
          </w:tcPr>
          <w:p>
            <w:pPr>
              <w:spacing w:after="0"/>
              <w:rPr>
                <w:sz w:val="2"/>
                <w:szCs w:val="2"/>
                <w:color w:val="auto"/>
              </w:rPr>
            </w:pPr>
          </w:p>
        </w:tc>
        <w:tc>
          <w:tcPr>
            <w:tcW w:w="3140" w:type="dxa"/>
            <w:vAlign w:val="bottom"/>
            <w:gridSpan w:val="3"/>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1820" w:type="dxa"/>
            <w:vAlign w:val="bottom"/>
            <w:tcBorders>
              <w:bottom w:val="single" w:sz="8" w:color="0000EE"/>
            </w:tcBorders>
            <w:gridSpan w:val="10"/>
            <w:shd w:val="clear" w:color="auto" w:fill="CCEEFF"/>
          </w:tcPr>
          <w:p>
            <w:pPr>
              <w:spacing w:after="0"/>
              <w:rPr>
                <w:sz w:val="20"/>
                <w:szCs w:val="20"/>
                <w:color w:val="auto"/>
              </w:rPr>
            </w:pPr>
            <w:r>
              <w:rPr>
                <w:rFonts w:ascii="Arial" w:cs="Arial" w:eastAsia="Arial" w:hAnsi="Arial"/>
                <w:sz w:val="15"/>
                <w:szCs w:val="15"/>
                <w:color w:val="0000EE"/>
              </w:rPr>
              <w:t>Executive Compensation</w:t>
            </w:r>
          </w:p>
        </w:tc>
        <w:tc>
          <w:tcPr>
            <w:tcW w:w="160" w:type="dxa"/>
            <w:vAlign w:val="bottom"/>
            <w:tcBorders>
              <w:bottom w:val="single" w:sz="8" w:color="CCEEFF"/>
            </w:tcBorders>
            <w:gridSpan w:val="2"/>
            <w:vMerge w:val="restart"/>
            <w:shd w:val="clear" w:color="auto" w:fill="CCEEFF"/>
          </w:tcPr>
          <w:p>
            <w:pPr>
              <w:spacing w:after="0"/>
              <w:rPr>
                <w:sz w:val="18"/>
                <w:szCs w:val="18"/>
                <w:color w:val="auto"/>
              </w:rPr>
            </w:pPr>
          </w:p>
        </w:tc>
        <w:tc>
          <w:tcPr>
            <w:tcW w:w="420" w:type="dxa"/>
            <w:vAlign w:val="bottom"/>
            <w:tcBorders>
              <w:bottom w:val="single" w:sz="8" w:color="CCEEFF"/>
            </w:tcBorders>
            <w:gridSpan w:val="4"/>
            <w:vMerge w:val="restart"/>
            <w:shd w:val="clear" w:color="auto" w:fill="CCEEFF"/>
          </w:tcPr>
          <w:p>
            <w:pPr>
              <w:spacing w:after="0"/>
              <w:rPr>
                <w:sz w:val="18"/>
                <w:szCs w:val="18"/>
                <w:color w:val="auto"/>
              </w:rPr>
            </w:pPr>
          </w:p>
        </w:tc>
        <w:tc>
          <w:tcPr>
            <w:tcW w:w="1160" w:type="dxa"/>
            <w:vAlign w:val="bottom"/>
            <w:tcBorders>
              <w:bottom w:val="single" w:sz="8" w:color="CCEEFF"/>
            </w:tcBorders>
            <w:gridSpan w:val="15"/>
            <w:vMerge w:val="restart"/>
            <w:shd w:val="clear" w:color="auto" w:fill="CCEEFF"/>
          </w:tcPr>
          <w:p>
            <w:pPr>
              <w:spacing w:after="0"/>
              <w:rPr>
                <w:sz w:val="18"/>
                <w:szCs w:val="18"/>
                <w:color w:val="auto"/>
              </w:rPr>
            </w:pPr>
          </w:p>
        </w:tc>
        <w:tc>
          <w:tcPr>
            <w:tcW w:w="580" w:type="dxa"/>
            <w:vAlign w:val="bottom"/>
            <w:tcBorders>
              <w:bottom w:val="single" w:sz="8" w:color="CCEEFF"/>
            </w:tcBorders>
            <w:gridSpan w:val="3"/>
            <w:vMerge w:val="restart"/>
            <w:shd w:val="clear" w:color="auto" w:fill="CCEEFF"/>
          </w:tcPr>
          <w:p>
            <w:pPr>
              <w:spacing w:after="0"/>
              <w:rPr>
                <w:sz w:val="18"/>
                <w:szCs w:val="18"/>
                <w:color w:val="auto"/>
              </w:rPr>
            </w:pPr>
          </w:p>
        </w:tc>
        <w:tc>
          <w:tcPr>
            <w:tcW w:w="380" w:type="dxa"/>
            <w:vAlign w:val="bottom"/>
            <w:tcBorders>
              <w:bottom w:val="single" w:sz="8" w:color="CCEEFF"/>
            </w:tcBorders>
            <w:gridSpan w:val="3"/>
            <w:vMerge w:val="restart"/>
            <w:shd w:val="clear" w:color="auto" w:fill="CCEEFF"/>
          </w:tcPr>
          <w:p>
            <w:pPr>
              <w:spacing w:after="0"/>
              <w:rPr>
                <w:sz w:val="18"/>
                <w:szCs w:val="18"/>
                <w:color w:val="auto"/>
              </w:rPr>
            </w:pPr>
          </w:p>
        </w:tc>
        <w:tc>
          <w:tcPr>
            <w:tcW w:w="3140" w:type="dxa"/>
            <w:vAlign w:val="bottom"/>
            <w:tcBorders>
              <w:bottom w:val="single" w:sz="8" w:color="CCEEFF"/>
            </w:tcBorders>
            <w:gridSpan w:val="3"/>
            <w:vMerge w:val="restart"/>
            <w:shd w:val="clear" w:color="auto" w:fill="CCEEFF"/>
          </w:tcPr>
          <w:p>
            <w:pPr>
              <w:spacing w:after="0"/>
              <w:rPr>
                <w:sz w:val="18"/>
                <w:szCs w:val="18"/>
                <w:color w:val="auto"/>
              </w:rPr>
            </w:pPr>
          </w:p>
        </w:tc>
        <w:tc>
          <w:tcPr>
            <w:tcW w:w="140" w:type="dxa"/>
            <w:vAlign w:val="bottom"/>
            <w:tcBorders>
              <w:bottom w:val="single" w:sz="8" w:color="CCEEFF"/>
            </w:tcBorders>
            <w:vMerge w:val="restart"/>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0000EE"/>
                <w:w w:val="83"/>
              </w:rPr>
              <w:t>32</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1680" w:type="dxa"/>
            <w:vAlign w:val="bottom"/>
            <w:tcBorders>
              <w:bottom w:val="single" w:sz="8" w:color="CCEEFF"/>
            </w:tcBorders>
            <w:gridSpan w:val="9"/>
            <w:shd w:val="clear" w:color="auto" w:fill="CCEEFF"/>
          </w:tcPr>
          <w:p>
            <w:pPr>
              <w:spacing w:after="0"/>
              <w:rPr>
                <w:sz w:val="2"/>
                <w:szCs w:val="2"/>
                <w:color w:val="auto"/>
              </w:rPr>
            </w:pPr>
          </w:p>
        </w:tc>
        <w:tc>
          <w:tcPr>
            <w:tcW w:w="160" w:type="dxa"/>
            <w:vAlign w:val="bottom"/>
            <w:tcBorders>
              <w:bottom w:val="single" w:sz="8" w:color="CCEEFF"/>
            </w:tcBorders>
            <w:gridSpan w:val="2"/>
            <w:vMerge w:val="continue"/>
            <w:shd w:val="clear" w:color="auto" w:fill="CCEEFF"/>
          </w:tcPr>
          <w:p>
            <w:pPr>
              <w:spacing w:after="0"/>
              <w:rPr>
                <w:sz w:val="2"/>
                <w:szCs w:val="2"/>
                <w:color w:val="auto"/>
              </w:rPr>
            </w:pPr>
          </w:p>
        </w:tc>
        <w:tc>
          <w:tcPr>
            <w:tcW w:w="420" w:type="dxa"/>
            <w:vAlign w:val="bottom"/>
            <w:tcBorders>
              <w:bottom w:val="single" w:sz="8" w:color="CCEEFF"/>
            </w:tcBorders>
            <w:gridSpan w:val="4"/>
            <w:vMerge w:val="continue"/>
            <w:shd w:val="clear" w:color="auto" w:fill="CCEEFF"/>
          </w:tcPr>
          <w:p>
            <w:pPr>
              <w:spacing w:after="0"/>
              <w:rPr>
                <w:sz w:val="2"/>
                <w:szCs w:val="2"/>
                <w:color w:val="auto"/>
              </w:rPr>
            </w:pPr>
          </w:p>
        </w:tc>
        <w:tc>
          <w:tcPr>
            <w:tcW w:w="1160" w:type="dxa"/>
            <w:vAlign w:val="bottom"/>
            <w:tcBorders>
              <w:bottom w:val="single" w:sz="8" w:color="CCEEFF"/>
            </w:tcBorders>
            <w:gridSpan w:val="15"/>
            <w:vMerge w:val="continue"/>
            <w:shd w:val="clear" w:color="auto" w:fill="CCEEFF"/>
          </w:tcPr>
          <w:p>
            <w:pPr>
              <w:spacing w:after="0"/>
              <w:rPr>
                <w:sz w:val="2"/>
                <w:szCs w:val="2"/>
                <w:color w:val="auto"/>
              </w:rPr>
            </w:pPr>
          </w:p>
        </w:tc>
        <w:tc>
          <w:tcPr>
            <w:tcW w:w="580" w:type="dxa"/>
            <w:vAlign w:val="bottom"/>
            <w:tcBorders>
              <w:bottom w:val="single" w:sz="8" w:color="CCEEFF"/>
            </w:tcBorders>
            <w:gridSpan w:val="3"/>
            <w:vMerge w:val="continue"/>
            <w:shd w:val="clear" w:color="auto" w:fill="CCEEFF"/>
          </w:tcPr>
          <w:p>
            <w:pPr>
              <w:spacing w:after="0"/>
              <w:rPr>
                <w:sz w:val="2"/>
                <w:szCs w:val="2"/>
                <w:color w:val="auto"/>
              </w:rPr>
            </w:pPr>
          </w:p>
        </w:tc>
        <w:tc>
          <w:tcPr>
            <w:tcW w:w="380" w:type="dxa"/>
            <w:vAlign w:val="bottom"/>
            <w:tcBorders>
              <w:bottom w:val="single" w:sz="8" w:color="CCEEFF"/>
            </w:tcBorders>
            <w:gridSpan w:val="3"/>
            <w:vMerge w:val="continue"/>
            <w:shd w:val="clear" w:color="auto" w:fill="CCEEFF"/>
          </w:tcPr>
          <w:p>
            <w:pPr>
              <w:spacing w:after="0"/>
              <w:rPr>
                <w:sz w:val="2"/>
                <w:szCs w:val="2"/>
                <w:color w:val="auto"/>
              </w:rPr>
            </w:pPr>
          </w:p>
        </w:tc>
        <w:tc>
          <w:tcPr>
            <w:tcW w:w="3140" w:type="dxa"/>
            <w:vAlign w:val="bottom"/>
            <w:tcBorders>
              <w:bottom w:val="single" w:sz="8" w:color="CCEEFF"/>
            </w:tcBorders>
            <w:gridSpan w:val="3"/>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40" w:type="dxa"/>
            <w:vAlign w:val="bottom"/>
            <w:tcBorders>
              <w:bottom w:val="single" w:sz="8" w:color="0000EE"/>
            </w:tcBorders>
            <w:gridSpan w:val="14"/>
          </w:tcPr>
          <w:p>
            <w:pPr>
              <w:spacing w:after="0"/>
              <w:rPr>
                <w:sz w:val="20"/>
                <w:szCs w:val="20"/>
                <w:color w:val="auto"/>
              </w:rPr>
            </w:pPr>
            <w:r>
              <w:rPr>
                <w:rFonts w:ascii="Arial" w:cs="Arial" w:eastAsia="Arial" w:hAnsi="Arial"/>
                <w:sz w:val="15"/>
                <w:szCs w:val="15"/>
                <w:color w:val="0000EE"/>
              </w:rPr>
              <w:t>Summary Compensation Table</w:t>
            </w:r>
          </w:p>
        </w:tc>
        <w:tc>
          <w:tcPr>
            <w:tcW w:w="1160" w:type="dxa"/>
            <w:vAlign w:val="bottom"/>
            <w:gridSpan w:val="15"/>
            <w:vMerge w:val="restart"/>
          </w:tcPr>
          <w:p>
            <w:pPr>
              <w:spacing w:after="0"/>
              <w:rPr>
                <w:sz w:val="16"/>
                <w:szCs w:val="16"/>
                <w:color w:val="auto"/>
              </w:rPr>
            </w:pPr>
          </w:p>
        </w:tc>
        <w:tc>
          <w:tcPr>
            <w:tcW w:w="580" w:type="dxa"/>
            <w:vAlign w:val="bottom"/>
            <w:gridSpan w:val="3"/>
            <w:vMerge w:val="restart"/>
          </w:tcPr>
          <w:p>
            <w:pPr>
              <w:spacing w:after="0"/>
              <w:rPr>
                <w:sz w:val="16"/>
                <w:szCs w:val="16"/>
                <w:color w:val="auto"/>
              </w:rPr>
            </w:pPr>
          </w:p>
        </w:tc>
        <w:tc>
          <w:tcPr>
            <w:tcW w:w="380" w:type="dxa"/>
            <w:vAlign w:val="bottom"/>
            <w:gridSpan w:val="3"/>
            <w:vMerge w:val="restart"/>
          </w:tcPr>
          <w:p>
            <w:pPr>
              <w:spacing w:after="0"/>
              <w:rPr>
                <w:sz w:val="16"/>
                <w:szCs w:val="16"/>
                <w:color w:val="auto"/>
              </w:rPr>
            </w:pPr>
          </w:p>
        </w:tc>
        <w:tc>
          <w:tcPr>
            <w:tcW w:w="3140" w:type="dxa"/>
            <w:vAlign w:val="bottom"/>
            <w:gridSpan w:val="3"/>
            <w:vMerge w:val="restart"/>
          </w:tcPr>
          <w:p>
            <w:pPr>
              <w:spacing w:after="0"/>
              <w:rPr>
                <w:sz w:val="16"/>
                <w:szCs w:val="16"/>
                <w:color w:val="auto"/>
              </w:rPr>
            </w:pPr>
          </w:p>
        </w:tc>
        <w:tc>
          <w:tcPr>
            <w:tcW w:w="14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83"/>
              </w:rPr>
              <w:t>32</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820" w:type="dxa"/>
            <w:vAlign w:val="bottom"/>
            <w:gridSpan w:val="10"/>
          </w:tcPr>
          <w:p>
            <w:pPr>
              <w:spacing w:after="0"/>
              <w:rPr>
                <w:sz w:val="2"/>
                <w:szCs w:val="2"/>
                <w:color w:val="auto"/>
              </w:rPr>
            </w:pPr>
          </w:p>
        </w:tc>
        <w:tc>
          <w:tcPr>
            <w:tcW w:w="420" w:type="dxa"/>
            <w:vAlign w:val="bottom"/>
            <w:gridSpan w:val="4"/>
          </w:tcPr>
          <w:p>
            <w:pPr>
              <w:spacing w:after="0"/>
              <w:rPr>
                <w:sz w:val="2"/>
                <w:szCs w:val="2"/>
                <w:color w:val="auto"/>
              </w:rPr>
            </w:pPr>
          </w:p>
        </w:tc>
        <w:tc>
          <w:tcPr>
            <w:tcW w:w="1160" w:type="dxa"/>
            <w:vAlign w:val="bottom"/>
            <w:gridSpan w:val="15"/>
            <w:vMerge w:val="continue"/>
          </w:tcPr>
          <w:p>
            <w:pPr>
              <w:spacing w:after="0"/>
              <w:rPr>
                <w:sz w:val="2"/>
                <w:szCs w:val="2"/>
                <w:color w:val="auto"/>
              </w:rPr>
            </w:pPr>
          </w:p>
        </w:tc>
        <w:tc>
          <w:tcPr>
            <w:tcW w:w="580" w:type="dxa"/>
            <w:vAlign w:val="bottom"/>
            <w:gridSpan w:val="3"/>
            <w:vMerge w:val="continue"/>
          </w:tcPr>
          <w:p>
            <w:pPr>
              <w:spacing w:after="0"/>
              <w:rPr>
                <w:sz w:val="2"/>
                <w:szCs w:val="2"/>
                <w:color w:val="auto"/>
              </w:rPr>
            </w:pPr>
          </w:p>
        </w:tc>
        <w:tc>
          <w:tcPr>
            <w:tcW w:w="380" w:type="dxa"/>
            <w:vAlign w:val="bottom"/>
            <w:gridSpan w:val="3"/>
            <w:vMerge w:val="continue"/>
          </w:tcPr>
          <w:p>
            <w:pPr>
              <w:spacing w:after="0"/>
              <w:rPr>
                <w:sz w:val="2"/>
                <w:szCs w:val="2"/>
                <w:color w:val="auto"/>
              </w:rPr>
            </w:pPr>
          </w:p>
        </w:tc>
        <w:tc>
          <w:tcPr>
            <w:tcW w:w="3140" w:type="dxa"/>
            <w:vAlign w:val="bottom"/>
            <w:gridSpan w:val="3"/>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3980" w:type="dxa"/>
            <w:vAlign w:val="bottom"/>
            <w:tcBorders>
              <w:bottom w:val="single" w:sz="8" w:color="0000EE"/>
            </w:tcBorders>
            <w:gridSpan w:val="32"/>
            <w:shd w:val="clear" w:color="auto" w:fill="CCEEFF"/>
          </w:tcPr>
          <w:p>
            <w:pPr>
              <w:spacing w:after="0" w:line="127" w:lineRule="exact"/>
              <w:rPr>
                <w:sz w:val="20"/>
                <w:szCs w:val="20"/>
                <w:color w:val="auto"/>
              </w:rPr>
            </w:pPr>
            <w:r>
              <w:rPr>
                <w:rFonts w:ascii="Arial" w:cs="Arial" w:eastAsia="Arial" w:hAnsi="Arial"/>
                <w:sz w:val="14"/>
                <w:szCs w:val="14"/>
                <w:color w:val="0000EE"/>
              </w:rPr>
              <w:t>Narrative Disclosure to Summary Compensation Table</w:t>
            </w:r>
          </w:p>
        </w:tc>
        <w:tc>
          <w:tcPr>
            <w:tcW w:w="380" w:type="dxa"/>
            <w:vAlign w:val="bottom"/>
            <w:tcBorders>
              <w:bottom w:val="single" w:sz="8" w:color="CCEEFF"/>
            </w:tcBorders>
            <w:gridSpan w:val="3"/>
            <w:vMerge w:val="restart"/>
            <w:shd w:val="clear" w:color="auto" w:fill="CCEEFF"/>
          </w:tcPr>
          <w:p>
            <w:pPr>
              <w:spacing w:after="0"/>
              <w:rPr>
                <w:sz w:val="12"/>
                <w:szCs w:val="12"/>
                <w:color w:val="auto"/>
              </w:rPr>
            </w:pPr>
          </w:p>
        </w:tc>
        <w:tc>
          <w:tcPr>
            <w:tcW w:w="3140" w:type="dxa"/>
            <w:vAlign w:val="bottom"/>
            <w:tcBorders>
              <w:bottom w:val="single" w:sz="8" w:color="CCEEFF"/>
            </w:tcBorders>
            <w:gridSpan w:val="3"/>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line="127" w:lineRule="exact"/>
              <w:rPr>
                <w:sz w:val="20"/>
                <w:szCs w:val="20"/>
                <w:color w:val="auto"/>
              </w:rPr>
            </w:pPr>
            <w:r>
              <w:rPr>
                <w:rFonts w:ascii="Arial" w:cs="Arial" w:eastAsia="Arial" w:hAnsi="Arial"/>
                <w:sz w:val="14"/>
                <w:szCs w:val="14"/>
                <w:color w:val="0000EE"/>
                <w:w w:val="89"/>
              </w:rPr>
              <w:t>33</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820" w:type="dxa"/>
            <w:vAlign w:val="bottom"/>
            <w:tcBorders>
              <w:bottom w:val="single" w:sz="8" w:color="CCEEFF"/>
            </w:tcBorders>
            <w:gridSpan w:val="10"/>
            <w:shd w:val="clear" w:color="auto" w:fill="CCEEFF"/>
          </w:tcPr>
          <w:p>
            <w:pPr>
              <w:spacing w:after="0"/>
              <w:rPr>
                <w:sz w:val="2"/>
                <w:szCs w:val="2"/>
                <w:color w:val="auto"/>
              </w:rPr>
            </w:pPr>
          </w:p>
        </w:tc>
        <w:tc>
          <w:tcPr>
            <w:tcW w:w="1580" w:type="dxa"/>
            <w:vAlign w:val="bottom"/>
            <w:tcBorders>
              <w:bottom w:val="single" w:sz="8" w:color="CCEEFF"/>
            </w:tcBorders>
            <w:gridSpan w:val="19"/>
            <w:shd w:val="clear" w:color="auto" w:fill="CCEEFF"/>
          </w:tcPr>
          <w:p>
            <w:pPr>
              <w:spacing w:after="0"/>
              <w:rPr>
                <w:sz w:val="2"/>
                <w:szCs w:val="2"/>
                <w:color w:val="auto"/>
              </w:rPr>
            </w:pPr>
          </w:p>
        </w:tc>
        <w:tc>
          <w:tcPr>
            <w:tcW w:w="580" w:type="dxa"/>
            <w:vAlign w:val="bottom"/>
            <w:tcBorders>
              <w:bottom w:val="single" w:sz="8" w:color="CCEEFF"/>
            </w:tcBorders>
            <w:gridSpan w:val="3"/>
            <w:shd w:val="clear" w:color="auto" w:fill="CCEEFF"/>
          </w:tcPr>
          <w:p>
            <w:pPr>
              <w:spacing w:after="0"/>
              <w:rPr>
                <w:sz w:val="2"/>
                <w:szCs w:val="2"/>
                <w:color w:val="auto"/>
              </w:rPr>
            </w:pPr>
          </w:p>
        </w:tc>
        <w:tc>
          <w:tcPr>
            <w:tcW w:w="380" w:type="dxa"/>
            <w:vAlign w:val="bottom"/>
            <w:tcBorders>
              <w:bottom w:val="single" w:sz="8" w:color="CCEEFF"/>
            </w:tcBorders>
            <w:gridSpan w:val="3"/>
            <w:vMerge w:val="continue"/>
            <w:shd w:val="clear" w:color="auto" w:fill="CCEEFF"/>
          </w:tcPr>
          <w:p>
            <w:pPr>
              <w:spacing w:after="0"/>
              <w:rPr>
                <w:sz w:val="2"/>
                <w:szCs w:val="2"/>
                <w:color w:val="auto"/>
              </w:rPr>
            </w:pPr>
          </w:p>
        </w:tc>
        <w:tc>
          <w:tcPr>
            <w:tcW w:w="3140" w:type="dxa"/>
            <w:vAlign w:val="bottom"/>
            <w:tcBorders>
              <w:bottom w:val="single" w:sz="8" w:color="CCEEFF"/>
            </w:tcBorders>
            <w:gridSpan w:val="3"/>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3400" w:type="dxa"/>
            <w:vAlign w:val="bottom"/>
            <w:tcBorders>
              <w:bottom w:val="single" w:sz="8" w:color="0000EE"/>
            </w:tcBorders>
            <w:gridSpan w:val="29"/>
          </w:tcPr>
          <w:p>
            <w:pPr>
              <w:spacing w:after="0" w:line="127" w:lineRule="exact"/>
              <w:rPr>
                <w:sz w:val="20"/>
                <w:szCs w:val="20"/>
                <w:color w:val="auto"/>
              </w:rPr>
            </w:pPr>
            <w:r>
              <w:rPr>
                <w:rFonts w:ascii="Arial" w:cs="Arial" w:eastAsia="Arial" w:hAnsi="Arial"/>
                <w:sz w:val="14"/>
                <w:szCs w:val="14"/>
                <w:color w:val="0000EE"/>
              </w:rPr>
              <w:t>Outstanding Equity Awards at Fiscal Year-End</w:t>
            </w:r>
          </w:p>
        </w:tc>
        <w:tc>
          <w:tcPr>
            <w:tcW w:w="960" w:type="dxa"/>
            <w:vAlign w:val="bottom"/>
            <w:gridSpan w:val="6"/>
            <w:vMerge w:val="restart"/>
          </w:tcPr>
          <w:p>
            <w:pPr>
              <w:spacing w:after="0"/>
              <w:rPr>
                <w:sz w:val="11"/>
                <w:szCs w:val="11"/>
                <w:color w:val="auto"/>
              </w:rPr>
            </w:pPr>
          </w:p>
        </w:tc>
        <w:tc>
          <w:tcPr>
            <w:tcW w:w="3140" w:type="dxa"/>
            <w:vAlign w:val="bottom"/>
            <w:gridSpan w:val="3"/>
            <w:vMerge w:val="restart"/>
          </w:tcPr>
          <w:p>
            <w:pPr>
              <w:spacing w:after="0"/>
              <w:rPr>
                <w:sz w:val="11"/>
                <w:szCs w:val="11"/>
                <w:color w:val="auto"/>
              </w:rPr>
            </w:pPr>
          </w:p>
        </w:tc>
        <w:tc>
          <w:tcPr>
            <w:tcW w:w="14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line="127" w:lineRule="exact"/>
              <w:rPr>
                <w:sz w:val="20"/>
                <w:szCs w:val="20"/>
                <w:color w:val="auto"/>
              </w:rPr>
            </w:pPr>
            <w:r>
              <w:rPr>
                <w:rFonts w:ascii="Arial" w:cs="Arial" w:eastAsia="Arial" w:hAnsi="Arial"/>
                <w:sz w:val="14"/>
                <w:szCs w:val="14"/>
                <w:color w:val="0000EE"/>
                <w:w w:val="89"/>
              </w:rPr>
              <w:t>36</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820" w:type="dxa"/>
            <w:vAlign w:val="bottom"/>
            <w:gridSpan w:val="10"/>
          </w:tcPr>
          <w:p>
            <w:pPr>
              <w:spacing w:after="0"/>
              <w:rPr>
                <w:sz w:val="2"/>
                <w:szCs w:val="2"/>
                <w:color w:val="auto"/>
              </w:rPr>
            </w:pPr>
          </w:p>
        </w:tc>
        <w:tc>
          <w:tcPr>
            <w:tcW w:w="1580" w:type="dxa"/>
            <w:vAlign w:val="bottom"/>
            <w:gridSpan w:val="19"/>
          </w:tcPr>
          <w:p>
            <w:pPr>
              <w:spacing w:after="0"/>
              <w:rPr>
                <w:sz w:val="2"/>
                <w:szCs w:val="2"/>
                <w:color w:val="auto"/>
              </w:rPr>
            </w:pPr>
          </w:p>
        </w:tc>
        <w:tc>
          <w:tcPr>
            <w:tcW w:w="960" w:type="dxa"/>
            <w:vAlign w:val="bottom"/>
            <w:gridSpan w:val="6"/>
            <w:vMerge w:val="continue"/>
          </w:tcPr>
          <w:p>
            <w:pPr>
              <w:spacing w:after="0"/>
              <w:rPr>
                <w:sz w:val="2"/>
                <w:szCs w:val="2"/>
                <w:color w:val="auto"/>
              </w:rPr>
            </w:pPr>
          </w:p>
        </w:tc>
        <w:tc>
          <w:tcPr>
            <w:tcW w:w="3140" w:type="dxa"/>
            <w:vAlign w:val="bottom"/>
            <w:gridSpan w:val="3"/>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820" w:type="dxa"/>
            <w:vAlign w:val="bottom"/>
            <w:tcBorders>
              <w:bottom w:val="single" w:sz="8" w:color="0000EE"/>
            </w:tcBorders>
            <w:gridSpan w:val="10"/>
            <w:shd w:val="clear" w:color="auto" w:fill="CCEEFF"/>
          </w:tcPr>
          <w:p>
            <w:pPr>
              <w:spacing w:after="0" w:line="127" w:lineRule="exact"/>
              <w:rPr>
                <w:sz w:val="20"/>
                <w:szCs w:val="20"/>
                <w:color w:val="auto"/>
              </w:rPr>
            </w:pPr>
            <w:r>
              <w:rPr>
                <w:rFonts w:ascii="Arial" w:cs="Arial" w:eastAsia="Arial" w:hAnsi="Arial"/>
                <w:sz w:val="14"/>
                <w:szCs w:val="14"/>
                <w:color w:val="0000EE"/>
              </w:rPr>
              <w:t>Employment Agreements</w:t>
            </w:r>
          </w:p>
        </w:tc>
        <w:tc>
          <w:tcPr>
            <w:tcW w:w="2540" w:type="dxa"/>
            <w:vAlign w:val="bottom"/>
            <w:tcBorders>
              <w:bottom w:val="single" w:sz="8" w:color="CCEEFF"/>
            </w:tcBorders>
            <w:gridSpan w:val="25"/>
            <w:vMerge w:val="restart"/>
            <w:shd w:val="clear" w:color="auto" w:fill="CCEEFF"/>
          </w:tcPr>
          <w:p>
            <w:pPr>
              <w:spacing w:after="0"/>
              <w:rPr>
                <w:sz w:val="12"/>
                <w:szCs w:val="12"/>
                <w:color w:val="auto"/>
              </w:rPr>
            </w:pPr>
          </w:p>
        </w:tc>
        <w:tc>
          <w:tcPr>
            <w:tcW w:w="3140" w:type="dxa"/>
            <w:vAlign w:val="bottom"/>
            <w:tcBorders>
              <w:bottom w:val="single" w:sz="8" w:color="CCEEFF"/>
            </w:tcBorders>
            <w:gridSpan w:val="3"/>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right w:val="single" w:sz="8" w:color="CCEEFF"/>
            </w:tcBorders>
            <w:gridSpan w:val="2"/>
            <w:shd w:val="clear" w:color="auto" w:fill="CCEEFF"/>
          </w:tcPr>
          <w:p>
            <w:pPr>
              <w:jc w:val="right"/>
              <w:spacing w:after="0" w:line="127" w:lineRule="exact"/>
              <w:rPr>
                <w:sz w:val="20"/>
                <w:szCs w:val="20"/>
                <w:color w:val="auto"/>
              </w:rPr>
            </w:pPr>
            <w:r>
              <w:rPr>
                <w:rFonts w:ascii="Arial" w:cs="Arial" w:eastAsia="Arial" w:hAnsi="Arial"/>
                <w:sz w:val="14"/>
                <w:szCs w:val="14"/>
                <w:color w:val="0000EE"/>
                <w:w w:val="89"/>
              </w:rPr>
              <w:t>39</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820" w:type="dxa"/>
            <w:vAlign w:val="bottom"/>
            <w:tcBorders>
              <w:bottom w:val="single" w:sz="8" w:color="CCEEFF"/>
            </w:tcBorders>
            <w:gridSpan w:val="10"/>
            <w:shd w:val="clear" w:color="auto" w:fill="CCEEFF"/>
          </w:tcPr>
          <w:p>
            <w:pPr>
              <w:spacing w:after="0"/>
              <w:rPr>
                <w:sz w:val="2"/>
                <w:szCs w:val="2"/>
                <w:color w:val="auto"/>
              </w:rPr>
            </w:pPr>
          </w:p>
        </w:tc>
        <w:tc>
          <w:tcPr>
            <w:tcW w:w="2540" w:type="dxa"/>
            <w:vAlign w:val="bottom"/>
            <w:tcBorders>
              <w:bottom w:val="single" w:sz="8" w:color="CCEEFF"/>
            </w:tcBorders>
            <w:gridSpan w:val="25"/>
            <w:vMerge w:val="continue"/>
            <w:shd w:val="clear" w:color="auto" w:fill="CCEEFF"/>
          </w:tcPr>
          <w:p>
            <w:pPr>
              <w:spacing w:after="0"/>
              <w:rPr>
                <w:sz w:val="2"/>
                <w:szCs w:val="2"/>
                <w:color w:val="auto"/>
              </w:rPr>
            </w:pPr>
          </w:p>
        </w:tc>
        <w:tc>
          <w:tcPr>
            <w:tcW w:w="3140" w:type="dxa"/>
            <w:vAlign w:val="bottom"/>
            <w:tcBorders>
              <w:bottom w:val="single" w:sz="8" w:color="CCEEFF"/>
            </w:tcBorders>
            <w:gridSpan w:val="3"/>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380" w:type="dxa"/>
            <w:vAlign w:val="bottom"/>
            <w:tcBorders>
              <w:bottom w:val="single" w:sz="8" w:color="0000EE"/>
            </w:tcBorders>
            <w:gridSpan w:val="36"/>
          </w:tcPr>
          <w:p>
            <w:pPr>
              <w:spacing w:after="0" w:line="127" w:lineRule="exact"/>
              <w:rPr>
                <w:sz w:val="20"/>
                <w:szCs w:val="20"/>
                <w:color w:val="auto"/>
              </w:rPr>
            </w:pPr>
            <w:r>
              <w:rPr>
                <w:rFonts w:ascii="Arial" w:cs="Arial" w:eastAsia="Arial" w:hAnsi="Arial"/>
                <w:sz w:val="14"/>
                <w:szCs w:val="14"/>
                <w:color w:val="0000EE"/>
              </w:rPr>
              <w:t>Potential Payments Upon Termination or Change of Control</w:t>
            </w:r>
          </w:p>
        </w:tc>
        <w:tc>
          <w:tcPr>
            <w:tcW w:w="3140" w:type="dxa"/>
            <w:vAlign w:val="bottom"/>
            <w:gridSpan w:val="3"/>
            <w:vMerge w:val="restart"/>
          </w:tcPr>
          <w:p>
            <w:pPr>
              <w:spacing w:after="0"/>
              <w:rPr>
                <w:sz w:val="11"/>
                <w:szCs w:val="11"/>
                <w:color w:val="auto"/>
              </w:rPr>
            </w:pPr>
          </w:p>
        </w:tc>
        <w:tc>
          <w:tcPr>
            <w:tcW w:w="14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spacing w:after="0" w:line="127" w:lineRule="exact"/>
              <w:rPr>
                <w:sz w:val="20"/>
                <w:szCs w:val="20"/>
                <w:color w:val="auto"/>
              </w:rPr>
            </w:pPr>
            <w:r>
              <w:rPr>
                <w:rFonts w:ascii="Arial" w:cs="Arial" w:eastAsia="Arial" w:hAnsi="Arial"/>
                <w:sz w:val="14"/>
                <w:szCs w:val="14"/>
                <w:color w:val="0000EE"/>
                <w:w w:val="89"/>
              </w:rPr>
              <w:t>39</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380" w:type="dxa"/>
            <w:vAlign w:val="bottom"/>
            <w:gridSpan w:val="36"/>
          </w:tcPr>
          <w:p>
            <w:pPr>
              <w:spacing w:after="0"/>
              <w:rPr>
                <w:sz w:val="2"/>
                <w:szCs w:val="2"/>
                <w:color w:val="auto"/>
              </w:rPr>
            </w:pPr>
          </w:p>
        </w:tc>
        <w:tc>
          <w:tcPr>
            <w:tcW w:w="3140" w:type="dxa"/>
            <w:vAlign w:val="bottom"/>
            <w:gridSpan w:val="3"/>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-5113655</wp:posOffset>
            </wp:positionV>
            <wp:extent cx="487743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77435" cy="698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95"/>
        </w:trPr>
        <w:tc>
          <w:tcPr>
            <w:tcW w:w="1040" w:type="dxa"/>
            <w:vAlign w:val="bottom"/>
          </w:tcPr>
          <w:p>
            <w:pPr>
              <w:spacing w:after="0"/>
              <w:rPr>
                <w:sz w:val="16"/>
                <w:szCs w:val="16"/>
                <w:color w:val="auto"/>
              </w:rPr>
            </w:pPr>
          </w:p>
        </w:tc>
        <w:tc>
          <w:tcPr>
            <w:tcW w:w="7680" w:type="dxa"/>
            <w:vAlign w:val="bottom"/>
            <w:tcBorders>
              <w:bottom w:val="single" w:sz="8" w:color="0000EE"/>
            </w:tcBorders>
            <w:gridSpan w:val="2"/>
            <w:shd w:val="clear" w:color="auto" w:fill="CCEEFF"/>
          </w:tcPr>
          <w:p>
            <w:pPr>
              <w:spacing w:after="0"/>
              <w:rPr>
                <w:sz w:val="20"/>
                <w:szCs w:val="20"/>
                <w:color w:val="auto"/>
              </w:rPr>
            </w:pPr>
            <w:r>
              <w:rPr>
                <w:rFonts w:ascii="Arial" w:cs="Arial" w:eastAsia="Arial" w:hAnsi="Arial"/>
                <w:sz w:val="15"/>
                <w:szCs w:val="15"/>
                <w:color w:val="0000EE"/>
                <w:shd w:val="clear" w:color="auto" w:fill="CCEEFF"/>
              </w:rPr>
              <w:t>Proposal Two: Appointment of our Independent Registered Public Accounting Firm and Certified Auditor</w:t>
            </w:r>
          </w:p>
        </w:tc>
        <w:tc>
          <w:tcPr>
            <w:tcW w:w="140" w:type="dxa"/>
            <w:vAlign w:val="bottom"/>
            <w:tcBorders>
              <w:bottom w:val="single" w:sz="8" w:color="CCEEFF"/>
            </w:tcBorders>
            <w:vMerge w:val="restart"/>
            <w:shd w:val="clear" w:color="auto" w:fill="CCEEFF"/>
          </w:tcPr>
          <w:p>
            <w:pPr>
              <w:ind w:left="40"/>
              <w:spacing w:after="0"/>
              <w:rPr>
                <w:sz w:val="20"/>
                <w:szCs w:val="20"/>
                <w:color w:val="auto"/>
              </w:rPr>
            </w:pPr>
            <w:r>
              <w:rPr>
                <w:rFonts w:ascii="Arial" w:cs="Arial" w:eastAsia="Arial" w:hAnsi="Arial"/>
                <w:sz w:val="15"/>
                <w:szCs w:val="15"/>
                <w:color w:val="auto"/>
                <w:shd w:val="clear" w:color="auto" w:fill="CCEEFF"/>
              </w:rPr>
              <w:t>​</w:t>
            </w:r>
          </w:p>
        </w:tc>
        <w:tc>
          <w:tcPr>
            <w:tcW w:w="200" w:type="dxa"/>
            <w:vAlign w:val="bottom"/>
            <w:tcBorders>
              <w:bottom w:val="single" w:sz="8" w:color="0000EE"/>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0000EE"/>
                <w:w w:val="83"/>
                <w:shd w:val="clear" w:color="auto" w:fill="CCEEFF"/>
              </w:rPr>
              <w:t>44</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
        </w:trPr>
        <w:tc>
          <w:tcPr>
            <w:tcW w:w="1040" w:type="dxa"/>
            <w:vAlign w:val="bottom"/>
          </w:tcPr>
          <w:p>
            <w:pPr>
              <w:spacing w:after="0"/>
              <w:rPr>
                <w:sz w:val="2"/>
                <w:szCs w:val="2"/>
                <w:color w:val="auto"/>
              </w:rPr>
            </w:pPr>
          </w:p>
        </w:tc>
        <w:tc>
          <w:tcPr>
            <w:tcW w:w="7680" w:type="dxa"/>
            <w:vAlign w:val="bottom"/>
            <w:tcBorders>
              <w:bottom w:val="single" w:sz="8" w:color="CCEEFF"/>
            </w:tcBorders>
            <w:gridSpan w:val="2"/>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right w:val="single" w:sz="8" w:color="CCEEFF"/>
            </w:tcBorders>
            <w:gridSpan w:val="2"/>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040" w:type="dxa"/>
            <w:vAlign w:val="bottom"/>
            <w:vMerge w:val="restart"/>
          </w:tcPr>
          <w:p>
            <w:pPr>
              <w:spacing w:after="0"/>
              <w:rPr>
                <w:sz w:val="16"/>
                <w:szCs w:val="16"/>
                <w:color w:val="auto"/>
              </w:rPr>
            </w:pPr>
          </w:p>
        </w:tc>
        <w:tc>
          <w:tcPr>
            <w:tcW w:w="2260" w:type="dxa"/>
            <w:vAlign w:val="bottom"/>
            <w:tcBorders>
              <w:bottom w:val="single" w:sz="8" w:color="0000EE"/>
            </w:tcBorders>
          </w:tcPr>
          <w:p>
            <w:pPr>
              <w:spacing w:after="0"/>
              <w:rPr>
                <w:sz w:val="20"/>
                <w:szCs w:val="20"/>
                <w:color w:val="auto"/>
              </w:rPr>
            </w:pPr>
            <w:r>
              <w:rPr>
                <w:rFonts w:ascii="Arial" w:cs="Arial" w:eastAsia="Arial" w:hAnsi="Arial"/>
                <w:sz w:val="15"/>
                <w:szCs w:val="15"/>
                <w:color w:val="0000EE"/>
              </w:rPr>
              <w:t>Report of the Audit Committee</w:t>
            </w:r>
          </w:p>
        </w:tc>
        <w:tc>
          <w:tcPr>
            <w:tcW w:w="5420" w:type="dxa"/>
            <w:vAlign w:val="bottom"/>
          </w:tcPr>
          <w:p>
            <w:pPr>
              <w:spacing w:after="0"/>
              <w:rPr>
                <w:sz w:val="16"/>
                <w:szCs w:val="16"/>
                <w:color w:val="auto"/>
              </w:rPr>
            </w:pPr>
          </w:p>
        </w:tc>
        <w:tc>
          <w:tcPr>
            <w:tcW w:w="14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gridSpan w:val="2"/>
          </w:tcPr>
          <w:p>
            <w:pPr>
              <w:jc w:val="right"/>
              <w:ind w:right="40"/>
              <w:spacing w:after="0"/>
              <w:rPr>
                <w:sz w:val="20"/>
                <w:szCs w:val="20"/>
                <w:color w:val="auto"/>
              </w:rPr>
            </w:pPr>
            <w:r>
              <w:rPr>
                <w:rFonts w:ascii="Arial" w:cs="Arial" w:eastAsia="Arial" w:hAnsi="Arial"/>
                <w:sz w:val="15"/>
                <w:szCs w:val="15"/>
                <w:color w:val="0000EE"/>
                <w:w w:val="83"/>
              </w:rPr>
              <w:t>45</w:t>
            </w: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1"/>
        </w:trPr>
        <w:tc>
          <w:tcPr>
            <w:tcW w:w="1040" w:type="dxa"/>
            <w:vAlign w:val="bottom"/>
            <w:vMerge w:val="continue"/>
          </w:tcPr>
          <w:p>
            <w:pPr>
              <w:spacing w:after="0"/>
              <w:rPr>
                <w:sz w:val="4"/>
                <w:szCs w:val="4"/>
                <w:color w:val="auto"/>
              </w:rPr>
            </w:pPr>
          </w:p>
        </w:tc>
        <w:tc>
          <w:tcPr>
            <w:tcW w:w="2260" w:type="dxa"/>
            <w:vAlign w:val="bottom"/>
          </w:tcPr>
          <w:p>
            <w:pPr>
              <w:spacing w:after="0"/>
              <w:rPr>
                <w:sz w:val="4"/>
                <w:szCs w:val="4"/>
                <w:color w:val="auto"/>
              </w:rPr>
            </w:pPr>
          </w:p>
        </w:tc>
        <w:tc>
          <w:tcPr>
            <w:tcW w:w="5420" w:type="dxa"/>
            <w:vAlign w:val="bottom"/>
            <w:vMerge w:val="restart"/>
          </w:tcPr>
          <w:p>
            <w:pPr>
              <w:jc w:val="right"/>
              <w:ind w:right="4125"/>
              <w:spacing w:after="0"/>
              <w:rPr>
                <w:sz w:val="20"/>
                <w:szCs w:val="20"/>
                <w:color w:val="auto"/>
              </w:rPr>
            </w:pPr>
            <w:r>
              <w:rPr>
                <w:rFonts w:ascii="Arial" w:cs="Arial" w:eastAsia="Arial" w:hAnsi="Arial"/>
                <w:sz w:val="15"/>
                <w:szCs w:val="15"/>
                <w:color w:val="auto"/>
              </w:rPr>
              <w:t>6</w:t>
            </w:r>
          </w:p>
        </w:tc>
        <w:tc>
          <w:tcPr>
            <w:tcW w:w="140" w:type="dxa"/>
            <w:vAlign w:val="bottom"/>
            <w:vMerge w:val="continue"/>
          </w:tcPr>
          <w:p>
            <w:pPr>
              <w:spacing w:after="0"/>
              <w:rPr>
                <w:sz w:val="4"/>
                <w:szCs w:val="4"/>
                <w:color w:val="auto"/>
              </w:rPr>
            </w:pPr>
          </w:p>
        </w:tc>
        <w:tc>
          <w:tcPr>
            <w:tcW w:w="200" w:type="dxa"/>
            <w:vAlign w:val="bottom"/>
            <w:gridSpan w:val="2"/>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6"/>
        </w:trPr>
        <w:tc>
          <w:tcPr>
            <w:tcW w:w="1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0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5692140</wp:posOffset>
            </wp:positionH>
            <wp:positionV relativeFrom="paragraph">
              <wp:posOffset>-26670</wp:posOffset>
            </wp:positionV>
            <wp:extent cx="32385"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-26670</wp:posOffset>
            </wp:positionV>
            <wp:extent cx="32385"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9120"/>
          </w:cols>
          <w:pgMar w:left="1440" w:top="102" w:right="1339" w:bottom="1440" w:gutter="0" w:footer="0" w:header="0"/>
        </w:sectPr>
      </w:pPr>
    </w:p>
    <w:bookmarkStart w:id="7" w:name="page8"/>
    <w:bookmarkEnd w:id="7"/>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ectPr>
          <w:pgSz w:w="11900" w:h="16838" w:orient="portrait"/>
          <w:cols w:equalWidth="0" w:num="1">
            <w:col w:w="9300"/>
          </w:cols>
          <w:pgMar w:left="1440" w:top="102"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0000EE"/>
        </w:rPr>
        <w:t>External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-135255</wp:posOffset>
            </wp:positionV>
            <wp:extent cx="5200650" cy="158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00650" cy="158115"/>
                    </a:xfrm>
                    <a:prstGeom prst="rect">
                      <a:avLst/>
                    </a:prstGeom>
                    <a:noFill/>
                  </pic:spPr>
                </pic:pic>
              </a:graphicData>
            </a:graphic>
          </wp:anchor>
        </w:drawing>
      </w:r>
    </w:p>
    <w:p>
      <w:pPr>
        <w:spacing w:after="0" w:line="3" w:lineRule="exact"/>
        <w:rPr>
          <w:sz w:val="20"/>
          <w:szCs w:val="20"/>
          <w:color w:val="auto"/>
        </w:rPr>
      </w:pPr>
    </w:p>
    <w:p>
      <w:pPr>
        <w:ind w:left="1220"/>
        <w:spacing w:after="0"/>
        <w:rPr>
          <w:sz w:val="20"/>
          <w:szCs w:val="20"/>
          <w:color w:val="auto"/>
        </w:rPr>
      </w:pPr>
      <w:r>
        <w:rPr>
          <w:rFonts w:ascii="Arial" w:cs="Arial" w:eastAsia="Arial" w:hAnsi="Arial"/>
          <w:sz w:val="15"/>
          <w:szCs w:val="15"/>
          <w:u w:val="single" w:color="auto"/>
          <w:color w:val="0000EE"/>
        </w:rPr>
        <w:t>Audit Fees</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5"/>
          <w:szCs w:val="15"/>
          <w:u w:val="single" w:color="auto"/>
          <w:color w:val="0000EE"/>
        </w:rPr>
        <w:t>Audit-Related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-100965</wp:posOffset>
            </wp:positionV>
            <wp:extent cx="5200650" cy="114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00650" cy="114935"/>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5"/>
          <w:szCs w:val="15"/>
          <w:u w:val="single" w:color="auto"/>
          <w:color w:val="0000EE"/>
        </w:rPr>
        <w:t>Tax Fees</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5"/>
          <w:szCs w:val="15"/>
          <w:u w:val="single" w:color="auto"/>
          <w:color w:val="0000EE"/>
        </w:rPr>
        <w:t>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-100965</wp:posOffset>
            </wp:positionV>
            <wp:extent cx="5200650" cy="114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00650" cy="114935"/>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5"/>
          <w:szCs w:val="15"/>
          <w:u w:val="single" w:color="auto"/>
          <w:color w:val="0000EE"/>
        </w:rPr>
        <w:t>Audit Committee Pre-Approval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13335</wp:posOffset>
            </wp:positionV>
            <wp:extent cx="5200650" cy="158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00650" cy="158115"/>
                    </a:xfrm>
                    <a:prstGeom prst="rect">
                      <a:avLst/>
                    </a:prstGeom>
                    <a:noFill/>
                  </pic:spPr>
                </pic:pic>
              </a:graphicData>
            </a:graphic>
          </wp:anchor>
        </w:drawing>
      </w:r>
    </w:p>
    <w:p>
      <w:pPr>
        <w:spacing w:after="0" w:line="42"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0000EE"/>
        </w:rPr>
        <w:t>Proposal Three: Approval of the Company’s Luxembourg Statutory Accounts</w:t>
      </w:r>
    </w:p>
    <w:p>
      <w:pPr>
        <w:spacing w:after="0" w:line="76" w:lineRule="exact"/>
        <w:rPr>
          <w:sz w:val="20"/>
          <w:szCs w:val="20"/>
          <w:color w:val="auto"/>
        </w:rPr>
      </w:pPr>
    </w:p>
    <w:p>
      <w:pPr>
        <w:ind w:left="1220" w:hanging="150"/>
        <w:spacing w:after="0" w:line="288" w:lineRule="auto"/>
        <w:rPr>
          <w:sz w:val="20"/>
          <w:szCs w:val="20"/>
          <w:color w:val="auto"/>
        </w:rPr>
      </w:pPr>
      <w:r>
        <w:rPr>
          <w:rFonts w:ascii="Arial" w:cs="Arial" w:eastAsia="Arial" w:hAnsi="Arial"/>
          <w:sz w:val="15"/>
          <w:szCs w:val="15"/>
          <w:u w:val="single" w:color="auto"/>
          <w:color w:val="0000EE"/>
        </w:rPr>
        <w:t>Proposal Four: Receipt and Approval of our Directors’ Report for the Luxembourg Statutory Accounts and Receipt of our Supervisory Auditor’s Report for the Luxembourg Annual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-8890</wp:posOffset>
            </wp:positionV>
            <wp:extent cx="5200650" cy="165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00650" cy="165100"/>
                    </a:xfrm>
                    <a:prstGeom prst="rect">
                      <a:avLst/>
                    </a:prstGeom>
                    <a:noFill/>
                  </pic:spPr>
                </pic:pic>
              </a:graphicData>
            </a:graphic>
          </wp:anchor>
        </w:drawing>
      </w:r>
    </w:p>
    <w:p>
      <w:pPr>
        <w:spacing w:after="0" w:line="19"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0000EE"/>
        </w:rPr>
        <w:t>Proposal Five: Allocation of the Results in the Luxembourg Annual Accounts</w:t>
      </w:r>
    </w:p>
    <w:p>
      <w:pPr>
        <w:spacing w:after="0" w:line="88"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0000EE"/>
        </w:rPr>
        <w:t>Proposal Six: Discharge of our Directors and Supervisory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22225</wp:posOffset>
            </wp:positionV>
            <wp:extent cx="5200650" cy="165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00650" cy="165100"/>
                    </a:xfrm>
                    <a:prstGeom prst="rect">
                      <a:avLst/>
                    </a:prstGeom>
                    <a:noFill/>
                  </pic:spPr>
                </pic:pic>
              </a:graphicData>
            </a:graphic>
          </wp:anchor>
        </w:drawing>
      </w:r>
    </w:p>
    <w:p>
      <w:pPr>
        <w:spacing w:after="0" w:line="68"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0000EE"/>
        </w:rPr>
        <w:t>Proposal Seven: Advisory Vote on Executive Compensation (“Say-on-Pay”)</w:t>
      </w:r>
    </w:p>
    <w:p>
      <w:pPr>
        <w:spacing w:after="0" w:line="88"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0000EE"/>
        </w:rPr>
        <w:t>PROPOSALS TO BE CONSIDERED AT THE EXTRAORDINARY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22225</wp:posOffset>
            </wp:positionV>
            <wp:extent cx="5200650" cy="280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00650" cy="280035"/>
                    </a:xfrm>
                    <a:prstGeom prst="rect">
                      <a:avLst/>
                    </a:prstGeom>
                    <a:noFill/>
                  </pic:spPr>
                </pic:pic>
              </a:graphicData>
            </a:graphic>
          </wp:anchor>
        </w:drawing>
      </w:r>
    </w:p>
    <w:p>
      <w:pPr>
        <w:spacing w:after="0" w:line="56" w:lineRule="exact"/>
        <w:rPr>
          <w:sz w:val="20"/>
          <w:szCs w:val="20"/>
          <w:color w:val="auto"/>
        </w:rPr>
      </w:pPr>
    </w:p>
    <w:p>
      <w:pPr>
        <w:ind w:left="1220" w:right="220" w:hanging="150"/>
        <w:spacing w:after="0" w:line="288" w:lineRule="auto"/>
        <w:rPr>
          <w:sz w:val="20"/>
          <w:szCs w:val="20"/>
          <w:color w:val="auto"/>
        </w:rPr>
      </w:pPr>
      <w:r>
        <w:rPr>
          <w:rFonts w:ascii="Arial" w:cs="Arial" w:eastAsia="Arial" w:hAnsi="Arial"/>
          <w:sz w:val="15"/>
          <w:szCs w:val="15"/>
          <w:u w:val="single" w:color="auto"/>
          <w:color w:val="0000EE"/>
        </w:rPr>
        <w:t>OUR BOARD OF DIRECTORS UNANIMOUSLY RECOMMENDS THAT YOU VOTE “FOR” THE PROPOSAL TO AMEND AND RESTATE THE COMPANY’S ARTICLES OF INCORPORATION</w:t>
      </w:r>
    </w:p>
    <w:p>
      <w:pPr>
        <w:spacing w:after="0" w:line="39"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0000EE"/>
        </w:rPr>
        <w:t>Business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22225</wp:posOffset>
            </wp:positionV>
            <wp:extent cx="5200650" cy="165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00650" cy="165100"/>
                    </a:xfrm>
                    <a:prstGeom prst="rect">
                      <a:avLst/>
                    </a:prstGeom>
                    <a:noFill/>
                  </pic:spPr>
                </pic:pic>
              </a:graphicData>
            </a:graphic>
          </wp:anchor>
        </w:drawing>
      </w:r>
    </w:p>
    <w:p>
      <w:pPr>
        <w:spacing w:after="0" w:line="68" w:lineRule="exact"/>
        <w:rPr>
          <w:sz w:val="20"/>
          <w:szCs w:val="20"/>
          <w:color w:val="auto"/>
        </w:rPr>
      </w:pPr>
    </w:p>
    <w:p>
      <w:pPr>
        <w:ind w:left="1220"/>
        <w:spacing w:after="0"/>
        <w:rPr>
          <w:sz w:val="20"/>
          <w:szCs w:val="20"/>
          <w:color w:val="auto"/>
        </w:rPr>
      </w:pPr>
      <w:r>
        <w:rPr>
          <w:rFonts w:ascii="Arial" w:cs="Arial" w:eastAsia="Arial" w:hAnsi="Arial"/>
          <w:sz w:val="15"/>
          <w:szCs w:val="15"/>
          <w:u w:val="single" w:color="auto"/>
          <w:color w:val="0000EE"/>
        </w:rPr>
        <w:t>ALDRIDGE|PITE, LLP</w:t>
      </w:r>
    </w:p>
    <w:p>
      <w:pPr>
        <w:spacing w:after="0" w:line="88"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0000EE"/>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22225</wp:posOffset>
            </wp:positionV>
            <wp:extent cx="5200650" cy="165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00650" cy="165100"/>
                    </a:xfrm>
                    <a:prstGeom prst="rect">
                      <a:avLst/>
                    </a:prstGeom>
                    <a:noFill/>
                  </pic:spPr>
                </pic:pic>
              </a:graphicData>
            </a:graphic>
          </wp:anchor>
        </w:drawing>
      </w:r>
    </w:p>
    <w:p>
      <w:pPr>
        <w:spacing w:after="0" w:line="68"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0000EE"/>
        </w:rPr>
        <w:t>Annual Report</w:t>
      </w:r>
    </w:p>
    <w:p>
      <w:pPr>
        <w:spacing w:after="0" w:line="88"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0000EE"/>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22225</wp:posOffset>
            </wp:positionV>
            <wp:extent cx="5200650" cy="165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00650" cy="165100"/>
                    </a:xfrm>
                    <a:prstGeom prst="rect">
                      <a:avLst/>
                    </a:prstGeom>
                    <a:noFill/>
                  </pic:spPr>
                </pic:pic>
              </a:graphicData>
            </a:graphic>
          </wp:anchor>
        </w:drawing>
      </w:r>
    </w:p>
    <w:p>
      <w:pPr>
        <w:spacing w:after="0" w:line="68"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0000EE"/>
        </w:rPr>
        <w:t>Appendix A — Altisource Amended Articles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160"/>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PAGE</w:t>
      </w:r>
    </w:p>
    <w:p>
      <w:pPr>
        <w:spacing w:after="0" w:line="93" w:lineRule="exact"/>
        <w:rPr>
          <w:sz w:val="20"/>
          <w:szCs w:val="20"/>
          <w:color w:val="auto"/>
        </w:rPr>
      </w:pPr>
    </w:p>
    <w:p>
      <w:pPr>
        <w:jc w:val="both"/>
        <w:ind w:left="20"/>
        <w:spacing w:after="0" w:line="188" w:lineRule="auto"/>
        <w:rPr>
          <w:sz w:val="20"/>
          <w:szCs w:val="20"/>
          <w:color w:val="auto"/>
        </w:rPr>
      </w:pPr>
      <w:r>
        <w:rPr>
          <w:rFonts w:ascii="Arial" w:cs="Arial" w:eastAsia="Arial" w:hAnsi="Arial"/>
          <w:sz w:val="12"/>
          <w:szCs w:val="12"/>
          <w:color w:val="auto"/>
        </w:rPr>
        <w:t xml:space="preserve">​ </w:t>
      </w:r>
      <w:r>
        <w:rPr>
          <w:rFonts w:ascii="Arial" w:cs="Arial" w:eastAsia="Arial" w:hAnsi="Arial"/>
          <w:sz w:val="21"/>
          <w:szCs w:val="21"/>
          <w:u w:val="single" w:color="auto"/>
          <w:color w:val="0000EE"/>
          <w:vertAlign w:val="superscript"/>
        </w:rPr>
        <w:t>46</w:t>
      </w:r>
      <w:r>
        <w:rPr>
          <w:rFonts w:ascii="Arial" w:cs="Arial" w:eastAsia="Arial" w:hAnsi="Arial"/>
          <w:sz w:val="12"/>
          <w:szCs w:val="12"/>
          <w:color w:val="auto"/>
        </w:rPr>
        <w:t xml:space="preserve"> ​ ​ </w:t>
      </w:r>
      <w:r>
        <w:rPr>
          <w:rFonts w:ascii="Arial" w:cs="Arial" w:eastAsia="Arial" w:hAnsi="Arial"/>
          <w:sz w:val="21"/>
          <w:szCs w:val="21"/>
          <w:u w:val="single" w:color="auto"/>
          <w:color w:val="0000EE"/>
          <w:vertAlign w:val="superscript"/>
        </w:rPr>
        <w:t>46</w:t>
      </w:r>
      <w:r>
        <w:rPr>
          <w:rFonts w:ascii="Arial" w:cs="Arial" w:eastAsia="Arial" w:hAnsi="Arial"/>
          <w:sz w:val="12"/>
          <w:szCs w:val="12"/>
          <w:color w:val="auto"/>
        </w:rPr>
        <w:t xml:space="preserve"> ​ </w:t>
      </w:r>
      <w:r>
        <w:rPr>
          <w:rFonts w:ascii="Arial" w:cs="Arial" w:eastAsia="Arial" w:hAnsi="Arial"/>
          <w:sz w:val="21"/>
          <w:szCs w:val="21"/>
          <w:color w:val="000000"/>
          <w:vertAlign w:val="subscript"/>
        </w:rPr>
        <w:t>​</w:t>
      </w:r>
      <w:r>
        <w:rPr>
          <w:rFonts w:ascii="Arial" w:cs="Arial" w:eastAsia="Arial" w:hAnsi="Arial"/>
          <w:sz w:val="12"/>
          <w:szCs w:val="12"/>
          <w:color w:val="0000EE"/>
        </w:rPr>
        <w:t xml:space="preserve"> </w:t>
      </w:r>
      <w:r>
        <w:rPr>
          <w:rFonts w:ascii="Arial" w:cs="Arial" w:eastAsia="Arial" w:hAnsi="Arial"/>
          <w:sz w:val="12"/>
          <w:szCs w:val="12"/>
          <w:u w:val="single" w:color="auto"/>
          <w:color w:val="0000EE"/>
        </w:rPr>
        <w:t>46</w:t>
      </w:r>
      <w:r>
        <w:rPr>
          <w:rFonts w:ascii="Arial" w:cs="Arial" w:eastAsia="Arial" w:hAnsi="Arial"/>
          <w:sz w:val="12"/>
          <w:szCs w:val="12"/>
          <w:color w:val="0000EE"/>
        </w:rPr>
        <w:t xml:space="preserve"> </w:t>
      </w:r>
      <w:r>
        <w:rPr>
          <w:rFonts w:ascii="Arial" w:cs="Arial" w:eastAsia="Arial" w:hAnsi="Arial"/>
          <w:sz w:val="21"/>
          <w:szCs w:val="21"/>
          <w:color w:val="000000"/>
          <w:vertAlign w:val="subscript"/>
        </w:rPr>
        <w:t>​</w:t>
      </w:r>
      <w:r>
        <w:rPr>
          <w:rFonts w:ascii="Arial" w:cs="Arial" w:eastAsia="Arial" w:hAnsi="Arial"/>
          <w:sz w:val="12"/>
          <w:szCs w:val="12"/>
          <w:color w:val="0000EE"/>
        </w:rPr>
        <w:t xml:space="preserve"> </w:t>
      </w:r>
      <w:r>
        <w:rPr>
          <w:rFonts w:ascii="Arial" w:cs="Arial" w:eastAsia="Arial" w:hAnsi="Arial"/>
          <w:sz w:val="21"/>
          <w:szCs w:val="21"/>
          <w:color w:val="000000"/>
          <w:vertAlign w:val="subscript"/>
        </w:rPr>
        <w:t>​</w:t>
      </w:r>
      <w:r>
        <w:rPr>
          <w:rFonts w:ascii="Arial" w:cs="Arial" w:eastAsia="Arial" w:hAnsi="Arial"/>
          <w:sz w:val="12"/>
          <w:szCs w:val="12"/>
          <w:color w:val="0000EE"/>
        </w:rPr>
        <w:t xml:space="preserve"> </w:t>
      </w:r>
      <w:r>
        <w:rPr>
          <w:rFonts w:ascii="Arial" w:cs="Arial" w:eastAsia="Arial" w:hAnsi="Arial"/>
          <w:sz w:val="12"/>
          <w:szCs w:val="12"/>
          <w:u w:val="single" w:color="auto"/>
          <w:color w:val="0000EE"/>
        </w:rPr>
        <w:t>46</w:t>
      </w:r>
      <w:r>
        <w:rPr>
          <w:rFonts w:ascii="Arial" w:cs="Arial" w:eastAsia="Arial" w:hAnsi="Arial"/>
          <w:sz w:val="12"/>
          <w:szCs w:val="12"/>
          <w:color w:val="0000EE"/>
        </w:rPr>
        <w:t xml:space="preserve"> </w:t>
      </w:r>
      <w:r>
        <w:rPr>
          <w:rFonts w:ascii="Arial" w:cs="Arial" w:eastAsia="Arial" w:hAnsi="Arial"/>
          <w:sz w:val="21"/>
          <w:szCs w:val="21"/>
          <w:color w:val="000000"/>
          <w:vertAlign w:val="subscript"/>
        </w:rPr>
        <w:t>​</w:t>
      </w:r>
      <w:r>
        <w:rPr>
          <w:rFonts w:ascii="Arial" w:cs="Arial" w:eastAsia="Arial" w:hAnsi="Arial"/>
          <w:sz w:val="12"/>
          <w:szCs w:val="12"/>
          <w:color w:val="0000EE"/>
        </w:rPr>
        <w:t xml:space="preserve"> </w:t>
      </w:r>
      <w:r>
        <w:rPr>
          <w:rFonts w:ascii="Arial" w:cs="Arial" w:eastAsia="Arial" w:hAnsi="Arial"/>
          <w:sz w:val="21"/>
          <w:szCs w:val="21"/>
          <w:color w:val="000000"/>
          <w:vertAlign w:val="subscript"/>
        </w:rPr>
        <w:t>​</w:t>
      </w:r>
      <w:r>
        <w:rPr>
          <w:rFonts w:ascii="Arial" w:cs="Arial" w:eastAsia="Arial" w:hAnsi="Arial"/>
          <w:sz w:val="12"/>
          <w:szCs w:val="12"/>
          <w:color w:val="0000EE"/>
        </w:rPr>
        <w:t xml:space="preserve"> </w:t>
      </w:r>
      <w:r>
        <w:rPr>
          <w:rFonts w:ascii="Arial" w:cs="Arial" w:eastAsia="Arial" w:hAnsi="Arial"/>
          <w:sz w:val="12"/>
          <w:szCs w:val="12"/>
          <w:u w:val="single" w:color="auto"/>
          <w:color w:val="0000EE"/>
        </w:rPr>
        <w:t>46</w:t>
      </w:r>
      <w:r>
        <w:rPr>
          <w:rFonts w:ascii="Arial" w:cs="Arial" w:eastAsia="Arial" w:hAnsi="Arial"/>
          <w:sz w:val="12"/>
          <w:szCs w:val="12"/>
          <w:color w:val="0000EE"/>
        </w:rPr>
        <w:t xml:space="preserve"> </w:t>
      </w:r>
      <w:r>
        <w:rPr>
          <w:rFonts w:ascii="Arial" w:cs="Arial" w:eastAsia="Arial" w:hAnsi="Arial"/>
          <w:sz w:val="21"/>
          <w:szCs w:val="21"/>
          <w:color w:val="000000"/>
          <w:vertAlign w:val="subscript"/>
        </w:rPr>
        <w:t>​</w:t>
      </w:r>
      <w:r>
        <w:rPr>
          <w:rFonts w:ascii="Arial" w:cs="Arial" w:eastAsia="Arial" w:hAnsi="Arial"/>
          <w:sz w:val="12"/>
          <w:szCs w:val="12"/>
          <w:color w:val="0000EE"/>
        </w:rPr>
        <w:t xml:space="preserve"> </w:t>
      </w:r>
      <w:r>
        <w:rPr>
          <w:rFonts w:ascii="Arial" w:cs="Arial" w:eastAsia="Arial" w:hAnsi="Arial"/>
          <w:sz w:val="21"/>
          <w:szCs w:val="21"/>
          <w:color w:val="000000"/>
          <w:vertAlign w:val="subscript"/>
        </w:rPr>
        <w:t>​</w:t>
      </w:r>
      <w:r>
        <w:rPr>
          <w:rFonts w:ascii="Arial" w:cs="Arial" w:eastAsia="Arial" w:hAnsi="Arial"/>
          <w:sz w:val="12"/>
          <w:szCs w:val="12"/>
          <w:color w:val="0000EE"/>
        </w:rPr>
        <w:t xml:space="preserve"> </w:t>
      </w:r>
      <w:r>
        <w:rPr>
          <w:rFonts w:ascii="Arial" w:cs="Arial" w:eastAsia="Arial" w:hAnsi="Arial"/>
          <w:sz w:val="12"/>
          <w:szCs w:val="12"/>
          <w:u w:val="single" w:color="auto"/>
          <w:color w:val="0000EE"/>
        </w:rPr>
        <w:t>47</w:t>
      </w:r>
      <w:r>
        <w:rPr>
          <w:rFonts w:ascii="Arial" w:cs="Arial" w:eastAsia="Arial" w:hAnsi="Arial"/>
          <w:sz w:val="12"/>
          <w:szCs w:val="12"/>
          <w:color w:val="0000EE"/>
        </w:rPr>
        <w:t xml:space="preserve"> </w:t>
      </w:r>
      <w:r>
        <w:rPr>
          <w:rFonts w:ascii="Arial" w:cs="Arial" w:eastAsia="Arial" w:hAnsi="Arial"/>
          <w:sz w:val="21"/>
          <w:szCs w:val="21"/>
          <w:color w:val="000000"/>
          <w:vertAlign w:val="subscript"/>
        </w:rPr>
        <w: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30"/>
          <w:szCs w:val="30"/>
          <w:u w:val="single" w:color="auto"/>
          <w:color w:val="0000EE"/>
          <w:vertAlign w:val="superscript"/>
        </w:rPr>
        <w:t>48</w:t>
      </w:r>
      <w:r>
        <w:rPr>
          <w:rFonts w:ascii="Arial" w:cs="Arial" w:eastAsia="Arial" w:hAnsi="Arial"/>
          <w:sz w:val="15"/>
          <w:szCs w:val="15"/>
          <w:color w:val="auto"/>
        </w:rPr>
        <w:t xml:space="preserve"> ​</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u w:val="single" w:color="auto"/>
          <w:color w:val="0000EE"/>
        </w:rPr>
        <w:t>49</w:t>
      </w:r>
      <w:r>
        <w:rPr>
          <w:rFonts w:ascii="Arial" w:cs="Arial" w:eastAsia="Arial" w:hAnsi="Arial"/>
          <w:sz w:val="15"/>
          <w:szCs w:val="15"/>
          <w:color w:val="auto"/>
        </w:rPr>
        <w:t xml:space="preserve"> ​</w:t>
      </w:r>
    </w:p>
    <w:p>
      <w:pPr>
        <w:ind w:left="20"/>
        <w:spacing w:after="0" w:line="230" w:lineRule="auto"/>
        <w:rPr>
          <w:sz w:val="20"/>
          <w:szCs w:val="20"/>
          <w:color w:val="auto"/>
        </w:rPr>
      </w:pPr>
      <w:r>
        <w:rPr>
          <w:rFonts w:ascii="Arial" w:cs="Arial" w:eastAsia="Arial" w:hAnsi="Arial"/>
          <w:sz w:val="30"/>
          <w:szCs w:val="30"/>
          <w:color w:val="000000"/>
          <w:vertAlign w:val="subscript"/>
        </w:rPr>
        <w:t>​</w:t>
      </w:r>
      <w:r>
        <w:rPr>
          <w:rFonts w:ascii="Arial" w:cs="Arial" w:eastAsia="Arial" w:hAnsi="Arial"/>
          <w:sz w:val="15"/>
          <w:szCs w:val="15"/>
          <w:color w:val="0000EE"/>
        </w:rPr>
        <w:t xml:space="preserve"> </w:t>
      </w:r>
      <w:r>
        <w:rPr>
          <w:rFonts w:ascii="Arial" w:cs="Arial" w:eastAsia="Arial" w:hAnsi="Arial"/>
          <w:sz w:val="15"/>
          <w:szCs w:val="15"/>
          <w:u w:val="single" w:color="auto"/>
          <w:color w:val="0000EE"/>
        </w:rPr>
        <w:t>50</w:t>
      </w:r>
      <w:r>
        <w:rPr>
          <w:rFonts w:ascii="Arial" w:cs="Arial" w:eastAsia="Arial" w:hAnsi="Arial"/>
          <w:sz w:val="15"/>
          <w:szCs w:val="15"/>
          <w:color w:val="0000EE"/>
        </w:rPr>
        <w:t xml:space="preserve"> </w:t>
      </w:r>
      <w:r>
        <w:rPr>
          <w:rFonts w:ascii="Arial" w:cs="Arial" w:eastAsia="Arial" w:hAnsi="Arial"/>
          <w:sz w:val="30"/>
          <w:szCs w:val="30"/>
          <w:color w:val="000000"/>
          <w:vertAlign w:val="subscript"/>
        </w:rPr>
        <w:t>​</w:t>
      </w:r>
    </w:p>
    <w:p>
      <w:pPr>
        <w:ind w:left="20"/>
        <w:spacing w:after="0" w:line="210" w:lineRule="auto"/>
        <w:rPr>
          <w:sz w:val="20"/>
          <w:szCs w:val="20"/>
          <w:color w:val="auto"/>
        </w:rPr>
      </w:pPr>
      <w:r>
        <w:rPr>
          <w:rFonts w:ascii="Arial" w:cs="Arial" w:eastAsia="Arial" w:hAnsi="Arial"/>
          <w:sz w:val="15"/>
          <w:szCs w:val="15"/>
          <w:color w:val="auto"/>
        </w:rPr>
        <w:t xml:space="preserve">​ </w:t>
      </w:r>
      <w:r>
        <w:rPr>
          <w:rFonts w:ascii="Arial" w:cs="Arial" w:eastAsia="Arial" w:hAnsi="Arial"/>
          <w:sz w:val="30"/>
          <w:szCs w:val="30"/>
          <w:u w:val="single" w:color="auto"/>
          <w:color w:val="0000EE"/>
          <w:vertAlign w:val="superscript"/>
        </w:rPr>
        <w:t>51</w:t>
      </w:r>
      <w:r>
        <w:rPr>
          <w:rFonts w:ascii="Arial" w:cs="Arial" w:eastAsia="Arial" w:hAnsi="Arial"/>
          <w:sz w:val="15"/>
          <w:szCs w:val="15"/>
          <w:color w:val="auto"/>
        </w:rPr>
        <w:t xml:space="preserve"> ​</w:t>
      </w:r>
    </w:p>
    <w:p>
      <w:pPr>
        <w:ind w:left="20"/>
        <w:spacing w:after="0" w:line="181" w:lineRule="auto"/>
        <w:rPr>
          <w:sz w:val="20"/>
          <w:szCs w:val="20"/>
          <w:color w:val="auto"/>
        </w:rPr>
      </w:pPr>
      <w:r>
        <w:rPr>
          <w:rFonts w:ascii="Arial" w:cs="Arial" w:eastAsia="Arial" w:hAnsi="Arial"/>
          <w:sz w:val="15"/>
          <w:szCs w:val="15"/>
          <w:color w:val="auto"/>
        </w:rPr>
        <w:t xml:space="preserve">​ </w:t>
      </w:r>
      <w:r>
        <w:rPr>
          <w:rFonts w:ascii="Arial" w:cs="Arial" w:eastAsia="Arial" w:hAnsi="Arial"/>
          <w:sz w:val="30"/>
          <w:szCs w:val="30"/>
          <w:u w:val="single" w:color="auto"/>
          <w:color w:val="0000EE"/>
          <w:vertAlign w:val="superscript"/>
        </w:rPr>
        <w:t>52</w:t>
      </w:r>
      <w:r>
        <w:rPr>
          <w:rFonts w:ascii="Arial" w:cs="Arial" w:eastAsia="Arial" w:hAnsi="Arial"/>
          <w:sz w:val="15"/>
          <w:szCs w:val="15"/>
          <w:color w:val="auto"/>
        </w:rPr>
        <w:t xml:space="preserve"> ​</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30"/>
          <w:szCs w:val="30"/>
          <w:u w:val="single" w:color="auto"/>
          <w:color w:val="0000EE"/>
          <w:vertAlign w:val="superscript"/>
        </w:rPr>
        <w:t>53</w:t>
      </w:r>
      <w:r>
        <w:rPr>
          <w:rFonts w:ascii="Arial" w:cs="Arial" w:eastAsia="Arial" w:hAnsi="Arial"/>
          <w:sz w:val="15"/>
          <w:szCs w:val="15"/>
          <w:color w:val="auto"/>
        </w:rPr>
        <w:t xml:space="preserve"> ​</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u w:val="single" w:color="auto"/>
          <w:color w:val="0000EE"/>
        </w:rPr>
        <w:t>58</w:t>
      </w:r>
      <w:r>
        <w:rPr>
          <w:rFonts w:ascii="Arial" w:cs="Arial" w:eastAsia="Arial" w:hAnsi="Arial"/>
          <w:sz w:val="15"/>
          <w:szCs w:val="15"/>
          <w:color w:val="auto"/>
        </w:rPr>
        <w:t xml:space="preserve"> ​</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30"/>
          <w:szCs w:val="30"/>
          <w:u w:val="single" w:color="auto"/>
          <w:color w:val="0000EE"/>
          <w:vertAlign w:val="superscript"/>
        </w:rPr>
        <w:t>60</w:t>
      </w:r>
      <w:r>
        <w:rPr>
          <w:rFonts w:ascii="Arial" w:cs="Arial" w:eastAsia="Arial" w:hAnsi="Arial"/>
          <w:sz w:val="15"/>
          <w:szCs w:val="15"/>
          <w:color w:val="auto"/>
        </w:rPr>
        <w:t xml:space="preserve"> ​</w:t>
      </w:r>
    </w:p>
    <w:p>
      <w:pPr>
        <w:ind w:left="20"/>
        <w:spacing w:after="0" w:line="181" w:lineRule="auto"/>
        <w:rPr>
          <w:sz w:val="20"/>
          <w:szCs w:val="20"/>
          <w:color w:val="auto"/>
        </w:rPr>
      </w:pPr>
      <w:r>
        <w:rPr>
          <w:rFonts w:ascii="Arial" w:cs="Arial" w:eastAsia="Arial" w:hAnsi="Arial"/>
          <w:sz w:val="15"/>
          <w:szCs w:val="15"/>
          <w:color w:val="auto"/>
        </w:rPr>
        <w:t xml:space="preserve">​ </w:t>
      </w:r>
      <w:r>
        <w:rPr>
          <w:rFonts w:ascii="Arial" w:cs="Arial" w:eastAsia="Arial" w:hAnsi="Arial"/>
          <w:sz w:val="30"/>
          <w:szCs w:val="30"/>
          <w:u w:val="single" w:color="auto"/>
          <w:color w:val="0000EE"/>
          <w:vertAlign w:val="superscript"/>
        </w:rPr>
        <w:t>60</w:t>
      </w:r>
      <w:r>
        <w:rPr>
          <w:rFonts w:ascii="Arial" w:cs="Arial" w:eastAsia="Arial" w:hAnsi="Arial"/>
          <w:sz w:val="15"/>
          <w:szCs w:val="15"/>
          <w:color w:val="auto"/>
        </w:rPr>
        <w:t xml:space="preserve"> ​</w:t>
      </w:r>
    </w:p>
    <w:p>
      <w:pPr>
        <w:ind w:left="20"/>
        <w:spacing w:after="0" w:line="181" w:lineRule="auto"/>
        <w:rPr>
          <w:sz w:val="20"/>
          <w:szCs w:val="20"/>
          <w:color w:val="auto"/>
        </w:rPr>
      </w:pPr>
      <w:r>
        <w:rPr>
          <w:rFonts w:ascii="Arial" w:cs="Arial" w:eastAsia="Arial" w:hAnsi="Arial"/>
          <w:sz w:val="15"/>
          <w:szCs w:val="15"/>
          <w:color w:val="auto"/>
        </w:rPr>
        <w:t xml:space="preserve">​ </w:t>
      </w:r>
      <w:r>
        <w:rPr>
          <w:rFonts w:ascii="Arial" w:cs="Arial" w:eastAsia="Arial" w:hAnsi="Arial"/>
          <w:sz w:val="30"/>
          <w:szCs w:val="30"/>
          <w:u w:val="single" w:color="auto"/>
          <w:color w:val="0000EE"/>
          <w:vertAlign w:val="superscript"/>
        </w:rPr>
        <w:t>61</w:t>
      </w:r>
      <w:r>
        <w:rPr>
          <w:rFonts w:ascii="Arial" w:cs="Arial" w:eastAsia="Arial" w:hAnsi="Arial"/>
          <w:sz w:val="15"/>
          <w:szCs w:val="15"/>
          <w:color w:val="auto"/>
        </w:rPr>
        <w:t xml:space="preserve"> ​</w:t>
      </w:r>
    </w:p>
    <w:p>
      <w:pPr>
        <w:ind w:left="20"/>
        <w:spacing w:after="0" w:line="181" w:lineRule="auto"/>
        <w:rPr>
          <w:sz w:val="20"/>
          <w:szCs w:val="20"/>
          <w:color w:val="auto"/>
        </w:rPr>
      </w:pPr>
      <w:r>
        <w:rPr>
          <w:rFonts w:ascii="Arial" w:cs="Arial" w:eastAsia="Arial" w:hAnsi="Arial"/>
          <w:sz w:val="15"/>
          <w:szCs w:val="15"/>
          <w:color w:val="auto"/>
        </w:rPr>
        <w:t xml:space="preserve">​ </w:t>
      </w:r>
      <w:r>
        <w:rPr>
          <w:rFonts w:ascii="Arial" w:cs="Arial" w:eastAsia="Arial" w:hAnsi="Arial"/>
          <w:sz w:val="30"/>
          <w:szCs w:val="30"/>
          <w:u w:val="single" w:color="auto"/>
          <w:color w:val="0000EE"/>
          <w:vertAlign w:val="superscript"/>
        </w:rPr>
        <w:t>61</w:t>
      </w:r>
      <w:r>
        <w:rPr>
          <w:rFonts w:ascii="Arial" w:cs="Arial" w:eastAsia="Arial" w:hAnsi="Arial"/>
          <w:sz w:val="15"/>
          <w:szCs w:val="15"/>
          <w:color w:val="auto"/>
        </w:rPr>
        <w:t xml:space="preserve"> ​</w:t>
      </w:r>
    </w:p>
    <w:p>
      <w:pPr>
        <w:ind w:left="20"/>
        <w:spacing w:after="0" w:line="182" w:lineRule="auto"/>
        <w:rPr>
          <w:sz w:val="20"/>
          <w:szCs w:val="20"/>
          <w:color w:val="auto"/>
        </w:rPr>
      </w:pPr>
      <w:r>
        <w:rPr>
          <w:rFonts w:ascii="Arial" w:cs="Arial" w:eastAsia="Arial" w:hAnsi="Arial"/>
          <w:sz w:val="25"/>
          <w:szCs w:val="25"/>
          <w:color w:val="000000"/>
          <w:vertAlign w:val="subscript"/>
        </w:rPr>
        <w:t>​</w:t>
      </w:r>
      <w:r>
        <w:rPr>
          <w:rFonts w:ascii="Arial" w:cs="Arial" w:eastAsia="Arial" w:hAnsi="Arial"/>
          <w:sz w:val="13"/>
          <w:szCs w:val="13"/>
          <w:color w:val="0000EE"/>
        </w:rPr>
        <w:t xml:space="preserve"> </w:t>
      </w:r>
      <w:r>
        <w:rPr>
          <w:rFonts w:ascii="Arial" w:cs="Arial" w:eastAsia="Arial" w:hAnsi="Arial"/>
          <w:sz w:val="13"/>
          <w:szCs w:val="13"/>
          <w:u w:val="single" w:color="auto"/>
          <w:color w:val="0000EE"/>
        </w:rPr>
        <w:t>62</w:t>
      </w:r>
      <w:r>
        <w:rPr>
          <w:rFonts w:ascii="Arial" w:cs="Arial" w:eastAsia="Arial" w:hAnsi="Arial"/>
          <w:sz w:val="13"/>
          <w:szCs w:val="13"/>
          <w:color w:val="0000EE"/>
        </w:rPr>
        <w:t xml:space="preserve"> </w:t>
      </w:r>
      <w:r>
        <w:rPr>
          <w:rFonts w:ascii="Arial" w:cs="Arial" w:eastAsia="Arial" w:hAnsi="Arial"/>
          <w:sz w:val="25"/>
          <w:szCs w:val="25"/>
          <w:color w:val="000000"/>
          <w:vertAlign w:val="subscript"/>
        </w:rPr>
        <w:t>​</w:t>
      </w:r>
    </w:p>
    <w:p>
      <w:pPr>
        <w:ind w:left="20"/>
        <w:spacing w:after="0" w:line="181" w:lineRule="auto"/>
        <w:rPr>
          <w:sz w:val="20"/>
          <w:szCs w:val="20"/>
          <w:color w:val="auto"/>
        </w:rPr>
      </w:pPr>
      <w:r>
        <w:rPr>
          <w:rFonts w:ascii="Arial" w:cs="Arial" w:eastAsia="Arial" w:hAnsi="Arial"/>
          <w:sz w:val="30"/>
          <w:szCs w:val="30"/>
          <w:color w:val="000000"/>
          <w:vertAlign w:val="subscript"/>
        </w:rPr>
        <w:t>​</w:t>
      </w:r>
      <w:r>
        <w:rPr>
          <w:rFonts w:ascii="Arial" w:cs="Arial" w:eastAsia="Arial" w:hAnsi="Arial"/>
          <w:sz w:val="15"/>
          <w:szCs w:val="15"/>
          <w:u w:val="single" w:color="auto"/>
          <w:color w:val="0000EE"/>
        </w:rPr>
        <w:t>A-1</w:t>
      </w:r>
      <w:r>
        <w:rPr>
          <w:rFonts w:ascii="Arial" w:cs="Arial" w:eastAsia="Arial" w:hAnsi="Arial"/>
          <w:sz w:val="15"/>
          <w:szCs w:val="15"/>
          <w:color w:val="0000EE"/>
        </w:rPr>
        <w:t xml:space="preserve"> </w:t>
      </w:r>
      <w:r>
        <w:rPr>
          <w:rFonts w:ascii="Arial" w:cs="Arial" w:eastAsia="Arial" w:hAnsi="Arial"/>
          <w:sz w:val="30"/>
          <w:szCs w:val="30"/>
          <w:color w:val="000000"/>
          <w:vertAlign w:val="subscript"/>
        </w:rPr>
        <w:t>​</w:t>
      </w:r>
    </w:p>
    <w:p>
      <w:pPr>
        <w:sectPr>
          <w:pgSz w:w="11900" w:h="16838" w:orient="portrait"/>
          <w:cols w:equalWidth="0" w:num="2">
            <w:col w:w="8840" w:space="80"/>
            <w:col w:w="380"/>
          </w:cols>
          <w:pgMar w:left="1440" w:top="102" w:right="1159" w:bottom="1440" w:gutter="0" w:footer="0" w:header="0"/>
          <w:type w:val="continuous"/>
        </w:sectPr>
      </w:pPr>
    </w:p>
    <w:bookmarkStart w:id="8" w:name="page9"/>
    <w:bookmarkEnd w:id="8"/>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34290</wp:posOffset>
            </wp:positionV>
            <wp:extent cx="436753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67530" cy="6985"/>
                    </a:xfrm>
                    <a:prstGeom prst="rect">
                      <a:avLst/>
                    </a:prstGeom>
                    <a:noFill/>
                  </pic:spPr>
                </pic:pic>
              </a:graphicData>
            </a:graphic>
          </wp:anchor>
        </w:drawing>
      </w:r>
    </w:p>
    <w:p>
      <w:pPr>
        <w:spacing w:after="0" w:line="166" w:lineRule="exact"/>
        <w:rPr>
          <w:sz w:val="20"/>
          <w:szCs w:val="20"/>
          <w:color w:val="auto"/>
        </w:rPr>
      </w:pPr>
    </w:p>
    <w:p>
      <w:pPr>
        <w:ind w:left="1060" w:right="1179"/>
        <w:spacing w:after="0" w:line="258" w:lineRule="auto"/>
        <w:rPr>
          <w:sz w:val="20"/>
          <w:szCs w:val="20"/>
          <w:color w:val="auto"/>
        </w:rPr>
      </w:pPr>
      <w:r>
        <w:rPr>
          <w:rFonts w:ascii="Arial" w:cs="Arial" w:eastAsia="Arial" w:hAnsi="Arial"/>
          <w:sz w:val="15"/>
          <w:szCs w:val="15"/>
          <w:color w:val="auto"/>
        </w:rPr>
        <w:t>This summary highlights information contained elsewhere in this proxy statement relating to the Annual General Meeting of Shareholders (the “Annual Meeting”) of Altisource Portfolio Solutions S.A. (the “Company”) and the Extraordinary General Meeting of Shareholders of the Company before a Luxembourg civil law notary (the “Extraordinary Meeting” and, together with the Annual Meeting, the “Meetings”) . This summary does not contain all information you should consider. Please read this entire proxy statement carefully before voting.</w:t>
      </w:r>
    </w:p>
    <w:p>
      <w:pPr>
        <w:spacing w:after="0" w:line="331"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Meeting Information</w:t>
      </w:r>
    </w:p>
    <w:p>
      <w:pPr>
        <w:spacing w:after="0" w:line="103" w:lineRule="exact"/>
        <w:rPr>
          <w:sz w:val="20"/>
          <w:szCs w:val="20"/>
          <w:color w:val="auto"/>
        </w:rPr>
      </w:pPr>
    </w:p>
    <w:p>
      <w:pPr>
        <w:ind w:left="1520" w:hanging="153"/>
        <w:spacing w:after="0"/>
        <w:tabs>
          <w:tab w:leader="none" w:pos="15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Date: Tuesday, May 13, 2025</w:t>
      </w:r>
    </w:p>
    <w:p>
      <w:pPr>
        <w:spacing w:after="0" w:line="99" w:lineRule="exact"/>
        <w:rPr>
          <w:rFonts w:ascii="Arial" w:cs="Arial" w:eastAsia="Arial" w:hAnsi="Arial"/>
          <w:sz w:val="15"/>
          <w:szCs w:val="15"/>
          <w:color w:val="auto"/>
        </w:rPr>
      </w:pPr>
    </w:p>
    <w:p>
      <w:pPr>
        <w:ind w:left="1520" w:hanging="153"/>
        <w:spacing w:after="0"/>
        <w:tabs>
          <w:tab w:leader="none" w:pos="15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Annual Meeting Time: 9:00 a.m. Central European Time</w:t>
      </w:r>
    </w:p>
    <w:p>
      <w:pPr>
        <w:spacing w:after="0" w:line="99" w:lineRule="exact"/>
        <w:rPr>
          <w:rFonts w:ascii="Arial" w:cs="Arial" w:eastAsia="Arial" w:hAnsi="Arial"/>
          <w:sz w:val="15"/>
          <w:szCs w:val="15"/>
          <w:color w:val="auto"/>
        </w:rPr>
      </w:pPr>
    </w:p>
    <w:p>
      <w:pPr>
        <w:ind w:left="1520" w:hanging="153"/>
        <w:spacing w:after="0"/>
        <w:tabs>
          <w:tab w:leader="none" w:pos="15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Extraordinary Meeting Time: 9:30 a.m. Central European Time</w:t>
      </w:r>
    </w:p>
    <w:p>
      <w:pPr>
        <w:spacing w:after="0" w:line="99" w:lineRule="exact"/>
        <w:rPr>
          <w:rFonts w:ascii="Arial" w:cs="Arial" w:eastAsia="Arial" w:hAnsi="Arial"/>
          <w:sz w:val="15"/>
          <w:szCs w:val="15"/>
          <w:color w:val="auto"/>
        </w:rPr>
      </w:pPr>
    </w:p>
    <w:p>
      <w:pPr>
        <w:ind w:left="1520" w:right="1839" w:hanging="153"/>
        <w:spacing w:after="0" w:line="288" w:lineRule="auto"/>
        <w:tabs>
          <w:tab w:leader="none" w:pos="15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Place: 33, Boulevard Prince Henri, L-1724 Luxembourg City, Grand Duchy of Luxembourg</w:t>
      </w:r>
    </w:p>
    <w:p>
      <w:pPr>
        <w:spacing w:after="0" w:line="38" w:lineRule="exact"/>
        <w:rPr>
          <w:rFonts w:ascii="Arial" w:cs="Arial" w:eastAsia="Arial" w:hAnsi="Arial"/>
          <w:sz w:val="15"/>
          <w:szCs w:val="15"/>
          <w:color w:val="auto"/>
        </w:rPr>
      </w:pPr>
    </w:p>
    <w:p>
      <w:pPr>
        <w:ind w:left="1520" w:hanging="153"/>
        <w:spacing w:after="0"/>
        <w:tabs>
          <w:tab w:leader="none" w:pos="15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Record Date: March 17, 2025</w:t>
      </w:r>
    </w:p>
    <w:p>
      <w:pPr>
        <w:spacing w:after="0" w:line="99" w:lineRule="exact"/>
        <w:rPr>
          <w:rFonts w:ascii="Arial" w:cs="Arial" w:eastAsia="Arial" w:hAnsi="Arial"/>
          <w:sz w:val="15"/>
          <w:szCs w:val="15"/>
          <w:color w:val="auto"/>
        </w:rPr>
      </w:pPr>
    </w:p>
    <w:p>
      <w:pPr>
        <w:ind w:left="1520" w:right="1219" w:hanging="153"/>
        <w:spacing w:after="0" w:line="288" w:lineRule="auto"/>
        <w:tabs>
          <w:tab w:leader="none" w:pos="15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Agendas: The Meetings will cover the proposals listed below, and any other business that may properly come before the meetings</w:t>
      </w:r>
    </w:p>
    <w:p>
      <w:pPr>
        <w:spacing w:after="0" w:line="1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Annual Meeting, Voting Matters and Recommendations of our Board of Directors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Annual General Meeting of Shareholders</w:t>
      </w:r>
    </w:p>
    <w:p>
      <w:pPr>
        <w:spacing w:after="0" w:line="10" w:lineRule="exact"/>
        <w:rPr>
          <w:sz w:val="20"/>
          <w:szCs w:val="20"/>
          <w:color w:val="auto"/>
        </w:rPr>
      </w:pPr>
    </w:p>
    <w:tbl>
      <w:tblPr>
        <w:tblLayout w:type="fixed"/>
        <w:tblInd w:w="1060" w:type="dxa"/>
        <w:tblCellMar>
          <w:top w:w="0" w:type="dxa"/>
          <w:left w:w="0" w:type="dxa"/>
          <w:bottom w:w="0" w:type="dxa"/>
          <w:right w:w="0" w:type="dxa"/>
        </w:tblCellMar>
      </w:tblPr>
      <w:tr>
        <w:trPr>
          <w:trHeight w:val="161"/>
        </w:trPr>
        <w:tc>
          <w:tcPr>
            <w:tcW w:w="220" w:type="dxa"/>
            <w:vAlign w:val="bottom"/>
            <w:tcBorders>
              <w:top w:val="single" w:sz="8" w:color="auto"/>
              <w:bottom w:val="single" w:sz="8" w:color="auto"/>
            </w:tcBorders>
          </w:tcPr>
          <w:p>
            <w:pPr>
              <w:spacing w:after="0"/>
              <w:rPr>
                <w:sz w:val="14"/>
                <w:szCs w:val="14"/>
                <w:color w:val="auto"/>
              </w:rPr>
            </w:pPr>
          </w:p>
        </w:tc>
        <w:tc>
          <w:tcPr>
            <w:tcW w:w="5040" w:type="dxa"/>
            <w:vAlign w:val="bottom"/>
            <w:tcBorders>
              <w:top w:val="single" w:sz="8" w:color="auto"/>
              <w:bottom w:val="single" w:sz="8" w:color="auto"/>
            </w:tcBorders>
          </w:tcPr>
          <w:p>
            <w:pPr>
              <w:ind w:left="2080"/>
              <w:spacing w:after="0"/>
              <w:rPr>
                <w:sz w:val="20"/>
                <w:szCs w:val="20"/>
                <w:color w:val="auto"/>
              </w:rPr>
            </w:pPr>
            <w:r>
              <w:rPr>
                <w:rFonts w:ascii="Arial" w:cs="Arial" w:eastAsia="Arial" w:hAnsi="Arial"/>
                <w:sz w:val="14"/>
                <w:szCs w:val="14"/>
                <w:b w:val="1"/>
                <w:bCs w:val="1"/>
                <w:color w:val="auto"/>
              </w:rPr>
              <w:t>Proposals</w:t>
            </w:r>
          </w:p>
        </w:tc>
        <w:tc>
          <w:tcPr>
            <w:tcW w:w="180" w:type="dxa"/>
            <w:vAlign w:val="bottom"/>
            <w:tcBorders>
              <w:top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Recommendation</w:t>
            </w:r>
          </w:p>
        </w:tc>
        <w:tc>
          <w:tcPr>
            <w:tcW w:w="0" w:type="dxa"/>
            <w:vAlign w:val="bottom"/>
          </w:tcPr>
          <w:p>
            <w:pPr>
              <w:spacing w:after="0"/>
              <w:rPr>
                <w:sz w:val="1"/>
                <w:szCs w:val="1"/>
                <w:color w:val="auto"/>
              </w:rPr>
            </w:pPr>
          </w:p>
        </w:tc>
      </w:tr>
      <w:tr>
        <w:trPr>
          <w:trHeight w:val="151"/>
        </w:trPr>
        <w:tc>
          <w:tcPr>
            <w:tcW w:w="220" w:type="dxa"/>
            <w:vAlign w:val="bottom"/>
          </w:tcPr>
          <w:p>
            <w:pPr>
              <w:jc w:val="right"/>
              <w:spacing w:after="0" w:line="151" w:lineRule="exact"/>
              <w:rPr>
                <w:sz w:val="20"/>
                <w:szCs w:val="20"/>
                <w:color w:val="auto"/>
              </w:rPr>
            </w:pPr>
            <w:r>
              <w:rPr>
                <w:rFonts w:ascii="Arial" w:cs="Arial" w:eastAsia="Arial" w:hAnsi="Arial"/>
                <w:sz w:val="14"/>
                <w:szCs w:val="14"/>
                <w:color w:val="auto"/>
                <w:w w:val="93"/>
              </w:rPr>
              <w:t>(1)</w:t>
            </w:r>
          </w:p>
        </w:tc>
        <w:tc>
          <w:tcPr>
            <w:tcW w:w="5220" w:type="dxa"/>
            <w:vAlign w:val="bottom"/>
            <w:gridSpan w:val="2"/>
          </w:tcPr>
          <w:p>
            <w:pPr>
              <w:ind w:left="60"/>
              <w:spacing w:after="0" w:line="151" w:lineRule="exact"/>
              <w:rPr>
                <w:sz w:val="20"/>
                <w:szCs w:val="20"/>
                <w:color w:val="auto"/>
              </w:rPr>
            </w:pPr>
            <w:r>
              <w:rPr>
                <w:rFonts w:ascii="Arial" w:cs="Arial" w:eastAsia="Arial" w:hAnsi="Arial"/>
                <w:sz w:val="14"/>
                <w:szCs w:val="14"/>
                <w:color w:val="auto"/>
              </w:rPr>
              <w:t>To elect seven (7) Directors to serve until the next annual general meeting</w:t>
            </w:r>
          </w:p>
        </w:tc>
        <w:tc>
          <w:tcPr>
            <w:tcW w:w="1440" w:type="dxa"/>
            <w:vAlign w:val="bottom"/>
          </w:tcPr>
          <w:p>
            <w:pPr>
              <w:jc w:val="center"/>
              <w:spacing w:after="0" w:line="15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FOR each nominee</w:t>
            </w: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2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of shareholders or until their respective successors have been elected and</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20" w:type="dxa"/>
            <w:vAlign w:val="bottom"/>
          </w:tcPr>
          <w:p>
            <w:pPr>
              <w:spacing w:after="0"/>
              <w:rPr>
                <w:sz w:val="14"/>
                <w:szCs w:val="14"/>
                <w:color w:val="auto"/>
              </w:rPr>
            </w:pPr>
          </w:p>
        </w:tc>
        <w:tc>
          <w:tcPr>
            <w:tcW w:w="5220" w:type="dxa"/>
            <w:vAlign w:val="bottom"/>
            <w:gridSpan w:val="2"/>
          </w:tcPr>
          <w:p>
            <w:pPr>
              <w:ind w:left="60"/>
              <w:spacing w:after="0"/>
              <w:rPr>
                <w:sz w:val="20"/>
                <w:szCs w:val="20"/>
                <w:color w:val="auto"/>
              </w:rPr>
            </w:pPr>
            <w:r>
              <w:rPr>
                <w:rFonts w:ascii="Arial" w:cs="Arial" w:eastAsia="Arial" w:hAnsi="Arial"/>
                <w:sz w:val="14"/>
                <w:szCs w:val="14"/>
                <w:color w:val="auto"/>
              </w:rPr>
              <w:t>qualified (the “Director Election Proposal”)</w:t>
            </w:r>
          </w:p>
        </w:tc>
        <w:tc>
          <w:tcPr>
            <w:tcW w:w="1440" w:type="dxa"/>
            <w:vAlign w:val="bottom"/>
            <w:vMerge w:val="restart"/>
          </w:tcPr>
          <w:p>
            <w:pPr>
              <w:jc w:val="center"/>
              <w:spacing w:after="0" w:line="161" w:lineRule="exact"/>
              <w:rPr>
                <w:sz w:val="20"/>
                <w:szCs w:val="20"/>
                <w:color w:val="auto"/>
              </w:rPr>
            </w:pPr>
            <w:r>
              <w:rPr>
                <w:rFonts w:ascii="MS PGothic" w:cs="MS PGothic" w:eastAsia="MS PGothic" w:hAnsi="MS PGothic"/>
                <w:sz w:val="14"/>
                <w:szCs w:val="14"/>
                <w:color w:val="auto"/>
                <w:w w:val="92"/>
              </w:rPr>
              <w:t>✓</w:t>
            </w:r>
            <w:r>
              <w:rPr>
                <w:rFonts w:ascii="Arial" w:cs="Arial" w:eastAsia="Arial" w:hAnsi="Arial"/>
                <w:sz w:val="14"/>
                <w:szCs w:val="14"/>
                <w:color w:val="auto"/>
                <w:w w:val="92"/>
              </w:rPr>
              <w:t xml:space="preserve"> FOR</w:t>
            </w:r>
          </w:p>
        </w:tc>
        <w:tc>
          <w:tcPr>
            <w:tcW w:w="0" w:type="dxa"/>
            <w:vAlign w:val="bottom"/>
          </w:tcPr>
          <w:p>
            <w:pPr>
              <w:spacing w:after="0"/>
              <w:rPr>
                <w:sz w:val="1"/>
                <w:szCs w:val="1"/>
                <w:color w:val="auto"/>
              </w:rPr>
            </w:pPr>
          </w:p>
        </w:tc>
      </w:tr>
      <w:tr>
        <w:trPr>
          <w:trHeight w:val="158"/>
        </w:trPr>
        <w:tc>
          <w:tcPr>
            <w:tcW w:w="220" w:type="dxa"/>
            <w:vAlign w:val="bottom"/>
          </w:tcPr>
          <w:p>
            <w:pPr>
              <w:jc w:val="right"/>
              <w:spacing w:after="0" w:line="159" w:lineRule="exact"/>
              <w:rPr>
                <w:sz w:val="20"/>
                <w:szCs w:val="20"/>
                <w:color w:val="auto"/>
              </w:rPr>
            </w:pPr>
            <w:r>
              <w:rPr>
                <w:rFonts w:ascii="Arial" w:cs="Arial" w:eastAsia="Arial" w:hAnsi="Arial"/>
                <w:sz w:val="14"/>
                <w:szCs w:val="14"/>
                <w:color w:val="auto"/>
                <w:w w:val="93"/>
              </w:rPr>
              <w:t>(2)</w:t>
            </w:r>
          </w:p>
        </w:tc>
        <w:tc>
          <w:tcPr>
            <w:tcW w:w="52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To approve the appointment of RSM US LLP as our independent</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2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registered public accounting firm for the year ending December 31, 2025</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2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and until our 2026 annual general meeting of shareholders, and the</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2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 xml:space="preserve">appointment of Atwell S.à r.l. as our certified auditor </w:t>
            </w:r>
            <w:r>
              <w:rPr>
                <w:rFonts w:ascii="Arial" w:cs="Arial" w:eastAsia="Arial" w:hAnsi="Arial"/>
                <w:sz w:val="14"/>
                <w:szCs w:val="14"/>
                <w:i w:val="1"/>
                <w:iCs w:val="1"/>
                <w:color w:val="auto"/>
              </w:rPr>
              <w:t>(Réviseur d’Entreprises)</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2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for the same period (the “Approval of Appointment of Independent</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20" w:type="dxa"/>
            <w:vAlign w:val="bottom"/>
          </w:tcPr>
          <w:p>
            <w:pPr>
              <w:spacing w:after="0"/>
              <w:rPr>
                <w:sz w:val="14"/>
                <w:szCs w:val="14"/>
                <w:color w:val="auto"/>
              </w:rPr>
            </w:pPr>
          </w:p>
        </w:tc>
        <w:tc>
          <w:tcPr>
            <w:tcW w:w="5220" w:type="dxa"/>
            <w:vAlign w:val="bottom"/>
            <w:gridSpan w:val="2"/>
          </w:tcPr>
          <w:p>
            <w:pPr>
              <w:ind w:left="60"/>
              <w:spacing w:after="0"/>
              <w:rPr>
                <w:sz w:val="20"/>
                <w:szCs w:val="20"/>
                <w:color w:val="auto"/>
              </w:rPr>
            </w:pPr>
            <w:r>
              <w:rPr>
                <w:rFonts w:ascii="Arial" w:cs="Arial" w:eastAsia="Arial" w:hAnsi="Arial"/>
                <w:sz w:val="14"/>
                <w:szCs w:val="14"/>
                <w:color w:val="auto"/>
              </w:rPr>
              <w:t>Registered Accounting Firm and Certified Auditor Proposal”)</w:t>
            </w:r>
          </w:p>
        </w:tc>
        <w:tc>
          <w:tcPr>
            <w:tcW w:w="1440" w:type="dxa"/>
            <w:vAlign w:val="bottom"/>
            <w:vMerge w:val="restart"/>
          </w:tcPr>
          <w:p>
            <w:pPr>
              <w:jc w:val="center"/>
              <w:spacing w:after="0" w:line="161" w:lineRule="exact"/>
              <w:rPr>
                <w:sz w:val="20"/>
                <w:szCs w:val="20"/>
                <w:color w:val="auto"/>
              </w:rPr>
            </w:pPr>
            <w:r>
              <w:rPr>
                <w:rFonts w:ascii="MS PGothic" w:cs="MS PGothic" w:eastAsia="MS PGothic" w:hAnsi="MS PGothic"/>
                <w:sz w:val="14"/>
                <w:szCs w:val="14"/>
                <w:color w:val="auto"/>
                <w:w w:val="92"/>
              </w:rPr>
              <w:t>✓</w:t>
            </w:r>
            <w:r>
              <w:rPr>
                <w:rFonts w:ascii="Arial" w:cs="Arial" w:eastAsia="Arial" w:hAnsi="Arial"/>
                <w:sz w:val="14"/>
                <w:szCs w:val="14"/>
                <w:color w:val="auto"/>
                <w:w w:val="92"/>
              </w:rPr>
              <w:t xml:space="preserve"> FOR</w:t>
            </w:r>
          </w:p>
        </w:tc>
        <w:tc>
          <w:tcPr>
            <w:tcW w:w="0" w:type="dxa"/>
            <w:vAlign w:val="bottom"/>
          </w:tcPr>
          <w:p>
            <w:pPr>
              <w:spacing w:after="0"/>
              <w:rPr>
                <w:sz w:val="1"/>
                <w:szCs w:val="1"/>
                <w:color w:val="auto"/>
              </w:rPr>
            </w:pPr>
          </w:p>
        </w:tc>
      </w:tr>
      <w:tr>
        <w:trPr>
          <w:trHeight w:val="158"/>
        </w:trPr>
        <w:tc>
          <w:tcPr>
            <w:tcW w:w="220" w:type="dxa"/>
            <w:vAlign w:val="bottom"/>
          </w:tcPr>
          <w:p>
            <w:pPr>
              <w:jc w:val="right"/>
              <w:spacing w:after="0" w:line="159" w:lineRule="exact"/>
              <w:rPr>
                <w:sz w:val="20"/>
                <w:szCs w:val="20"/>
                <w:color w:val="auto"/>
              </w:rPr>
            </w:pPr>
            <w:r>
              <w:rPr>
                <w:rFonts w:ascii="Arial" w:cs="Arial" w:eastAsia="Arial" w:hAnsi="Arial"/>
                <w:sz w:val="14"/>
                <w:szCs w:val="14"/>
                <w:color w:val="auto"/>
                <w:w w:val="93"/>
              </w:rPr>
              <w:t>(3)</w:t>
            </w:r>
          </w:p>
        </w:tc>
        <w:tc>
          <w:tcPr>
            <w:tcW w:w="52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To approve our Luxembourg Annual Accounts for the year ended</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2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December 31, 2024 and consolidated financial statements prepared in</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2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accordance with International Financial Reporting Standards (the</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2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“Consolidated Accounts” and, together with the Luxembourg Annual</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2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Accounts, the “Luxembourg Statutory Accounts”) as of and for the year</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2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ended December 31, 2024 (the “Luxembourg Statutory Accounts</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20" w:type="dxa"/>
            <w:vAlign w:val="bottom"/>
          </w:tcPr>
          <w:p>
            <w:pPr>
              <w:spacing w:after="0"/>
              <w:rPr>
                <w:sz w:val="14"/>
                <w:szCs w:val="14"/>
                <w:color w:val="auto"/>
              </w:rPr>
            </w:pPr>
          </w:p>
        </w:tc>
        <w:tc>
          <w:tcPr>
            <w:tcW w:w="5220" w:type="dxa"/>
            <w:vAlign w:val="bottom"/>
            <w:gridSpan w:val="2"/>
          </w:tcPr>
          <w:p>
            <w:pPr>
              <w:ind w:left="60"/>
              <w:spacing w:after="0"/>
              <w:rPr>
                <w:sz w:val="20"/>
                <w:szCs w:val="20"/>
                <w:color w:val="auto"/>
              </w:rPr>
            </w:pPr>
            <w:r>
              <w:rPr>
                <w:rFonts w:ascii="Arial" w:cs="Arial" w:eastAsia="Arial" w:hAnsi="Arial"/>
                <w:sz w:val="14"/>
                <w:szCs w:val="14"/>
                <w:color w:val="auto"/>
              </w:rPr>
              <w:t>Proposal”)</w:t>
            </w:r>
          </w:p>
        </w:tc>
        <w:tc>
          <w:tcPr>
            <w:tcW w:w="1440" w:type="dxa"/>
            <w:vAlign w:val="bottom"/>
            <w:vMerge w:val="restart"/>
          </w:tcPr>
          <w:p>
            <w:pPr>
              <w:jc w:val="center"/>
              <w:spacing w:after="0" w:line="161" w:lineRule="exact"/>
              <w:rPr>
                <w:sz w:val="20"/>
                <w:szCs w:val="20"/>
                <w:color w:val="auto"/>
              </w:rPr>
            </w:pPr>
            <w:r>
              <w:rPr>
                <w:rFonts w:ascii="MS PGothic" w:cs="MS PGothic" w:eastAsia="MS PGothic" w:hAnsi="MS PGothic"/>
                <w:sz w:val="14"/>
                <w:szCs w:val="14"/>
                <w:color w:val="auto"/>
                <w:w w:val="92"/>
              </w:rPr>
              <w:t>✓</w:t>
            </w:r>
            <w:r>
              <w:rPr>
                <w:rFonts w:ascii="Arial" w:cs="Arial" w:eastAsia="Arial" w:hAnsi="Arial"/>
                <w:sz w:val="14"/>
                <w:szCs w:val="14"/>
                <w:color w:val="auto"/>
                <w:w w:val="92"/>
              </w:rPr>
              <w:t xml:space="preserve"> FOR</w:t>
            </w:r>
          </w:p>
        </w:tc>
        <w:tc>
          <w:tcPr>
            <w:tcW w:w="0" w:type="dxa"/>
            <w:vAlign w:val="bottom"/>
          </w:tcPr>
          <w:p>
            <w:pPr>
              <w:spacing w:after="0"/>
              <w:rPr>
                <w:sz w:val="1"/>
                <w:szCs w:val="1"/>
                <w:color w:val="auto"/>
              </w:rPr>
            </w:pPr>
          </w:p>
        </w:tc>
      </w:tr>
      <w:tr>
        <w:trPr>
          <w:trHeight w:val="158"/>
        </w:trPr>
        <w:tc>
          <w:tcPr>
            <w:tcW w:w="220" w:type="dxa"/>
            <w:vAlign w:val="bottom"/>
          </w:tcPr>
          <w:p>
            <w:pPr>
              <w:jc w:val="right"/>
              <w:spacing w:after="0" w:line="159" w:lineRule="exact"/>
              <w:rPr>
                <w:sz w:val="20"/>
                <w:szCs w:val="20"/>
                <w:color w:val="auto"/>
              </w:rPr>
            </w:pPr>
            <w:r>
              <w:rPr>
                <w:rFonts w:ascii="Arial" w:cs="Arial" w:eastAsia="Arial" w:hAnsi="Arial"/>
                <w:sz w:val="14"/>
                <w:szCs w:val="14"/>
                <w:color w:val="auto"/>
                <w:w w:val="93"/>
              </w:rPr>
              <w:t>(4)</w:t>
            </w:r>
          </w:p>
        </w:tc>
        <w:tc>
          <w:tcPr>
            <w:tcW w:w="52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To receive and approve our Directors’ report for the Luxembourg Statutory</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2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Accounts for the year ended December 31, 2024 and to receive our</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2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 xml:space="preserve">supervisory auditor’s </w:t>
            </w:r>
            <w:r>
              <w:rPr>
                <w:rFonts w:ascii="Arial" w:cs="Arial" w:eastAsia="Arial" w:hAnsi="Arial"/>
                <w:sz w:val="14"/>
                <w:szCs w:val="14"/>
                <w:i w:val="1"/>
                <w:iCs w:val="1"/>
                <w:color w:val="auto"/>
              </w:rPr>
              <w:t>(Commissaire aux Comptes)</w:t>
            </w:r>
            <w:r>
              <w:rPr>
                <w:rFonts w:ascii="Arial" w:cs="Arial" w:eastAsia="Arial" w:hAnsi="Arial"/>
                <w:sz w:val="14"/>
                <w:szCs w:val="14"/>
                <w:color w:val="auto"/>
              </w:rPr>
              <w:t xml:space="preserve"> report for the Luxembourg</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2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Annual Accounts for the same period (the “Receipt of Directors’ Report</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20" w:type="dxa"/>
            <w:vAlign w:val="bottom"/>
          </w:tcPr>
          <w:p>
            <w:pPr>
              <w:spacing w:after="0"/>
              <w:rPr>
                <w:sz w:val="14"/>
                <w:szCs w:val="14"/>
                <w:color w:val="auto"/>
              </w:rPr>
            </w:pPr>
          </w:p>
        </w:tc>
        <w:tc>
          <w:tcPr>
            <w:tcW w:w="5220" w:type="dxa"/>
            <w:vAlign w:val="bottom"/>
            <w:gridSpan w:val="2"/>
          </w:tcPr>
          <w:p>
            <w:pPr>
              <w:ind w:left="60"/>
              <w:spacing w:after="0"/>
              <w:rPr>
                <w:sz w:val="20"/>
                <w:szCs w:val="20"/>
                <w:color w:val="auto"/>
              </w:rPr>
            </w:pPr>
            <w:r>
              <w:rPr>
                <w:rFonts w:ascii="Arial" w:cs="Arial" w:eastAsia="Arial" w:hAnsi="Arial"/>
                <w:sz w:val="14"/>
                <w:szCs w:val="14"/>
                <w:color w:val="auto"/>
              </w:rPr>
              <w:t>Proposal”)</w:t>
            </w:r>
          </w:p>
        </w:tc>
        <w:tc>
          <w:tcPr>
            <w:tcW w:w="1440" w:type="dxa"/>
            <w:vAlign w:val="bottom"/>
            <w:vMerge w:val="restart"/>
          </w:tcPr>
          <w:p>
            <w:pPr>
              <w:jc w:val="center"/>
              <w:spacing w:after="0" w:line="161" w:lineRule="exact"/>
              <w:rPr>
                <w:sz w:val="20"/>
                <w:szCs w:val="20"/>
                <w:color w:val="auto"/>
              </w:rPr>
            </w:pPr>
            <w:r>
              <w:rPr>
                <w:rFonts w:ascii="MS PGothic" w:cs="MS PGothic" w:eastAsia="MS PGothic" w:hAnsi="MS PGothic"/>
                <w:sz w:val="14"/>
                <w:szCs w:val="14"/>
                <w:color w:val="auto"/>
                <w:w w:val="92"/>
              </w:rPr>
              <w:t>✓</w:t>
            </w:r>
            <w:r>
              <w:rPr>
                <w:rFonts w:ascii="Arial" w:cs="Arial" w:eastAsia="Arial" w:hAnsi="Arial"/>
                <w:sz w:val="14"/>
                <w:szCs w:val="14"/>
                <w:color w:val="auto"/>
                <w:w w:val="92"/>
              </w:rPr>
              <w:t xml:space="preserve"> FOR</w:t>
            </w:r>
          </w:p>
        </w:tc>
        <w:tc>
          <w:tcPr>
            <w:tcW w:w="0" w:type="dxa"/>
            <w:vAlign w:val="bottom"/>
          </w:tcPr>
          <w:p>
            <w:pPr>
              <w:spacing w:after="0"/>
              <w:rPr>
                <w:sz w:val="1"/>
                <w:szCs w:val="1"/>
                <w:color w:val="auto"/>
              </w:rPr>
            </w:pPr>
          </w:p>
        </w:tc>
      </w:tr>
      <w:tr>
        <w:trPr>
          <w:trHeight w:val="158"/>
        </w:trPr>
        <w:tc>
          <w:tcPr>
            <w:tcW w:w="220" w:type="dxa"/>
            <w:vAlign w:val="bottom"/>
          </w:tcPr>
          <w:p>
            <w:pPr>
              <w:jc w:val="right"/>
              <w:spacing w:after="0" w:line="159" w:lineRule="exact"/>
              <w:rPr>
                <w:sz w:val="20"/>
                <w:szCs w:val="20"/>
                <w:color w:val="auto"/>
              </w:rPr>
            </w:pPr>
            <w:r>
              <w:rPr>
                <w:rFonts w:ascii="Arial" w:cs="Arial" w:eastAsia="Arial" w:hAnsi="Arial"/>
                <w:sz w:val="14"/>
                <w:szCs w:val="14"/>
                <w:color w:val="auto"/>
                <w:w w:val="93"/>
              </w:rPr>
              <w:t>(5)</w:t>
            </w:r>
          </w:p>
        </w:tc>
        <w:tc>
          <w:tcPr>
            <w:tcW w:w="52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To allocate the results in the Luxembourg Annual Accounts for the year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2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ended December 31, 2024 (the “Luxembourg Annual Accounts Allocation</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20" w:type="dxa"/>
            <w:vAlign w:val="bottom"/>
          </w:tcPr>
          <w:p>
            <w:pPr>
              <w:spacing w:after="0"/>
              <w:rPr>
                <w:sz w:val="14"/>
                <w:szCs w:val="14"/>
                <w:color w:val="auto"/>
              </w:rPr>
            </w:pPr>
          </w:p>
        </w:tc>
        <w:tc>
          <w:tcPr>
            <w:tcW w:w="5220" w:type="dxa"/>
            <w:vAlign w:val="bottom"/>
            <w:gridSpan w:val="2"/>
          </w:tcPr>
          <w:p>
            <w:pPr>
              <w:ind w:left="60"/>
              <w:spacing w:after="0"/>
              <w:rPr>
                <w:sz w:val="20"/>
                <w:szCs w:val="20"/>
                <w:color w:val="auto"/>
              </w:rPr>
            </w:pPr>
            <w:r>
              <w:rPr>
                <w:rFonts w:ascii="Arial" w:cs="Arial" w:eastAsia="Arial" w:hAnsi="Arial"/>
                <w:sz w:val="14"/>
                <w:szCs w:val="14"/>
                <w:color w:val="auto"/>
              </w:rPr>
              <w:t>Proposal”)</w:t>
            </w:r>
          </w:p>
        </w:tc>
        <w:tc>
          <w:tcPr>
            <w:tcW w:w="1440" w:type="dxa"/>
            <w:vAlign w:val="bottom"/>
            <w:vMerge w:val="restart"/>
          </w:tcPr>
          <w:p>
            <w:pPr>
              <w:jc w:val="center"/>
              <w:spacing w:after="0" w:line="161" w:lineRule="exact"/>
              <w:rPr>
                <w:sz w:val="20"/>
                <w:szCs w:val="20"/>
                <w:color w:val="auto"/>
              </w:rPr>
            </w:pPr>
            <w:r>
              <w:rPr>
                <w:rFonts w:ascii="MS PGothic" w:cs="MS PGothic" w:eastAsia="MS PGothic" w:hAnsi="MS PGothic"/>
                <w:sz w:val="14"/>
                <w:szCs w:val="14"/>
                <w:color w:val="auto"/>
                <w:w w:val="92"/>
              </w:rPr>
              <w:t>✓</w:t>
            </w:r>
            <w:r>
              <w:rPr>
                <w:rFonts w:ascii="Arial" w:cs="Arial" w:eastAsia="Arial" w:hAnsi="Arial"/>
                <w:sz w:val="14"/>
                <w:szCs w:val="14"/>
                <w:color w:val="auto"/>
                <w:w w:val="92"/>
              </w:rPr>
              <w:t xml:space="preserve"> FOR</w:t>
            </w:r>
          </w:p>
        </w:tc>
        <w:tc>
          <w:tcPr>
            <w:tcW w:w="0" w:type="dxa"/>
            <w:vAlign w:val="bottom"/>
          </w:tcPr>
          <w:p>
            <w:pPr>
              <w:spacing w:after="0"/>
              <w:rPr>
                <w:sz w:val="1"/>
                <w:szCs w:val="1"/>
                <w:color w:val="auto"/>
              </w:rPr>
            </w:pPr>
          </w:p>
        </w:tc>
      </w:tr>
      <w:tr>
        <w:trPr>
          <w:trHeight w:val="158"/>
        </w:trPr>
        <w:tc>
          <w:tcPr>
            <w:tcW w:w="220" w:type="dxa"/>
            <w:vAlign w:val="bottom"/>
          </w:tcPr>
          <w:p>
            <w:pPr>
              <w:jc w:val="right"/>
              <w:spacing w:after="0" w:line="159" w:lineRule="exact"/>
              <w:rPr>
                <w:sz w:val="20"/>
                <w:szCs w:val="20"/>
                <w:color w:val="auto"/>
              </w:rPr>
            </w:pPr>
            <w:r>
              <w:rPr>
                <w:rFonts w:ascii="Arial" w:cs="Arial" w:eastAsia="Arial" w:hAnsi="Arial"/>
                <w:sz w:val="14"/>
                <w:szCs w:val="14"/>
                <w:color w:val="auto"/>
                <w:w w:val="93"/>
              </w:rPr>
              <w:t>(6)</w:t>
            </w:r>
          </w:p>
        </w:tc>
        <w:tc>
          <w:tcPr>
            <w:tcW w:w="52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To discharge each of our Directors for the performance of their mandate</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2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for the year ended December 31, 2024 and our supervisory auditor</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220" w:type="dxa"/>
            <w:vAlign w:val="bottom"/>
            <w:gridSpan w:val="2"/>
          </w:tcPr>
          <w:p>
            <w:pPr>
              <w:ind w:left="60"/>
              <w:spacing w:after="0" w:line="159" w:lineRule="exact"/>
              <w:rPr>
                <w:sz w:val="20"/>
                <w:szCs w:val="20"/>
                <w:color w:val="auto"/>
              </w:rPr>
            </w:pPr>
            <w:r>
              <w:rPr>
                <w:rFonts w:ascii="Arial" w:cs="Arial" w:eastAsia="Arial" w:hAnsi="Arial"/>
                <w:sz w:val="14"/>
                <w:szCs w:val="14"/>
                <w:i w:val="1"/>
                <w:iCs w:val="1"/>
                <w:color w:val="auto"/>
              </w:rPr>
              <w:t xml:space="preserve">(Commissaire aux Comptes) </w:t>
            </w:r>
            <w:r>
              <w:rPr>
                <w:rFonts w:ascii="Arial" w:cs="Arial" w:eastAsia="Arial" w:hAnsi="Arial"/>
                <w:sz w:val="14"/>
                <w:szCs w:val="14"/>
                <w:color w:val="auto"/>
              </w:rPr>
              <w:t>for the performance of her mandate for the</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20" w:type="dxa"/>
            <w:vAlign w:val="bottom"/>
          </w:tcPr>
          <w:p>
            <w:pPr>
              <w:spacing w:after="0"/>
              <w:rPr>
                <w:sz w:val="14"/>
                <w:szCs w:val="14"/>
                <w:color w:val="auto"/>
              </w:rPr>
            </w:pPr>
          </w:p>
        </w:tc>
        <w:tc>
          <w:tcPr>
            <w:tcW w:w="5220" w:type="dxa"/>
            <w:vAlign w:val="bottom"/>
            <w:gridSpan w:val="2"/>
          </w:tcPr>
          <w:p>
            <w:pPr>
              <w:ind w:left="60"/>
              <w:spacing w:after="0"/>
              <w:rPr>
                <w:sz w:val="20"/>
                <w:szCs w:val="20"/>
                <w:color w:val="auto"/>
              </w:rPr>
            </w:pPr>
            <w:r>
              <w:rPr>
                <w:rFonts w:ascii="Arial" w:cs="Arial" w:eastAsia="Arial" w:hAnsi="Arial"/>
                <w:sz w:val="14"/>
                <w:szCs w:val="14"/>
                <w:color w:val="auto"/>
              </w:rPr>
              <w:t>same period (the “Discharge Proposal”)</w:t>
            </w:r>
          </w:p>
        </w:tc>
        <w:tc>
          <w:tcPr>
            <w:tcW w:w="1440" w:type="dxa"/>
            <w:vAlign w:val="bottom"/>
            <w:vMerge w:val="restart"/>
          </w:tcPr>
          <w:p>
            <w:pPr>
              <w:jc w:val="center"/>
              <w:spacing w:after="0" w:line="161" w:lineRule="exact"/>
              <w:rPr>
                <w:sz w:val="20"/>
                <w:szCs w:val="20"/>
                <w:color w:val="auto"/>
              </w:rPr>
            </w:pPr>
            <w:r>
              <w:rPr>
                <w:rFonts w:ascii="MS PGothic" w:cs="MS PGothic" w:eastAsia="MS PGothic" w:hAnsi="MS PGothic"/>
                <w:sz w:val="14"/>
                <w:szCs w:val="14"/>
                <w:color w:val="auto"/>
                <w:w w:val="92"/>
              </w:rPr>
              <w:t>✓</w:t>
            </w:r>
            <w:r>
              <w:rPr>
                <w:rFonts w:ascii="Arial" w:cs="Arial" w:eastAsia="Arial" w:hAnsi="Arial"/>
                <w:sz w:val="14"/>
                <w:szCs w:val="14"/>
                <w:color w:val="auto"/>
                <w:w w:val="92"/>
              </w:rPr>
              <w:t xml:space="preserve"> FOR</w:t>
            </w:r>
          </w:p>
        </w:tc>
        <w:tc>
          <w:tcPr>
            <w:tcW w:w="0" w:type="dxa"/>
            <w:vAlign w:val="bottom"/>
          </w:tcPr>
          <w:p>
            <w:pPr>
              <w:spacing w:after="0"/>
              <w:rPr>
                <w:sz w:val="1"/>
                <w:szCs w:val="1"/>
                <w:color w:val="auto"/>
              </w:rPr>
            </w:pPr>
          </w:p>
        </w:tc>
      </w:tr>
      <w:tr>
        <w:trPr>
          <w:trHeight w:val="158"/>
        </w:trPr>
        <w:tc>
          <w:tcPr>
            <w:tcW w:w="220" w:type="dxa"/>
            <w:vAlign w:val="bottom"/>
          </w:tcPr>
          <w:p>
            <w:pPr>
              <w:jc w:val="right"/>
              <w:spacing w:after="0" w:line="159" w:lineRule="exact"/>
              <w:rPr>
                <w:sz w:val="20"/>
                <w:szCs w:val="20"/>
                <w:color w:val="auto"/>
              </w:rPr>
            </w:pPr>
            <w:r>
              <w:rPr>
                <w:rFonts w:ascii="Arial" w:cs="Arial" w:eastAsia="Arial" w:hAnsi="Arial"/>
                <w:sz w:val="14"/>
                <w:szCs w:val="14"/>
                <w:color w:val="auto"/>
                <w:w w:val="93"/>
              </w:rPr>
              <w:t>(7)</w:t>
            </w:r>
          </w:p>
        </w:tc>
        <w:tc>
          <w:tcPr>
            <w:tcW w:w="52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To approve, on a non-binding advisory basis, the compensation of our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2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Named Executive Officers (“Say-on-Pay”) as disclosed in this proxy</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20" w:type="dxa"/>
            <w:vAlign w:val="bottom"/>
          </w:tcPr>
          <w:p>
            <w:pPr>
              <w:spacing w:after="0"/>
              <w:rPr>
                <w:sz w:val="15"/>
                <w:szCs w:val="15"/>
                <w:color w:val="auto"/>
              </w:rPr>
            </w:pPr>
          </w:p>
        </w:tc>
        <w:tc>
          <w:tcPr>
            <w:tcW w:w="5220" w:type="dxa"/>
            <w:vAlign w:val="bottom"/>
            <w:gridSpan w:val="2"/>
          </w:tcPr>
          <w:p>
            <w:pPr>
              <w:ind w:left="60"/>
              <w:spacing w:after="0"/>
              <w:rPr>
                <w:sz w:val="20"/>
                <w:szCs w:val="20"/>
                <w:color w:val="auto"/>
              </w:rPr>
            </w:pPr>
            <w:r>
              <w:rPr>
                <w:rFonts w:ascii="Arial" w:cs="Arial" w:eastAsia="Arial" w:hAnsi="Arial"/>
                <w:sz w:val="14"/>
                <w:szCs w:val="14"/>
                <w:color w:val="auto"/>
              </w:rPr>
              <w:t>statement (the “Say-on-Pay Proposal”)</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060"/>
        <w:spacing w:after="0"/>
        <w:rPr>
          <w:sz w:val="20"/>
          <w:szCs w:val="20"/>
          <w:color w:val="auto"/>
        </w:rPr>
      </w:pPr>
      <w:r>
        <w:rPr>
          <w:rFonts w:ascii="Arial" w:cs="Arial" w:eastAsia="Arial" w:hAnsi="Arial"/>
          <w:sz w:val="14"/>
          <w:szCs w:val="14"/>
          <w:color w:val="auto"/>
        </w:rPr>
        <w:t> </w:t>
      </w:r>
    </w:p>
    <w:p>
      <w:pPr>
        <w:spacing w:after="0" w:line="2" w:lineRule="exact"/>
        <w:rPr>
          <w:sz w:val="20"/>
          <w:szCs w:val="20"/>
          <w:color w:val="auto"/>
        </w:rPr>
      </w:pPr>
    </w:p>
    <w:p>
      <w:pPr>
        <w:ind w:left="1340" w:right="2819"/>
        <w:spacing w:after="0" w:line="241" w:lineRule="auto"/>
        <w:rPr>
          <w:sz w:val="20"/>
          <w:szCs w:val="20"/>
          <w:color w:val="auto"/>
        </w:rPr>
      </w:pPr>
      <w:r>
        <w:rPr>
          <w:rFonts w:ascii="Arial" w:cs="Arial" w:eastAsia="Arial" w:hAnsi="Arial"/>
          <w:sz w:val="14"/>
          <w:szCs w:val="14"/>
          <w:color w:val="auto"/>
        </w:rPr>
        <w:t>To transact such other business as may properly come before the Annual Meeting and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9" w:name="page10"/>
    <w:bookmarkEnd w:id="9"/>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70" w:lineRule="exact"/>
        <w:rPr>
          <w:sz w:val="20"/>
          <w:szCs w:val="20"/>
          <w:color w:val="auto"/>
        </w:rPr>
      </w:pPr>
    </w:p>
    <w:tbl>
      <w:tblPr>
        <w:tblLayout w:type="fixed"/>
        <w:tblInd w:w="1060" w:type="dxa"/>
        <w:tblCellMar>
          <w:top w:w="0" w:type="dxa"/>
          <w:left w:w="0" w:type="dxa"/>
          <w:bottom w:w="0" w:type="dxa"/>
          <w:right w:w="0" w:type="dxa"/>
        </w:tblCellMar>
      </w:tblPr>
      <w:tr>
        <w:trPr>
          <w:trHeight w:val="129"/>
        </w:trPr>
        <w:tc>
          <w:tcPr>
            <w:tcW w:w="2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460" w:type="dxa"/>
            <w:vAlign w:val="bottom"/>
            <w:gridSpan w:val="4"/>
            <w:vMerge w:val="restart"/>
          </w:tcPr>
          <w:p>
            <w:pPr>
              <w:spacing w:after="0"/>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PROXY SUMMARY  </w:t>
            </w:r>
            <w:r>
              <w:rPr>
                <w:rFonts w:ascii="Arial" w:cs="Arial" w:eastAsia="Arial" w:hAnsi="Arial"/>
                <w:sz w:val="27"/>
                <w:szCs w:val="27"/>
                <w:b w:val="1"/>
                <w:bCs w:val="1"/>
                <w:color w:val="314F60"/>
                <w:vertAlign w:val="superscript"/>
              </w:rPr>
              <w:t>​</w:t>
            </w:r>
          </w:p>
        </w:tc>
        <w:tc>
          <w:tcPr>
            <w:tcW w:w="0" w:type="dxa"/>
            <w:vAlign w:val="bottom"/>
          </w:tcPr>
          <w:p>
            <w:pPr>
              <w:spacing w:after="0"/>
              <w:rPr>
                <w:sz w:val="1"/>
                <w:szCs w:val="1"/>
                <w:color w:val="auto"/>
              </w:rPr>
            </w:pPr>
          </w:p>
        </w:tc>
      </w:tr>
      <w:tr>
        <w:trPr>
          <w:trHeight w:val="181"/>
        </w:trPr>
        <w:tc>
          <w:tcPr>
            <w:tcW w:w="220" w:type="dxa"/>
            <w:vAlign w:val="bottom"/>
          </w:tcPr>
          <w:p>
            <w:pPr>
              <w:spacing w:after="0"/>
              <w:rPr>
                <w:sz w:val="15"/>
                <w:szCs w:val="15"/>
                <w:color w:val="auto"/>
              </w:rPr>
            </w:pPr>
          </w:p>
        </w:tc>
        <w:tc>
          <w:tcPr>
            <w:tcW w:w="5240" w:type="dxa"/>
            <w:vAlign w:val="bottom"/>
            <w:tcBorders>
              <w:right w:val="single" w:sz="8" w:color="75FF00"/>
            </w:tcBorders>
          </w:tcPr>
          <w:p>
            <w:pPr>
              <w:spacing w:after="0"/>
              <w:rPr>
                <w:sz w:val="15"/>
                <w:szCs w:val="15"/>
                <w:color w:val="auto"/>
              </w:rPr>
            </w:pPr>
          </w:p>
        </w:tc>
        <w:tc>
          <w:tcPr>
            <w:tcW w:w="14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22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Extraordinary General Meeting of Shareholders</w:t>
            </w:r>
          </w:p>
        </w:tc>
        <w:tc>
          <w:tcPr>
            <w:tcW w:w="280" w:type="dxa"/>
            <w:vAlign w:val="bottom"/>
            <w:tcBorders>
              <w:top w:val="single" w:sz="8" w:color="75FF00"/>
              <w:bottom w:val="single" w:sz="8" w:color="auto"/>
            </w:tcBorders>
            <w:gridSpan w:val="2"/>
          </w:tcPr>
          <w:p>
            <w:pPr>
              <w:spacing w:after="0"/>
              <w:rPr>
                <w:sz w:val="24"/>
                <w:szCs w:val="24"/>
                <w:color w:val="auto"/>
              </w:rPr>
            </w:pPr>
          </w:p>
        </w:tc>
        <w:tc>
          <w:tcPr>
            <w:tcW w:w="1140" w:type="dxa"/>
            <w:vAlign w:val="bottom"/>
            <w:tcBorders>
              <w:top w:val="single" w:sz="8" w:color="75FF00"/>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20" w:type="dxa"/>
            <w:vAlign w:val="bottom"/>
            <w:tcBorders>
              <w:bottom w:val="single" w:sz="8" w:color="auto"/>
            </w:tcBorders>
          </w:tcPr>
          <w:p>
            <w:pPr>
              <w:spacing w:after="0"/>
              <w:rPr>
                <w:sz w:val="14"/>
                <w:szCs w:val="14"/>
                <w:color w:val="auto"/>
              </w:rPr>
            </w:pPr>
          </w:p>
        </w:tc>
        <w:tc>
          <w:tcPr>
            <w:tcW w:w="5340" w:type="dxa"/>
            <w:vAlign w:val="bottom"/>
            <w:tcBorders>
              <w:bottom w:val="single" w:sz="8" w:color="auto"/>
            </w:tcBorders>
            <w:gridSpan w:val="2"/>
          </w:tcPr>
          <w:p>
            <w:pPr>
              <w:ind w:left="2240"/>
              <w:spacing w:after="0"/>
              <w:rPr>
                <w:sz w:val="20"/>
                <w:szCs w:val="20"/>
                <w:color w:val="auto"/>
              </w:rPr>
            </w:pPr>
            <w:r>
              <w:rPr>
                <w:rFonts w:ascii="Arial" w:cs="Arial" w:eastAsia="Arial" w:hAnsi="Arial"/>
                <w:sz w:val="14"/>
                <w:szCs w:val="14"/>
                <w:b w:val="1"/>
                <w:bCs w:val="1"/>
                <w:color w:val="auto"/>
              </w:rPr>
              <w:t>Proposals</w:t>
            </w:r>
          </w:p>
        </w:tc>
        <w:tc>
          <w:tcPr>
            <w:tcW w:w="1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Recommendation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20" w:type="dxa"/>
            <w:vAlign w:val="bottom"/>
          </w:tcPr>
          <w:p>
            <w:pPr>
              <w:jc w:val="right"/>
              <w:spacing w:after="0" w:line="151" w:lineRule="exact"/>
              <w:rPr>
                <w:sz w:val="20"/>
                <w:szCs w:val="20"/>
                <w:color w:val="auto"/>
              </w:rPr>
            </w:pPr>
            <w:r>
              <w:rPr>
                <w:rFonts w:ascii="Arial" w:cs="Arial" w:eastAsia="Arial" w:hAnsi="Arial"/>
                <w:sz w:val="14"/>
                <w:szCs w:val="14"/>
                <w:color w:val="auto"/>
                <w:w w:val="93"/>
              </w:rPr>
              <w:t>(1)</w:t>
            </w:r>
          </w:p>
        </w:tc>
        <w:tc>
          <w:tcPr>
            <w:tcW w:w="5520" w:type="dxa"/>
            <w:vAlign w:val="bottom"/>
            <w:gridSpan w:val="3"/>
          </w:tcPr>
          <w:p>
            <w:pPr>
              <w:ind w:left="60"/>
              <w:spacing w:after="0" w:line="151" w:lineRule="exact"/>
              <w:rPr>
                <w:sz w:val="20"/>
                <w:szCs w:val="20"/>
                <w:color w:val="auto"/>
              </w:rPr>
            </w:pPr>
            <w:r>
              <w:rPr>
                <w:rFonts w:ascii="Arial" w:cs="Arial" w:eastAsia="Arial" w:hAnsi="Arial"/>
                <w:sz w:val="14"/>
                <w:szCs w:val="14"/>
                <w:color w:val="auto"/>
              </w:rPr>
              <w:t>To approve an amendment to Article 5 of the Company’s Amended and</w:t>
            </w:r>
          </w:p>
        </w:tc>
        <w:tc>
          <w:tcPr>
            <w:tcW w:w="1140" w:type="dxa"/>
            <w:vAlign w:val="bottom"/>
          </w:tcPr>
          <w:p>
            <w:pPr>
              <w:jc w:val="center"/>
              <w:spacing w:after="0" w:line="151" w:lineRule="exact"/>
              <w:rPr>
                <w:sz w:val="20"/>
                <w:szCs w:val="20"/>
                <w:color w:val="auto"/>
              </w:rPr>
            </w:pPr>
            <w:r>
              <w:rPr>
                <w:rFonts w:ascii="MS PGothic" w:cs="MS PGothic" w:eastAsia="MS PGothic" w:hAnsi="MS PGothic"/>
                <w:sz w:val="14"/>
                <w:szCs w:val="14"/>
                <w:color w:val="auto"/>
                <w:w w:val="92"/>
              </w:rPr>
              <w:t>✓</w:t>
            </w:r>
            <w:r>
              <w:rPr>
                <w:rFonts w:ascii="Arial" w:cs="Arial" w:eastAsia="Arial" w:hAnsi="Arial"/>
                <w:sz w:val="14"/>
                <w:szCs w:val="14"/>
                <w:color w:val="auto"/>
                <w:w w:val="92"/>
              </w:rPr>
              <w:t xml:space="preserve"> FOR</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Restated Articles of Incorporation (the “Articles”) to consolidate eighty-eight</w:t>
            </w: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million nine hundred fifty-one thousand nine hundred twenty-five (88,951,925)</w:t>
            </w: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shares of the Company’s common stock without designation of nominal value</w:t>
            </w: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into eleven million one hundred eighteen thousand nine hundred ninety</w:t>
            </w: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(11,118,990) shares of the Company’s common stock without designation of</w:t>
            </w: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nominal value, on the basis of a ratio of one (1) post-consolidation share of the</w:t>
            </w: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Company’s common stock for every eight (8) outstanding pre-consolidation</w:t>
            </w: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shares of the Company’s common stock (the “Share Consolidation”), and to</w:t>
            </w: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authorize the Board of Directors of the Company to proceed with all formalities</w:t>
            </w: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20" w:type="dxa"/>
            <w:vAlign w:val="bottom"/>
          </w:tcPr>
          <w:p>
            <w:pPr>
              <w:spacing w:after="0"/>
              <w:rPr>
                <w:sz w:val="14"/>
                <w:szCs w:val="14"/>
                <w:color w:val="auto"/>
              </w:rPr>
            </w:pPr>
          </w:p>
        </w:tc>
        <w:tc>
          <w:tcPr>
            <w:tcW w:w="5520" w:type="dxa"/>
            <w:vAlign w:val="bottom"/>
            <w:gridSpan w:val="3"/>
          </w:tcPr>
          <w:p>
            <w:pPr>
              <w:ind w:left="60"/>
              <w:spacing w:after="0"/>
              <w:rPr>
                <w:sz w:val="20"/>
                <w:szCs w:val="20"/>
                <w:color w:val="auto"/>
              </w:rPr>
            </w:pPr>
            <w:r>
              <w:rPr>
                <w:rFonts w:ascii="Arial" w:cs="Arial" w:eastAsia="Arial" w:hAnsi="Arial"/>
                <w:sz w:val="14"/>
                <w:szCs w:val="14"/>
                <w:color w:val="auto"/>
              </w:rPr>
              <w:t>to effect the Share Consolidation (the “Share Consolidation Proposal”)</w:t>
            </w:r>
          </w:p>
        </w:tc>
        <w:tc>
          <w:tcPr>
            <w:tcW w:w="1180" w:type="dxa"/>
            <w:vAlign w:val="bottom"/>
            <w:gridSpan w:val="2"/>
            <w:vMerge w:val="restart"/>
          </w:tcPr>
          <w:p>
            <w:pPr>
              <w:jc w:val="center"/>
              <w:ind w:right="20"/>
              <w:spacing w:after="0" w:line="161" w:lineRule="exact"/>
              <w:rPr>
                <w:sz w:val="20"/>
                <w:szCs w:val="20"/>
                <w:color w:val="auto"/>
              </w:rPr>
            </w:pPr>
            <w:r>
              <w:rPr>
                <w:rFonts w:ascii="MS PGothic" w:cs="MS PGothic" w:eastAsia="MS PGothic" w:hAnsi="MS PGothic"/>
                <w:sz w:val="14"/>
                <w:szCs w:val="14"/>
                <w:color w:val="auto"/>
                <w:w w:val="92"/>
              </w:rPr>
              <w:t>✓</w:t>
            </w:r>
            <w:r>
              <w:rPr>
                <w:rFonts w:ascii="Arial" w:cs="Arial" w:eastAsia="Arial" w:hAnsi="Arial"/>
                <w:sz w:val="14"/>
                <w:szCs w:val="14"/>
                <w:color w:val="auto"/>
                <w:w w:val="92"/>
              </w:rPr>
              <w:t xml:space="preserve"> FOR</w:t>
            </w:r>
          </w:p>
        </w:tc>
        <w:tc>
          <w:tcPr>
            <w:tcW w:w="0" w:type="dxa"/>
            <w:vAlign w:val="bottom"/>
          </w:tcPr>
          <w:p>
            <w:pPr>
              <w:spacing w:after="0"/>
              <w:rPr>
                <w:sz w:val="1"/>
                <w:szCs w:val="1"/>
                <w:color w:val="auto"/>
              </w:rPr>
            </w:pPr>
          </w:p>
        </w:tc>
      </w:tr>
      <w:tr>
        <w:trPr>
          <w:trHeight w:val="158"/>
        </w:trPr>
        <w:tc>
          <w:tcPr>
            <w:tcW w:w="220" w:type="dxa"/>
            <w:vAlign w:val="bottom"/>
          </w:tcPr>
          <w:p>
            <w:pPr>
              <w:jc w:val="right"/>
              <w:spacing w:after="0" w:line="159" w:lineRule="exact"/>
              <w:rPr>
                <w:sz w:val="20"/>
                <w:szCs w:val="20"/>
                <w:color w:val="auto"/>
              </w:rPr>
            </w:pPr>
            <w:r>
              <w:rPr>
                <w:rFonts w:ascii="Arial" w:cs="Arial" w:eastAsia="Arial" w:hAnsi="Arial"/>
                <w:sz w:val="14"/>
                <w:szCs w:val="14"/>
                <w:color w:val="auto"/>
                <w:w w:val="93"/>
              </w:rPr>
              <w:t>(2)</w:t>
            </w:r>
          </w:p>
        </w:tc>
        <w:tc>
          <w:tcPr>
            <w:tcW w:w="55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To approve an amendment to Article 5 of the Articles to decrease the share</w:t>
            </w: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capital of the Company by an amount of seven hundred seventy-eight</w:t>
            </w: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thousand three hundred twenty-nine dollars and thirty-five cents (USD</w:t>
            </w: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778,329.35) without cancellation of the outstanding Company’s common stock</w:t>
            </w: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post-consolidation, by decreasing the par value of the existing shares of the</w:t>
            </w: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Company’s common stock, in order to bring the share capital of the Company</w:t>
            </w: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from its current amount of eight hundred eighty-nine thousand five hundred</w:t>
            </w: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nineteen dollars and twenty-five cents (USD 889,519.25) to an amount of one</w:t>
            </w: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hundred eleven thousand one hundred eighty-nine dollars and ninety cents</w:t>
            </w: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(USD 111,189.90) represented by eleven million one hundred eighteen</w:t>
            </w: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thousand nine hundred ninety (11,118,990) shares of the Company’s common</w:t>
            </w: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stock without designation of nominal value, and by allocating such amount</w:t>
            </w: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deriving from the share capital decrease to the share premium account of the</w:t>
            </w: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20" w:type="dxa"/>
            <w:vAlign w:val="bottom"/>
          </w:tcPr>
          <w:p>
            <w:pPr>
              <w:spacing w:after="0"/>
              <w:rPr>
                <w:sz w:val="14"/>
                <w:szCs w:val="14"/>
                <w:color w:val="auto"/>
              </w:rPr>
            </w:pPr>
          </w:p>
        </w:tc>
        <w:tc>
          <w:tcPr>
            <w:tcW w:w="5520" w:type="dxa"/>
            <w:vAlign w:val="bottom"/>
            <w:gridSpan w:val="3"/>
          </w:tcPr>
          <w:p>
            <w:pPr>
              <w:ind w:left="60"/>
              <w:spacing w:after="0"/>
              <w:rPr>
                <w:sz w:val="20"/>
                <w:szCs w:val="20"/>
                <w:color w:val="auto"/>
              </w:rPr>
            </w:pPr>
            <w:r>
              <w:rPr>
                <w:rFonts w:ascii="Arial" w:cs="Arial" w:eastAsia="Arial" w:hAnsi="Arial"/>
                <w:sz w:val="14"/>
                <w:szCs w:val="14"/>
                <w:color w:val="auto"/>
              </w:rPr>
              <w:t>Company (the “Share Capital Decrease Proposal”)</w:t>
            </w:r>
          </w:p>
        </w:tc>
        <w:tc>
          <w:tcPr>
            <w:tcW w:w="1180" w:type="dxa"/>
            <w:vAlign w:val="bottom"/>
            <w:gridSpan w:val="2"/>
            <w:vMerge w:val="restart"/>
          </w:tcPr>
          <w:p>
            <w:pPr>
              <w:jc w:val="center"/>
              <w:ind w:right="20"/>
              <w:spacing w:after="0" w:line="161" w:lineRule="exact"/>
              <w:rPr>
                <w:sz w:val="20"/>
                <w:szCs w:val="20"/>
                <w:color w:val="auto"/>
              </w:rPr>
            </w:pPr>
            <w:r>
              <w:rPr>
                <w:rFonts w:ascii="MS PGothic" w:cs="MS PGothic" w:eastAsia="MS PGothic" w:hAnsi="MS PGothic"/>
                <w:sz w:val="14"/>
                <w:szCs w:val="14"/>
                <w:color w:val="auto"/>
                <w:w w:val="92"/>
              </w:rPr>
              <w:t>✓</w:t>
            </w:r>
            <w:r>
              <w:rPr>
                <w:rFonts w:ascii="Arial" w:cs="Arial" w:eastAsia="Arial" w:hAnsi="Arial"/>
                <w:sz w:val="14"/>
                <w:szCs w:val="14"/>
                <w:color w:val="auto"/>
                <w:w w:val="92"/>
              </w:rPr>
              <w:t xml:space="preserve"> FOR</w:t>
            </w:r>
          </w:p>
        </w:tc>
        <w:tc>
          <w:tcPr>
            <w:tcW w:w="0" w:type="dxa"/>
            <w:vAlign w:val="bottom"/>
          </w:tcPr>
          <w:p>
            <w:pPr>
              <w:spacing w:after="0"/>
              <w:rPr>
                <w:sz w:val="1"/>
                <w:szCs w:val="1"/>
                <w:color w:val="auto"/>
              </w:rPr>
            </w:pPr>
          </w:p>
        </w:tc>
      </w:tr>
      <w:tr>
        <w:trPr>
          <w:trHeight w:val="158"/>
        </w:trPr>
        <w:tc>
          <w:tcPr>
            <w:tcW w:w="220" w:type="dxa"/>
            <w:vAlign w:val="bottom"/>
          </w:tcPr>
          <w:p>
            <w:pPr>
              <w:jc w:val="right"/>
              <w:spacing w:after="0" w:line="159" w:lineRule="exact"/>
              <w:rPr>
                <w:sz w:val="20"/>
                <w:szCs w:val="20"/>
                <w:color w:val="auto"/>
              </w:rPr>
            </w:pPr>
            <w:r>
              <w:rPr>
                <w:rFonts w:ascii="Arial" w:cs="Arial" w:eastAsia="Arial" w:hAnsi="Arial"/>
                <w:sz w:val="14"/>
                <w:szCs w:val="14"/>
                <w:color w:val="auto"/>
                <w:w w:val="93"/>
              </w:rPr>
              <w:t>(3)</w:t>
            </w:r>
          </w:p>
        </w:tc>
        <w:tc>
          <w:tcPr>
            <w:tcW w:w="55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To approve amendments to Articles 20 and 23 of the Articles to establish a</w:t>
            </w: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minimum quorum requirement of at least thirty-three and one-third percent</w:t>
            </w: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20" w:type="dxa"/>
            <w:vAlign w:val="bottom"/>
          </w:tcPr>
          <w:p>
            <w:pPr>
              <w:spacing w:after="0"/>
              <w:rPr>
                <w:sz w:val="15"/>
                <w:szCs w:val="15"/>
                <w:color w:val="auto"/>
              </w:rPr>
            </w:pPr>
          </w:p>
        </w:tc>
        <w:tc>
          <w:tcPr>
            <w:tcW w:w="5520" w:type="dxa"/>
            <w:vAlign w:val="bottom"/>
            <w:gridSpan w:val="3"/>
          </w:tcPr>
          <w:p>
            <w:pPr>
              <w:ind w:left="60"/>
              <w:spacing w:after="0"/>
              <w:rPr>
                <w:sz w:val="20"/>
                <w:szCs w:val="20"/>
                <w:color w:val="auto"/>
              </w:rPr>
            </w:pPr>
            <w:r>
              <w:rPr>
                <w:rFonts w:ascii="Arial" w:cs="Arial" w:eastAsia="Arial" w:hAnsi="Arial"/>
                <w:sz w:val="14"/>
                <w:szCs w:val="14"/>
                <w:color w:val="auto"/>
              </w:rPr>
              <w:t>(33</w:t>
            </w:r>
            <w:r>
              <w:rPr>
                <w:rFonts w:ascii="Arial" w:cs="Arial" w:eastAsia="Arial" w:hAnsi="Arial"/>
                <w:sz w:val="8"/>
                <w:szCs w:val="8"/>
                <w:color w:val="auto"/>
              </w:rPr>
              <w:t>1</w:t>
            </w:r>
            <w:r>
              <w:rPr>
                <w:rFonts w:ascii="Arial" w:cs="Arial" w:eastAsia="Arial" w:hAnsi="Arial"/>
                <w:sz w:val="14"/>
                <w:szCs w:val="14"/>
                <w:color w:val="auto"/>
              </w:rPr>
              <w:t>∕</w:t>
            </w:r>
            <w:r>
              <w:rPr>
                <w:rFonts w:ascii="Arial" w:cs="Arial" w:eastAsia="Arial" w:hAnsi="Arial"/>
                <w:sz w:val="9"/>
                <w:szCs w:val="9"/>
                <w:color w:val="auto"/>
              </w:rPr>
              <w:t>3</w:t>
            </w:r>
            <w:r>
              <w:rPr>
                <w:rFonts w:ascii="Arial" w:cs="Arial" w:eastAsia="Arial" w:hAnsi="Arial"/>
                <w:sz w:val="14"/>
                <w:szCs w:val="14"/>
                <w:color w:val="auto"/>
              </w:rPr>
              <w:t>%) of the issued and outstanding shares entitled to vote (the “Minimum</w:t>
            </w: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20" w:type="dxa"/>
            <w:vAlign w:val="bottom"/>
          </w:tcPr>
          <w:p>
            <w:pPr>
              <w:spacing w:after="0"/>
              <w:rPr>
                <w:sz w:val="14"/>
                <w:szCs w:val="14"/>
                <w:color w:val="auto"/>
              </w:rPr>
            </w:pPr>
          </w:p>
        </w:tc>
        <w:tc>
          <w:tcPr>
            <w:tcW w:w="5520" w:type="dxa"/>
            <w:vAlign w:val="bottom"/>
            <w:gridSpan w:val="3"/>
          </w:tcPr>
          <w:p>
            <w:pPr>
              <w:ind w:left="60"/>
              <w:spacing w:after="0"/>
              <w:rPr>
                <w:sz w:val="20"/>
                <w:szCs w:val="20"/>
                <w:color w:val="auto"/>
              </w:rPr>
            </w:pPr>
            <w:r>
              <w:rPr>
                <w:rFonts w:ascii="Arial" w:cs="Arial" w:eastAsia="Arial" w:hAnsi="Arial"/>
                <w:sz w:val="14"/>
                <w:szCs w:val="14"/>
                <w:color w:val="auto"/>
              </w:rPr>
              <w:t>Quorum”) for all general meetings of shareholders and any extraordinary</w:t>
            </w: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meeting at which no quorum is required, in each case, per Nasdaq Stock</w:t>
            </w: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20" w:type="dxa"/>
            <w:vAlign w:val="bottom"/>
          </w:tcPr>
          <w:p>
            <w:pPr>
              <w:spacing w:after="0"/>
              <w:rPr>
                <w:sz w:val="14"/>
                <w:szCs w:val="14"/>
                <w:color w:val="auto"/>
              </w:rPr>
            </w:pPr>
          </w:p>
        </w:tc>
        <w:tc>
          <w:tcPr>
            <w:tcW w:w="5520" w:type="dxa"/>
            <w:vAlign w:val="bottom"/>
            <w:gridSpan w:val="3"/>
          </w:tcPr>
          <w:p>
            <w:pPr>
              <w:ind w:left="60"/>
              <w:spacing w:after="0"/>
              <w:rPr>
                <w:sz w:val="20"/>
                <w:szCs w:val="20"/>
                <w:color w:val="auto"/>
              </w:rPr>
            </w:pPr>
            <w:r>
              <w:rPr>
                <w:rFonts w:ascii="Arial" w:cs="Arial" w:eastAsia="Arial" w:hAnsi="Arial"/>
                <w:sz w:val="14"/>
                <w:szCs w:val="14"/>
                <w:color w:val="auto"/>
              </w:rPr>
              <w:t>Market Rule 5620(c) (the “Quorum Proposal”)</w:t>
            </w:r>
          </w:p>
        </w:tc>
        <w:tc>
          <w:tcPr>
            <w:tcW w:w="1180" w:type="dxa"/>
            <w:vAlign w:val="bottom"/>
            <w:gridSpan w:val="2"/>
            <w:vMerge w:val="restart"/>
          </w:tcPr>
          <w:p>
            <w:pPr>
              <w:jc w:val="center"/>
              <w:ind w:right="20"/>
              <w:spacing w:after="0" w:line="161" w:lineRule="exact"/>
              <w:rPr>
                <w:sz w:val="20"/>
                <w:szCs w:val="20"/>
                <w:color w:val="auto"/>
              </w:rPr>
            </w:pPr>
            <w:r>
              <w:rPr>
                <w:rFonts w:ascii="MS PGothic" w:cs="MS PGothic" w:eastAsia="MS PGothic" w:hAnsi="MS PGothic"/>
                <w:sz w:val="14"/>
                <w:szCs w:val="14"/>
                <w:color w:val="auto"/>
                <w:w w:val="92"/>
              </w:rPr>
              <w:t>✓</w:t>
            </w:r>
            <w:r>
              <w:rPr>
                <w:rFonts w:ascii="Arial" w:cs="Arial" w:eastAsia="Arial" w:hAnsi="Arial"/>
                <w:sz w:val="14"/>
                <w:szCs w:val="14"/>
                <w:color w:val="auto"/>
                <w:w w:val="92"/>
              </w:rPr>
              <w:t xml:space="preserve"> FOR</w:t>
            </w:r>
          </w:p>
        </w:tc>
        <w:tc>
          <w:tcPr>
            <w:tcW w:w="0" w:type="dxa"/>
            <w:vAlign w:val="bottom"/>
          </w:tcPr>
          <w:p>
            <w:pPr>
              <w:spacing w:after="0"/>
              <w:rPr>
                <w:sz w:val="1"/>
                <w:szCs w:val="1"/>
                <w:color w:val="auto"/>
              </w:rPr>
            </w:pPr>
          </w:p>
        </w:tc>
      </w:tr>
      <w:tr>
        <w:trPr>
          <w:trHeight w:val="158"/>
        </w:trPr>
        <w:tc>
          <w:tcPr>
            <w:tcW w:w="220" w:type="dxa"/>
            <w:vAlign w:val="bottom"/>
          </w:tcPr>
          <w:p>
            <w:pPr>
              <w:jc w:val="right"/>
              <w:spacing w:after="0" w:line="159" w:lineRule="exact"/>
              <w:rPr>
                <w:sz w:val="20"/>
                <w:szCs w:val="20"/>
                <w:color w:val="auto"/>
              </w:rPr>
            </w:pPr>
            <w:r>
              <w:rPr>
                <w:rFonts w:ascii="Arial" w:cs="Arial" w:eastAsia="Arial" w:hAnsi="Arial"/>
                <w:sz w:val="14"/>
                <w:szCs w:val="14"/>
                <w:color w:val="auto"/>
                <w:w w:val="93"/>
              </w:rPr>
              <w:t>(4)</w:t>
            </w:r>
          </w:p>
        </w:tc>
        <w:tc>
          <w:tcPr>
            <w:tcW w:w="55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To approve minor administrative updates to the Articles to streamline internal</w:t>
            </w: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5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governance processes (the “Amendments to the Articles of Incorporation</w:t>
            </w: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20" w:type="dxa"/>
            <w:vAlign w:val="bottom"/>
          </w:tcPr>
          <w:p>
            <w:pPr>
              <w:spacing w:after="0"/>
              <w:rPr>
                <w:sz w:val="15"/>
                <w:szCs w:val="15"/>
                <w:color w:val="auto"/>
              </w:rPr>
            </w:pPr>
          </w:p>
        </w:tc>
        <w:tc>
          <w:tcPr>
            <w:tcW w:w="5520" w:type="dxa"/>
            <w:vAlign w:val="bottom"/>
            <w:gridSpan w:val="3"/>
          </w:tcPr>
          <w:p>
            <w:pPr>
              <w:ind w:left="60"/>
              <w:spacing w:after="0"/>
              <w:rPr>
                <w:sz w:val="20"/>
                <w:szCs w:val="20"/>
                <w:color w:val="auto"/>
              </w:rPr>
            </w:pPr>
            <w:r>
              <w:rPr>
                <w:rFonts w:ascii="Arial" w:cs="Arial" w:eastAsia="Arial" w:hAnsi="Arial"/>
                <w:sz w:val="14"/>
                <w:szCs w:val="14"/>
                <w:color w:val="auto"/>
              </w:rPr>
              <w:t>Proposal”)</w:t>
            </w: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060"/>
        <w:spacing w:after="0"/>
        <w:rPr>
          <w:sz w:val="20"/>
          <w:szCs w:val="20"/>
          <w:color w:val="auto"/>
        </w:rPr>
      </w:pPr>
      <w:r>
        <w:rPr>
          <w:rFonts w:ascii="Arial" w:cs="Arial" w:eastAsia="Arial" w:hAnsi="Arial"/>
          <w:sz w:val="14"/>
          <w:szCs w:val="14"/>
          <w:color w:val="auto"/>
        </w:rPr>
        <w:t> </w:t>
      </w:r>
    </w:p>
    <w:p>
      <w:pPr>
        <w:spacing w:after="0" w:line="2" w:lineRule="exact"/>
        <w:rPr>
          <w:sz w:val="20"/>
          <w:szCs w:val="20"/>
          <w:color w:val="auto"/>
        </w:rPr>
      </w:pPr>
    </w:p>
    <w:p>
      <w:pPr>
        <w:ind w:left="1340" w:right="2459"/>
        <w:spacing w:after="0" w:line="239" w:lineRule="auto"/>
        <w:rPr>
          <w:sz w:val="20"/>
          <w:szCs w:val="20"/>
          <w:color w:val="auto"/>
        </w:rPr>
      </w:pPr>
      <w:r>
        <w:rPr>
          <w:rFonts w:ascii="Arial" w:cs="Arial" w:eastAsia="Arial" w:hAnsi="Arial"/>
          <w:sz w:val="14"/>
          <w:szCs w:val="14"/>
          <w:color w:val="auto"/>
        </w:rPr>
        <w:t>To transact such other business as may properly come before the meeting and any adjournment or postponement thereof and at any second extraordinary meeting in lieu of an adjourned meeting.</w:t>
      </w:r>
    </w:p>
    <w:p>
      <w:pPr>
        <w:spacing w:after="0" w:line="143"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Highlights</w:t>
      </w:r>
    </w:p>
    <w:p>
      <w:pPr>
        <w:spacing w:after="0" w:line="103" w:lineRule="exact"/>
        <w:rPr>
          <w:sz w:val="20"/>
          <w:szCs w:val="20"/>
          <w:color w:val="auto"/>
        </w:rPr>
      </w:pPr>
    </w:p>
    <w:p>
      <w:pPr>
        <w:ind w:left="1060" w:right="1279"/>
        <w:spacing w:after="0" w:line="249" w:lineRule="auto"/>
        <w:rPr>
          <w:sz w:val="20"/>
          <w:szCs w:val="20"/>
          <w:color w:val="auto"/>
        </w:rPr>
      </w:pPr>
      <w:r>
        <w:rPr>
          <w:rFonts w:ascii="Arial" w:cs="Arial" w:eastAsia="Arial" w:hAnsi="Arial"/>
          <w:sz w:val="15"/>
          <w:szCs w:val="15"/>
          <w:color w:val="auto"/>
        </w:rPr>
        <w:t>Altisource is an integrated service provider and marketplace for the real estate and mortgage industries. Combining operational excellence with a suite of innovative services and technologies, Altisource helps solve the demands of the ever-changing markets we serve. Traded on the Nasdaq Global Select Market under the symbol “ASPS,” Altisource is organized under the laws of the Grand Duchy of Luxembourg.</w:t>
      </w:r>
    </w:p>
    <w:p>
      <w:pPr>
        <w:spacing w:after="0" w:line="89" w:lineRule="exact"/>
        <w:rPr>
          <w:sz w:val="20"/>
          <w:szCs w:val="20"/>
          <w:color w:val="auto"/>
        </w:rPr>
      </w:pPr>
    </w:p>
    <w:p>
      <w:pPr>
        <w:ind w:left="1060" w:right="1139"/>
        <w:spacing w:after="0" w:line="272" w:lineRule="auto"/>
        <w:rPr>
          <w:sz w:val="20"/>
          <w:szCs w:val="20"/>
          <w:color w:val="auto"/>
        </w:rPr>
      </w:pPr>
      <w:r>
        <w:rPr>
          <w:rFonts w:ascii="Arial" w:cs="Arial" w:eastAsia="Arial" w:hAnsi="Arial"/>
          <w:sz w:val="15"/>
          <w:szCs w:val="15"/>
          <w:color w:val="auto"/>
        </w:rPr>
        <w:t>Please refer to our Annual Report on Form 10-K for the year ended December 31, 2024 (our “2024 Form 10-K”) for a more complete description of our 2024 performance.</w:t>
      </w:r>
    </w:p>
    <w:p>
      <w:pPr>
        <w:spacing w:after="0" w:line="73"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On February 19, 2025, the Company executed and closed an exchange transaction with</w:t>
      </w:r>
    </w:p>
    <w:p>
      <w:pPr>
        <w:spacing w:after="0" w:line="20"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100% of lenders under the Company’s senior secured term loans whereby the lenders</w:t>
      </w:r>
    </w:p>
    <w:p>
      <w:pPr>
        <w:ind w:left="1060"/>
        <w:spacing w:after="0" w:line="236" w:lineRule="auto"/>
        <w:rPr>
          <w:sz w:val="20"/>
          <w:szCs w:val="20"/>
          <w:color w:val="auto"/>
        </w:rPr>
      </w:pPr>
      <w:r>
        <w:rPr>
          <w:rFonts w:ascii="Arial" w:cs="Arial" w:eastAsia="Arial" w:hAnsi="Arial"/>
          <w:sz w:val="15"/>
          <w:szCs w:val="15"/>
          <w:color w:val="auto"/>
        </w:rPr>
        <w:t>exchanged the Company’s senior secured term loans with an outstanding balance of</w:t>
      </w:r>
    </w:p>
    <w:p>
      <w:pPr>
        <w:ind w:left="1060"/>
        <w:spacing w:after="0"/>
        <w:rPr>
          <w:sz w:val="20"/>
          <w:szCs w:val="20"/>
          <w:color w:val="auto"/>
        </w:rPr>
      </w:pPr>
      <w:r>
        <w:rPr>
          <w:rFonts w:ascii="Arial" w:cs="Arial" w:eastAsia="Arial" w:hAnsi="Arial"/>
          <w:sz w:val="15"/>
          <w:szCs w:val="15"/>
          <w:color w:val="auto"/>
        </w:rPr>
        <w:t>$232.8 million for a $160.0 million new first lien loan and the issuance of approximately</w:t>
      </w:r>
    </w:p>
    <w:p>
      <w:pPr>
        <w:spacing w:after="0" w:line="6"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58.2 million common shares of Altisource (the “Transaction”); the new first lien loan is</w:t>
      </w:r>
    </w:p>
    <w:p>
      <w:pPr>
        <w:ind w:left="1060"/>
        <w:spacing w:after="0" w:line="236" w:lineRule="auto"/>
        <w:rPr>
          <w:sz w:val="20"/>
          <w:szCs w:val="20"/>
          <w:color w:val="auto"/>
        </w:rPr>
      </w:pPr>
      <w:r>
        <w:rPr>
          <w:rFonts w:ascii="Arial" w:cs="Arial" w:eastAsia="Arial" w:hAnsi="Arial"/>
          <w:sz w:val="15"/>
          <w:szCs w:val="15"/>
          <w:color w:val="auto"/>
        </w:rPr>
        <w:t>comprised of a $110 million term loan and a $50 million non-interest bearing exit fee. All</w:t>
      </w:r>
    </w:p>
    <w:p>
      <w:pPr>
        <w:ind w:left="1060"/>
        <w:spacing w:after="0"/>
        <w:rPr>
          <w:sz w:val="20"/>
          <w:szCs w:val="20"/>
          <w:color w:val="auto"/>
        </w:rPr>
      </w:pPr>
      <w:r>
        <w:rPr>
          <w:rFonts w:ascii="Arial" w:cs="Arial" w:eastAsia="Arial" w:hAnsi="Arial"/>
          <w:sz w:val="15"/>
          <w:szCs w:val="15"/>
          <w:color w:val="auto"/>
        </w:rPr>
        <w:t>mandatory and voluntary prepayments under the new first lien loan are allocated between</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the term loan and the exit fee on a pro rata basis.</w:t>
      </w:r>
    </w:p>
    <w:p>
      <w:pPr>
        <w:spacing w:after="0" w:line="108"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In connection with the Transaction, Altisource expects to issue transferable warrants to</w:t>
      </w:r>
    </w:p>
    <w:p>
      <w:pPr>
        <w:spacing w:after="0" w:line="8"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holders as of February 14, 2025 of the Company’s (i) common stock, (ii) restricted</w:t>
      </w:r>
    </w:p>
    <w:p>
      <w:pPr>
        <w:ind w:left="1060"/>
        <w:spacing w:after="0"/>
        <w:rPr>
          <w:sz w:val="20"/>
          <w:szCs w:val="20"/>
          <w:color w:val="auto"/>
        </w:rPr>
      </w:pPr>
      <w:r>
        <w:rPr>
          <w:rFonts w:ascii="Arial" w:cs="Arial" w:eastAsia="Arial" w:hAnsi="Arial"/>
          <w:sz w:val="15"/>
          <w:szCs w:val="15"/>
          <w:color w:val="auto"/>
        </w:rPr>
        <w:t>share units and (iii) outstanding penny warrants, to purchase approximately 114.5 million</w:t>
      </w:r>
    </w:p>
    <w:p>
      <w:pPr>
        <w:spacing w:after="0" w:line="6"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shares of Altisource common stock for $1.20 per share; once issued, these warrants will</w:t>
      </w:r>
    </w:p>
    <w:p>
      <w:pPr>
        <w:ind w:left="1060"/>
        <w:spacing w:after="0" w:line="236" w:lineRule="auto"/>
        <w:rPr>
          <w:sz w:val="20"/>
          <w:szCs w:val="20"/>
          <w:color w:val="auto"/>
        </w:rPr>
      </w:pPr>
      <w:r>
        <w:rPr>
          <w:rFonts w:ascii="Arial" w:cs="Arial" w:eastAsia="Arial" w:hAnsi="Arial"/>
          <w:sz w:val="15"/>
          <w:szCs w:val="15"/>
          <w:color w:val="auto"/>
        </w:rPr>
        <w:t>provide Stakeholders with the ability to purchase approximately 3.25 shares of Altisource</w:t>
      </w:r>
    </w:p>
    <w:p>
      <w:pPr>
        <w:ind w:left="1060"/>
        <w:spacing w:after="0"/>
        <w:rPr>
          <w:sz w:val="20"/>
          <w:szCs w:val="20"/>
          <w:color w:val="auto"/>
        </w:rPr>
      </w:pPr>
      <w:r>
        <w:rPr>
          <w:rFonts w:ascii="Arial" w:cs="Arial" w:eastAsia="Arial" w:hAnsi="Arial"/>
          <w:sz w:val="15"/>
          <w:szCs w:val="15"/>
          <w:color w:val="auto"/>
        </w:rPr>
        <w:t>common stock for each share of or right to common stock held.</w:t>
      </w:r>
    </w:p>
    <w:p>
      <w:pPr>
        <w:spacing w:after="0" w:line="108" w:lineRule="exact"/>
        <w:rPr>
          <w:sz w:val="20"/>
          <w:szCs w:val="20"/>
          <w:color w:val="auto"/>
        </w:rPr>
      </w:pPr>
    </w:p>
    <w:p>
      <w:pPr>
        <w:jc w:val="both"/>
        <w:ind w:left="1060" w:right="1239"/>
        <w:spacing w:after="0" w:line="269" w:lineRule="auto"/>
        <w:rPr>
          <w:sz w:val="20"/>
          <w:szCs w:val="20"/>
          <w:color w:val="auto"/>
        </w:rPr>
      </w:pPr>
      <w:r>
        <w:rPr>
          <w:rFonts w:ascii="Arial" w:cs="Arial" w:eastAsia="Arial" w:hAnsi="Arial"/>
          <w:sz w:val="15"/>
          <w:szCs w:val="15"/>
          <w:color w:val="auto"/>
        </w:rPr>
        <w:t>On February 19, 2025, Altisource also executed and closed on a $12.5 million super senior credit facility to fund transaction costs related to the Transaction and for general corporate purposes.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0" w:name="page11"/>
    <w:bookmarkEnd w:id="10"/>
    <w:p>
      <w:pPr>
        <w:ind w:left="2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jc w:val="right"/>
        <w:ind w:right="103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PROXY SUMMARY</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4124325</wp:posOffset>
            </wp:positionH>
            <wp:positionV relativeFrom="paragraph">
              <wp:posOffset>-181610</wp:posOffset>
            </wp:positionV>
            <wp:extent cx="912495" cy="121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12495" cy="121920"/>
                    </a:xfrm>
                    <a:prstGeom prst="rect">
                      <a:avLst/>
                    </a:prstGeom>
                    <a:noFill/>
                  </pic:spPr>
                </pic:pic>
              </a:graphicData>
            </a:graphic>
          </wp:anchor>
        </w:drawing>
      </w:r>
    </w:p>
    <w:p>
      <w:pPr>
        <w:spacing w:after="0" w:line="97"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Corporate Culture and Community</w:t>
      </w:r>
    </w:p>
    <w:p>
      <w:pPr>
        <w:spacing w:after="0" w:line="12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Our vision, mission, and core values guide our conduct and that of our employees:</w:t>
      </w:r>
    </w:p>
    <w:p>
      <w:pPr>
        <w:spacing w:after="0" w:line="99" w:lineRule="exact"/>
        <w:rPr>
          <w:sz w:val="20"/>
          <w:szCs w:val="20"/>
          <w:color w:val="auto"/>
        </w:rPr>
      </w:pPr>
    </w:p>
    <w:p>
      <w:pPr>
        <w:ind w:left="1520" w:hanging="153"/>
        <w:spacing w:after="0"/>
        <w:tabs>
          <w:tab w:leader="none" w:pos="1520" w:val="left"/>
        </w:tabs>
        <w:numPr>
          <w:ilvl w:val="0"/>
          <w:numId w:val="13"/>
        </w:numPr>
        <w:rPr>
          <w:rFonts w:ascii="Arial" w:cs="Arial" w:eastAsia="Arial" w:hAnsi="Arial"/>
          <w:sz w:val="15"/>
          <w:szCs w:val="15"/>
          <w:color w:val="auto"/>
        </w:rPr>
      </w:pPr>
      <w:r>
        <w:rPr>
          <w:rFonts w:ascii="Arial" w:cs="Arial" w:eastAsia="Arial" w:hAnsi="Arial"/>
          <w:sz w:val="15"/>
          <w:szCs w:val="15"/>
          <w:u w:val="single" w:color="auto"/>
          <w:color w:val="auto"/>
        </w:rPr>
        <w:t>Vision</w:t>
      </w:r>
      <w:r>
        <w:rPr>
          <w:rFonts w:ascii="Arial" w:cs="Arial" w:eastAsia="Arial" w:hAnsi="Arial"/>
          <w:sz w:val="15"/>
          <w:szCs w:val="15"/>
          <w:color w:val="auto"/>
        </w:rPr>
        <w:t>:  Drive innovation that powers the mortgage and real estate lifecycle.</w:t>
      </w:r>
    </w:p>
    <w:p>
      <w:pPr>
        <w:spacing w:after="0" w:line="99" w:lineRule="exact"/>
        <w:rPr>
          <w:rFonts w:ascii="Arial" w:cs="Arial" w:eastAsia="Arial" w:hAnsi="Arial"/>
          <w:sz w:val="15"/>
          <w:szCs w:val="15"/>
          <w:color w:val="auto"/>
        </w:rPr>
      </w:pPr>
    </w:p>
    <w:p>
      <w:pPr>
        <w:ind w:left="1520" w:right="1339" w:hanging="153"/>
        <w:spacing w:after="0" w:line="288" w:lineRule="auto"/>
        <w:tabs>
          <w:tab w:leader="none" w:pos="1520" w:val="left"/>
        </w:tabs>
        <w:numPr>
          <w:ilvl w:val="0"/>
          <w:numId w:val="13"/>
        </w:numPr>
        <w:rPr>
          <w:rFonts w:ascii="Arial" w:cs="Arial" w:eastAsia="Arial" w:hAnsi="Arial"/>
          <w:sz w:val="15"/>
          <w:szCs w:val="15"/>
          <w:color w:val="auto"/>
        </w:rPr>
      </w:pPr>
      <w:r>
        <w:rPr>
          <w:rFonts w:ascii="Arial" w:cs="Arial" w:eastAsia="Arial" w:hAnsi="Arial"/>
          <w:sz w:val="15"/>
          <w:szCs w:val="15"/>
          <w:u w:val="single" w:color="auto"/>
          <w:color w:val="auto"/>
        </w:rPr>
        <w:t>Mission</w:t>
      </w:r>
      <w:r>
        <w:rPr>
          <w:rFonts w:ascii="Arial" w:cs="Arial" w:eastAsia="Arial" w:hAnsi="Arial"/>
          <w:sz w:val="15"/>
          <w:szCs w:val="15"/>
          <w:color w:val="auto"/>
        </w:rPr>
        <w:t>: To be the trusted provider of mortgage and real estate solutions that help our customers thrive.</w:t>
      </w:r>
    </w:p>
    <w:p>
      <w:pPr>
        <w:spacing w:after="0" w:line="38" w:lineRule="exact"/>
        <w:rPr>
          <w:rFonts w:ascii="Arial" w:cs="Arial" w:eastAsia="Arial" w:hAnsi="Arial"/>
          <w:sz w:val="15"/>
          <w:szCs w:val="15"/>
          <w:color w:val="auto"/>
        </w:rPr>
      </w:pPr>
    </w:p>
    <w:p>
      <w:pPr>
        <w:ind w:left="1520" w:right="1699" w:hanging="153"/>
        <w:spacing w:after="0" w:line="288" w:lineRule="auto"/>
        <w:tabs>
          <w:tab w:leader="none" w:pos="1520" w:val="left"/>
        </w:tabs>
        <w:numPr>
          <w:ilvl w:val="0"/>
          <w:numId w:val="13"/>
        </w:numPr>
        <w:rPr>
          <w:rFonts w:ascii="Arial" w:cs="Arial" w:eastAsia="Arial" w:hAnsi="Arial"/>
          <w:sz w:val="15"/>
          <w:szCs w:val="15"/>
          <w:color w:val="auto"/>
        </w:rPr>
      </w:pPr>
      <w:r>
        <w:rPr>
          <w:rFonts w:ascii="Arial" w:cs="Arial" w:eastAsia="Arial" w:hAnsi="Arial"/>
          <w:sz w:val="15"/>
          <w:szCs w:val="15"/>
          <w:u w:val="single" w:color="auto"/>
          <w:color w:val="auto"/>
        </w:rPr>
        <w:t>Core Values</w:t>
      </w:r>
      <w:r>
        <w:rPr>
          <w:rFonts w:ascii="Arial" w:cs="Arial" w:eastAsia="Arial" w:hAnsi="Arial"/>
          <w:sz w:val="15"/>
          <w:szCs w:val="15"/>
          <w:color w:val="auto"/>
        </w:rPr>
        <w:t>: Act with integrity, energize people, empower innovation, exceed customer expectations, win as a team, and enrich communities.</w:t>
      </w:r>
    </w:p>
    <w:p>
      <w:pPr>
        <w:spacing w:after="0" w:line="72"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Environment</w:t>
      </w:r>
    </w:p>
    <w:p>
      <w:pPr>
        <w:spacing w:after="0" w:line="133" w:lineRule="exact"/>
        <w:rPr>
          <w:sz w:val="20"/>
          <w:szCs w:val="20"/>
          <w:color w:val="auto"/>
        </w:rPr>
      </w:pPr>
    </w:p>
    <w:p>
      <w:pPr>
        <w:ind w:left="1060" w:right="1199"/>
        <w:spacing w:after="0" w:line="257" w:lineRule="auto"/>
        <w:rPr>
          <w:sz w:val="20"/>
          <w:szCs w:val="20"/>
          <w:color w:val="auto"/>
        </w:rPr>
      </w:pPr>
      <w:r>
        <w:rPr>
          <w:rFonts w:ascii="Arial" w:cs="Arial" w:eastAsia="Arial" w:hAnsi="Arial"/>
          <w:sz w:val="15"/>
          <w:szCs w:val="15"/>
          <w:color w:val="auto"/>
        </w:rPr>
        <w:t>We acknowledge climate change and our environmental impact through operations, travel, and IT disposal. Our Environmental Policy (</w:t>
      </w:r>
      <w:r>
        <w:rPr>
          <w:rFonts w:ascii="Arial" w:cs="Arial" w:eastAsia="Arial" w:hAnsi="Arial"/>
          <w:sz w:val="15"/>
          <w:szCs w:val="15"/>
          <w:u w:val="single" w:color="auto"/>
          <w:color w:val="auto"/>
        </w:rPr>
        <w:t>http://www.altisource.com/environmental-policy</w:t>
      </w:r>
      <w:r>
        <w:rPr>
          <w:rFonts w:ascii="Arial" w:cs="Arial" w:eastAsia="Arial" w:hAnsi="Arial"/>
          <w:sz w:val="15"/>
          <w:szCs w:val="15"/>
          <w:color w:val="auto"/>
        </w:rPr>
        <w:t>) and Vendor Code of Conduct drive efforts to reduce our environmental impact. In 2024, remote work cut commuting emissions, and we reduced office space, paper, energy, and water use, achieving a 5% greenhouse gas emissions reduction from 2023. Our 2025 goal, set by the Board of Directors (“Board”) upon the Corporate Responsibility Management Committee’s recommendation, is a further 5% reduction.</w:t>
      </w:r>
    </w:p>
    <w:p>
      <w:pPr>
        <w:spacing w:after="0" w:line="87"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Human Rights</w:t>
      </w:r>
    </w:p>
    <w:p>
      <w:pPr>
        <w:spacing w:after="0" w:line="133"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We uphold human rights for employees and vendors per our Human Rights Statement</w:t>
      </w:r>
    </w:p>
    <w:p>
      <w:pPr>
        <w:spacing w:after="0" w:line="23" w:lineRule="exact"/>
        <w:rPr>
          <w:sz w:val="20"/>
          <w:szCs w:val="20"/>
          <w:color w:val="auto"/>
        </w:rPr>
      </w:pPr>
    </w:p>
    <w:p>
      <w:pPr>
        <w:ind w:left="1060" w:right="1139"/>
        <w:spacing w:after="0" w:line="25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http://www.altisource.com/humanrights</w:t>
      </w:r>
      <w:r>
        <w:rPr>
          <w:rFonts w:ascii="Arial" w:cs="Arial" w:eastAsia="Arial" w:hAnsi="Arial"/>
          <w:sz w:val="15"/>
          <w:szCs w:val="15"/>
          <w:color w:val="auto"/>
        </w:rPr>
        <w:t xml:space="preserve"> ), prohibiting forced and child labor, ensuring safe workplaces, and supporting freedom of association and collective bargaining where applicable. Our Vendor Code of Conduct (</w:t>
      </w:r>
      <w:r>
        <w:rPr>
          <w:rFonts w:ascii="Arial" w:cs="Arial" w:eastAsia="Arial" w:hAnsi="Arial"/>
          <w:sz w:val="15"/>
          <w:szCs w:val="15"/>
          <w:u w:val="single" w:color="auto"/>
          <w:color w:val="auto"/>
        </w:rPr>
        <w:t>http://www.altisource.com/vendorscodeofconduct</w:t>
      </w:r>
      <w:r>
        <w:rPr>
          <w:rFonts w:ascii="Arial" w:cs="Arial" w:eastAsia="Arial" w:hAnsi="Arial"/>
          <w:sz w:val="15"/>
          <w:szCs w:val="15"/>
          <w:color w:val="auto"/>
        </w:rPr>
        <w:t>) mandates vendors to respect human rights and bans involuntary labor, including slavery and human trafficking.</w:t>
      </w:r>
    </w:p>
    <w:p>
      <w:pPr>
        <w:spacing w:after="0" w:line="277"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Workforce</w:t>
      </w:r>
    </w:p>
    <w:p>
      <w:pPr>
        <w:spacing w:after="0" w:line="122" w:lineRule="exact"/>
        <w:rPr>
          <w:sz w:val="20"/>
          <w:szCs w:val="20"/>
          <w:color w:val="auto"/>
        </w:rPr>
      </w:pPr>
    </w:p>
    <w:p>
      <w:pPr>
        <w:ind w:left="1060" w:right="1119"/>
        <w:spacing w:after="0" w:line="262" w:lineRule="auto"/>
        <w:rPr>
          <w:sz w:val="20"/>
          <w:szCs w:val="20"/>
          <w:color w:val="auto"/>
        </w:rPr>
      </w:pPr>
      <w:r>
        <w:rPr>
          <w:rFonts w:ascii="Arial" w:cs="Arial" w:eastAsia="Arial" w:hAnsi="Arial"/>
          <w:sz w:val="15"/>
          <w:szCs w:val="15"/>
          <w:color w:val="auto"/>
        </w:rPr>
        <w:t>As of December 31, 2024, our global workforce of 1,160 employees supports our Servicer and Real Estate, Origination, technology operations and corporate functions, with executive management based mainly in Luxembourg. In 2024, we retained 91% of high performers and provided 38 hours of training per employee. Our policies foster equal opportunity and non-discrimination.</w:t>
      </w:r>
    </w:p>
    <w:p>
      <w:pPr>
        <w:spacing w:after="0" w:line="276"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Shareholder Engagement</w:t>
      </w:r>
    </w:p>
    <w:p>
      <w:pPr>
        <w:spacing w:after="0" w:line="133" w:lineRule="exact"/>
        <w:rPr>
          <w:sz w:val="20"/>
          <w:szCs w:val="20"/>
          <w:color w:val="auto"/>
        </w:rPr>
      </w:pPr>
    </w:p>
    <w:p>
      <w:pPr>
        <w:ind w:left="1060" w:right="1179"/>
        <w:spacing w:after="0" w:line="263" w:lineRule="auto"/>
        <w:rPr>
          <w:sz w:val="20"/>
          <w:szCs w:val="20"/>
          <w:color w:val="auto"/>
        </w:rPr>
      </w:pPr>
      <w:r>
        <w:rPr>
          <w:rFonts w:ascii="Arial" w:cs="Arial" w:eastAsia="Arial" w:hAnsi="Arial"/>
          <w:sz w:val="15"/>
          <w:szCs w:val="15"/>
          <w:color w:val="auto"/>
        </w:rPr>
        <w:t>In 2024, we engaged shareholders representing a majority of outstanding shares and analysts via quarterly earnings calls and meetings on strategy, performance, compensation, and capital structure. In late 2024 and early 2025, we secured voting support agreements from several shareholders for the Transaction.</w:t>
      </w:r>
    </w:p>
    <w:p>
      <w:pPr>
        <w:spacing w:after="0" w:line="81"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Board Composition and Experience</w:t>
      </w:r>
    </w:p>
    <w:p>
      <w:pPr>
        <w:spacing w:after="0" w:line="133" w:lineRule="exact"/>
        <w:rPr>
          <w:sz w:val="20"/>
          <w:szCs w:val="20"/>
          <w:color w:val="auto"/>
        </w:rPr>
      </w:pPr>
    </w:p>
    <w:p>
      <w:pPr>
        <w:ind w:left="1060" w:right="1099"/>
        <w:spacing w:after="0" w:line="257" w:lineRule="auto"/>
        <w:rPr>
          <w:sz w:val="20"/>
          <w:szCs w:val="20"/>
          <w:color w:val="auto"/>
        </w:rPr>
      </w:pPr>
      <w:r>
        <w:rPr>
          <w:rFonts w:ascii="Arial" w:cs="Arial" w:eastAsia="Arial" w:hAnsi="Arial"/>
          <w:sz w:val="15"/>
          <w:szCs w:val="15"/>
          <w:color w:val="auto"/>
        </w:rPr>
        <w:t>Our Board and Nomination/Governance Committee are committed to ensuring that our Board is comprised of Directors who collectively provide a significant breadth of experience, the ability to effectively chart the strategic course of the Company, represent the interests of shareholders, and reflect our corporate values of integrity and ethical conduct. During 2024, when discussing the future of our Board, our Nomination/Governance Committee continued to consider the potential benefits of onboarding candidates with relevant experience that reflect the diversity of the society where we operate.</w:t>
      </w:r>
    </w:p>
    <w:p>
      <w:pPr>
        <w:spacing w:after="0" w:line="99"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Our Board has nominated all our current Directors for reelection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1" w:name="page12"/>
    <w:bookmarkEnd w:id="11"/>
    <w:p>
      <w:pPr>
        <w:ind w:left="2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jc w:val="right"/>
        <w:ind w:right="103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PROXY SUMMARY</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4124325</wp:posOffset>
            </wp:positionH>
            <wp:positionV relativeFrom="paragraph">
              <wp:posOffset>-181610</wp:posOffset>
            </wp:positionV>
            <wp:extent cx="912495" cy="121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12495" cy="121920"/>
                    </a:xfrm>
                    <a:prstGeom prst="rect">
                      <a:avLst/>
                    </a:prstGeom>
                    <a:noFill/>
                  </pic:spPr>
                </pic:pic>
              </a:graphicData>
            </a:graphic>
          </wp:anchor>
        </w:drawing>
      </w:r>
    </w:p>
    <w:p>
      <w:pPr>
        <w:spacing w:after="0" w:line="97"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Skills and expertise of our current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985520</wp:posOffset>
            </wp:positionH>
            <wp:positionV relativeFrom="paragraph">
              <wp:posOffset>107950</wp:posOffset>
            </wp:positionV>
            <wp:extent cx="3756660" cy="13792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56660" cy="137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60" w:right="1359"/>
        <w:spacing w:after="0" w:line="272" w:lineRule="auto"/>
        <w:rPr>
          <w:sz w:val="20"/>
          <w:szCs w:val="20"/>
          <w:color w:val="auto"/>
        </w:rPr>
      </w:pPr>
      <w:r>
        <w:rPr>
          <w:rFonts w:ascii="Arial" w:cs="Arial" w:eastAsia="Arial" w:hAnsi="Arial"/>
          <w:sz w:val="15"/>
          <w:szCs w:val="15"/>
          <w:color w:val="auto"/>
        </w:rPr>
        <w:t>Our Board believes that a mix of tenures among Directors helps to maintain and leverage institutional knowledge while providing diverse experiences and perspectives.</w:t>
      </w:r>
    </w:p>
    <w:p>
      <w:pPr>
        <w:spacing w:after="0" w:line="73"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Tenure of our Current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107950</wp:posOffset>
            </wp:positionV>
            <wp:extent cx="3189605" cy="2320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89605" cy="2320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Corporate Governance Practices</w:t>
      </w:r>
    </w:p>
    <w:p>
      <w:pPr>
        <w:spacing w:after="0" w:line="122" w:lineRule="exact"/>
        <w:rPr>
          <w:sz w:val="20"/>
          <w:szCs w:val="20"/>
          <w:color w:val="auto"/>
        </w:rPr>
      </w:pPr>
    </w:p>
    <w:p>
      <w:pPr>
        <w:ind w:left="1660" w:hanging="293"/>
        <w:spacing w:after="0"/>
        <w:tabs>
          <w:tab w:leader="none" w:pos="1660" w:val="left"/>
        </w:tabs>
        <w:numPr>
          <w:ilvl w:val="0"/>
          <w:numId w:val="14"/>
        </w:numPr>
        <w:rPr>
          <w:rFonts w:ascii="MS PGothic" w:cs="MS PGothic" w:eastAsia="MS PGothic" w:hAnsi="MS PGothic"/>
          <w:sz w:val="15"/>
          <w:szCs w:val="15"/>
          <w:color w:val="auto"/>
          <w:highlight w:val="black"/>
        </w:rPr>
      </w:pPr>
      <w:r>
        <w:rPr>
          <w:rFonts w:ascii="Arial" w:cs="Arial" w:eastAsia="Arial" w:hAnsi="Arial"/>
          <w:sz w:val="15"/>
          <w:szCs w:val="15"/>
          <w:color w:val="auto"/>
        </w:rPr>
        <w:t>Annual election of Directors</w:t>
      </w:r>
    </w:p>
    <w:p>
      <w:pPr>
        <w:spacing w:after="0" w:line="132" w:lineRule="exact"/>
        <w:rPr>
          <w:rFonts w:ascii="MS PGothic" w:cs="MS PGothic" w:eastAsia="MS PGothic" w:hAnsi="MS PGothic"/>
          <w:sz w:val="15"/>
          <w:szCs w:val="15"/>
          <w:color w:val="auto"/>
          <w:highlight w:val="black"/>
        </w:rPr>
      </w:pPr>
    </w:p>
    <w:p>
      <w:pPr>
        <w:ind w:left="1660" w:hanging="293"/>
        <w:spacing w:after="0"/>
        <w:tabs>
          <w:tab w:leader="none" w:pos="1660" w:val="left"/>
        </w:tabs>
        <w:numPr>
          <w:ilvl w:val="0"/>
          <w:numId w:val="14"/>
        </w:numPr>
        <w:rPr>
          <w:rFonts w:ascii="MS PGothic" w:cs="MS PGothic" w:eastAsia="MS PGothic" w:hAnsi="MS PGothic"/>
          <w:sz w:val="15"/>
          <w:szCs w:val="15"/>
          <w:color w:val="auto"/>
          <w:highlight w:val="black"/>
        </w:rPr>
      </w:pPr>
      <w:r>
        <w:rPr>
          <w:rFonts w:ascii="Arial" w:cs="Arial" w:eastAsia="Arial" w:hAnsi="Arial"/>
          <w:sz w:val="15"/>
          <w:szCs w:val="15"/>
          <w:color w:val="auto"/>
        </w:rPr>
        <w:t>Majority of independent Directors</w:t>
      </w:r>
    </w:p>
    <w:p>
      <w:pPr>
        <w:spacing w:after="0" w:line="121" w:lineRule="exact"/>
        <w:rPr>
          <w:rFonts w:ascii="MS PGothic" w:cs="MS PGothic" w:eastAsia="MS PGothic" w:hAnsi="MS PGothic"/>
          <w:sz w:val="15"/>
          <w:szCs w:val="15"/>
          <w:color w:val="auto"/>
          <w:highlight w:val="black"/>
        </w:rPr>
      </w:pPr>
    </w:p>
    <w:p>
      <w:pPr>
        <w:ind w:left="1660" w:hanging="293"/>
        <w:spacing w:after="0"/>
        <w:tabs>
          <w:tab w:leader="none" w:pos="1660" w:val="left"/>
        </w:tabs>
        <w:numPr>
          <w:ilvl w:val="0"/>
          <w:numId w:val="14"/>
        </w:numPr>
        <w:rPr>
          <w:rFonts w:ascii="MS PGothic" w:cs="MS PGothic" w:eastAsia="MS PGothic" w:hAnsi="MS PGothic"/>
          <w:sz w:val="15"/>
          <w:szCs w:val="15"/>
          <w:color w:val="auto"/>
          <w:highlight w:val="black"/>
        </w:rPr>
      </w:pPr>
      <w:r>
        <w:rPr>
          <w:rFonts w:ascii="Arial" w:cs="Arial" w:eastAsia="Arial" w:hAnsi="Arial"/>
          <w:sz w:val="15"/>
          <w:szCs w:val="15"/>
          <w:color w:val="auto"/>
        </w:rPr>
        <w:t>Active shareholder engagement</w:t>
      </w:r>
    </w:p>
    <w:p>
      <w:pPr>
        <w:spacing w:after="0" w:line="132" w:lineRule="exact"/>
        <w:rPr>
          <w:rFonts w:ascii="MS PGothic" w:cs="MS PGothic" w:eastAsia="MS PGothic" w:hAnsi="MS PGothic"/>
          <w:sz w:val="15"/>
          <w:szCs w:val="15"/>
          <w:color w:val="auto"/>
          <w:highlight w:val="black"/>
        </w:rPr>
      </w:pPr>
    </w:p>
    <w:p>
      <w:pPr>
        <w:ind w:left="1660" w:right="1439" w:hanging="293"/>
        <w:spacing w:after="0" w:line="288" w:lineRule="auto"/>
        <w:tabs>
          <w:tab w:leader="none" w:pos="1660" w:val="left"/>
        </w:tabs>
        <w:numPr>
          <w:ilvl w:val="0"/>
          <w:numId w:val="14"/>
        </w:numPr>
        <w:rPr>
          <w:rFonts w:ascii="MS PGothic" w:cs="MS PGothic" w:eastAsia="MS PGothic" w:hAnsi="MS PGothic"/>
          <w:sz w:val="15"/>
          <w:szCs w:val="15"/>
          <w:color w:val="auto"/>
          <w:highlight w:val="black"/>
        </w:rPr>
      </w:pPr>
      <w:r>
        <w:rPr>
          <w:rFonts w:ascii="Arial" w:cs="Arial" w:eastAsia="Arial" w:hAnsi="Arial"/>
          <w:sz w:val="15"/>
          <w:szCs w:val="15"/>
          <w:color w:val="auto"/>
        </w:rPr>
        <w:t>Shareholder meetings can be called by shareholders owning at least 10% of our share capital</w:t>
      </w:r>
    </w:p>
    <w:p>
      <w:pPr>
        <w:spacing w:after="0" w:line="72" w:lineRule="exact"/>
        <w:rPr>
          <w:rFonts w:ascii="MS PGothic" w:cs="MS PGothic" w:eastAsia="MS PGothic" w:hAnsi="MS PGothic"/>
          <w:sz w:val="15"/>
          <w:szCs w:val="15"/>
          <w:color w:val="auto"/>
          <w:highlight w:val="black"/>
        </w:rPr>
      </w:pPr>
    </w:p>
    <w:p>
      <w:pPr>
        <w:ind w:left="1660" w:right="1739" w:hanging="293"/>
        <w:spacing w:after="0" w:line="288" w:lineRule="auto"/>
        <w:tabs>
          <w:tab w:leader="none" w:pos="1660" w:val="left"/>
        </w:tabs>
        <w:numPr>
          <w:ilvl w:val="0"/>
          <w:numId w:val="14"/>
        </w:numPr>
        <w:rPr>
          <w:rFonts w:ascii="MS PGothic" w:cs="MS PGothic" w:eastAsia="MS PGothic" w:hAnsi="MS PGothic"/>
          <w:sz w:val="15"/>
          <w:szCs w:val="15"/>
          <w:color w:val="auto"/>
          <w:highlight w:val="black"/>
        </w:rPr>
      </w:pPr>
      <w:r>
        <w:rPr>
          <w:rFonts w:ascii="Arial" w:cs="Arial" w:eastAsia="Arial" w:hAnsi="Arial"/>
          <w:sz w:val="15"/>
          <w:szCs w:val="15"/>
          <w:color w:val="auto"/>
        </w:rPr>
        <w:t>Share ownership requirements for non-management Directors and the Chief Executive Officer</w:t>
      </w:r>
    </w:p>
    <w:p>
      <w:pPr>
        <w:spacing w:after="0" w:line="61" w:lineRule="exact"/>
        <w:rPr>
          <w:rFonts w:ascii="MS PGothic" w:cs="MS PGothic" w:eastAsia="MS PGothic" w:hAnsi="MS PGothic"/>
          <w:sz w:val="15"/>
          <w:szCs w:val="15"/>
          <w:color w:val="auto"/>
          <w:highlight w:val="black"/>
        </w:rPr>
      </w:pPr>
    </w:p>
    <w:p>
      <w:pPr>
        <w:ind w:left="1660" w:hanging="293"/>
        <w:spacing w:after="0"/>
        <w:tabs>
          <w:tab w:leader="none" w:pos="1660" w:val="left"/>
        </w:tabs>
        <w:numPr>
          <w:ilvl w:val="0"/>
          <w:numId w:val="14"/>
        </w:numPr>
        <w:rPr>
          <w:rFonts w:ascii="MS PGothic" w:cs="MS PGothic" w:eastAsia="MS PGothic" w:hAnsi="MS PGothic"/>
          <w:sz w:val="15"/>
          <w:szCs w:val="15"/>
          <w:color w:val="auto"/>
          <w:highlight w:val="black"/>
        </w:rPr>
      </w:pPr>
      <w:r>
        <w:rPr>
          <w:rFonts w:ascii="Arial" w:cs="Arial" w:eastAsia="Arial" w:hAnsi="Arial"/>
          <w:sz w:val="15"/>
          <w:szCs w:val="15"/>
          <w:color w:val="auto"/>
        </w:rPr>
        <w:t>Annual self-evaluations of our Board of Directors and Committee</w:t>
      </w:r>
    </w:p>
    <w:p>
      <w:pPr>
        <w:spacing w:after="0" w:line="132" w:lineRule="exact"/>
        <w:rPr>
          <w:rFonts w:ascii="MS PGothic" w:cs="MS PGothic" w:eastAsia="MS PGothic" w:hAnsi="MS PGothic"/>
          <w:sz w:val="15"/>
          <w:szCs w:val="15"/>
          <w:color w:val="auto"/>
          <w:highlight w:val="black"/>
        </w:rPr>
      </w:pPr>
    </w:p>
    <w:p>
      <w:pPr>
        <w:ind w:left="1660" w:right="1579" w:hanging="293"/>
        <w:spacing w:after="0" w:line="287" w:lineRule="auto"/>
        <w:tabs>
          <w:tab w:leader="none" w:pos="1660" w:val="left"/>
        </w:tabs>
        <w:numPr>
          <w:ilvl w:val="0"/>
          <w:numId w:val="14"/>
        </w:numPr>
        <w:rPr>
          <w:rFonts w:ascii="MS PGothic" w:cs="MS PGothic" w:eastAsia="MS PGothic" w:hAnsi="MS PGothic"/>
          <w:sz w:val="15"/>
          <w:szCs w:val="15"/>
          <w:color w:val="auto"/>
          <w:highlight w:val="black"/>
        </w:rPr>
      </w:pPr>
      <w:r>
        <w:rPr>
          <w:rFonts w:ascii="Arial" w:cs="Arial" w:eastAsia="Arial" w:hAnsi="Arial"/>
          <w:sz w:val="15"/>
          <w:szCs w:val="15"/>
          <w:color w:val="auto"/>
        </w:rPr>
        <w:t>Lead Independent Director role facilitates the oversight of management by our independent Directors</w:t>
      </w:r>
    </w:p>
    <w:p>
      <w:pPr>
        <w:spacing w:after="0" w:line="73" w:lineRule="exact"/>
        <w:rPr>
          <w:rFonts w:ascii="MS PGothic" w:cs="MS PGothic" w:eastAsia="MS PGothic" w:hAnsi="MS PGothic"/>
          <w:sz w:val="15"/>
          <w:szCs w:val="15"/>
          <w:color w:val="auto"/>
          <w:highlight w:val="black"/>
        </w:rPr>
      </w:pPr>
    </w:p>
    <w:p>
      <w:pPr>
        <w:ind w:left="1660" w:hanging="293"/>
        <w:spacing w:after="0"/>
        <w:tabs>
          <w:tab w:leader="none" w:pos="1660" w:val="left"/>
        </w:tabs>
        <w:numPr>
          <w:ilvl w:val="0"/>
          <w:numId w:val="14"/>
        </w:numPr>
        <w:rPr>
          <w:rFonts w:ascii="MS PGothic" w:cs="MS PGothic" w:eastAsia="MS PGothic" w:hAnsi="MS PGothic"/>
          <w:sz w:val="15"/>
          <w:szCs w:val="15"/>
          <w:color w:val="auto"/>
          <w:highlight w:val="black"/>
        </w:rPr>
      </w:pPr>
      <w:r>
        <w:rPr>
          <w:rFonts w:ascii="Arial" w:cs="Arial" w:eastAsia="Arial" w:hAnsi="Arial"/>
          <w:sz w:val="15"/>
          <w:szCs w:val="15"/>
          <w:color w:val="auto"/>
        </w:rPr>
        <w:t>Regular executive sessions of independent Directors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2" w:name="page13"/>
    <w:bookmarkEnd w:id="12"/>
    <w:p>
      <w:pPr>
        <w:ind w:left="2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jc w:val="right"/>
        <w:ind w:right="103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PROXY SUMMARY</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4124325</wp:posOffset>
            </wp:positionH>
            <wp:positionV relativeFrom="paragraph">
              <wp:posOffset>-181610</wp:posOffset>
            </wp:positionV>
            <wp:extent cx="912495" cy="1219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12495" cy="121920"/>
                    </a:xfrm>
                    <a:prstGeom prst="rect">
                      <a:avLst/>
                    </a:prstGeom>
                    <a:noFill/>
                  </pic:spPr>
                </pic:pic>
              </a:graphicData>
            </a:graphic>
          </wp:anchor>
        </w:drawing>
      </w:r>
    </w:p>
    <w:p>
      <w:pPr>
        <w:spacing w:after="0" w:line="97" w:lineRule="exact"/>
        <w:rPr>
          <w:sz w:val="20"/>
          <w:szCs w:val="20"/>
          <w:color w:val="auto"/>
        </w:rPr>
      </w:pPr>
    </w:p>
    <w:p>
      <w:pPr>
        <w:ind w:left="1660" w:right="1479" w:hanging="293"/>
        <w:spacing w:after="0" w:line="264" w:lineRule="auto"/>
        <w:tabs>
          <w:tab w:leader="none" w:pos="1660" w:val="left"/>
        </w:tabs>
        <w:numPr>
          <w:ilvl w:val="0"/>
          <w:numId w:val="15"/>
        </w:numPr>
        <w:rPr>
          <w:rFonts w:ascii="MS PGothic" w:cs="MS PGothic" w:eastAsia="MS PGothic" w:hAnsi="MS PGothic"/>
          <w:sz w:val="15"/>
          <w:szCs w:val="15"/>
          <w:color w:val="auto"/>
          <w:highlight w:val="black"/>
        </w:rPr>
      </w:pPr>
      <w:r>
        <w:rPr>
          <w:rFonts w:ascii="Arial" w:cs="Arial" w:eastAsia="Arial" w:hAnsi="Arial"/>
          <w:sz w:val="15"/>
          <w:szCs w:val="15"/>
          <w:color w:val="auto"/>
        </w:rPr>
        <w:t>Regular executive sessions of the Audit Committee with the Company’s internal auditor</w:t>
      </w:r>
    </w:p>
    <w:p>
      <w:pPr>
        <w:spacing w:after="0" w:line="285" w:lineRule="exact"/>
        <w:rPr>
          <w:rFonts w:ascii="MS PGothic" w:cs="MS PGothic" w:eastAsia="MS PGothic" w:hAnsi="MS PGothic"/>
          <w:sz w:val="15"/>
          <w:szCs w:val="15"/>
          <w:color w:val="auto"/>
          <w:highlight w:val="black"/>
        </w:rPr>
      </w:pPr>
    </w:p>
    <w:p>
      <w:pPr>
        <w:ind w:left="1660" w:right="1439" w:hanging="293"/>
        <w:spacing w:after="0" w:line="264" w:lineRule="auto"/>
        <w:tabs>
          <w:tab w:leader="none" w:pos="1660" w:val="left"/>
        </w:tabs>
        <w:numPr>
          <w:ilvl w:val="0"/>
          <w:numId w:val="15"/>
        </w:numPr>
        <w:rPr>
          <w:rFonts w:ascii="MS PGothic" w:cs="MS PGothic" w:eastAsia="MS PGothic" w:hAnsi="MS PGothic"/>
          <w:sz w:val="15"/>
          <w:szCs w:val="15"/>
          <w:color w:val="auto"/>
          <w:highlight w:val="black"/>
        </w:rPr>
      </w:pPr>
      <w:r>
        <w:rPr>
          <w:rFonts w:ascii="Arial" w:cs="Arial" w:eastAsia="Arial" w:hAnsi="Arial"/>
          <w:sz w:val="15"/>
          <w:szCs w:val="15"/>
          <w:color w:val="auto"/>
        </w:rPr>
        <w:t>Regular executive sessions of the Audit Committee with the Company’s external auditor</w:t>
      </w:r>
    </w:p>
    <w:p>
      <w:pPr>
        <w:spacing w:after="0" w:line="296" w:lineRule="exact"/>
        <w:rPr>
          <w:rFonts w:ascii="MS PGothic" w:cs="MS PGothic" w:eastAsia="MS PGothic" w:hAnsi="MS PGothic"/>
          <w:sz w:val="15"/>
          <w:szCs w:val="15"/>
          <w:color w:val="auto"/>
          <w:highlight w:val="black"/>
        </w:rPr>
      </w:pPr>
    </w:p>
    <w:p>
      <w:pPr>
        <w:ind w:left="1660" w:hanging="293"/>
        <w:spacing w:after="0"/>
        <w:tabs>
          <w:tab w:leader="none" w:pos="1660" w:val="left"/>
        </w:tabs>
        <w:numPr>
          <w:ilvl w:val="0"/>
          <w:numId w:val="15"/>
        </w:numPr>
        <w:rPr>
          <w:rFonts w:ascii="MS PGothic" w:cs="MS PGothic" w:eastAsia="MS PGothic" w:hAnsi="MS PGothic"/>
          <w:sz w:val="15"/>
          <w:szCs w:val="15"/>
          <w:color w:val="auto"/>
          <w:highlight w:val="black"/>
        </w:rPr>
      </w:pPr>
      <w:r>
        <w:rPr>
          <w:rFonts w:ascii="Arial" w:cs="Arial" w:eastAsia="Arial" w:hAnsi="Arial"/>
          <w:sz w:val="15"/>
          <w:szCs w:val="15"/>
          <w:color w:val="auto"/>
        </w:rPr>
        <w:t>Board engagement in strategic objectives</w:t>
      </w:r>
    </w:p>
    <w:p>
      <w:pPr>
        <w:spacing w:after="0" w:line="132" w:lineRule="exact"/>
        <w:rPr>
          <w:rFonts w:ascii="MS PGothic" w:cs="MS PGothic" w:eastAsia="MS PGothic" w:hAnsi="MS PGothic"/>
          <w:sz w:val="15"/>
          <w:szCs w:val="15"/>
          <w:color w:val="auto"/>
          <w:highlight w:val="black"/>
        </w:rPr>
      </w:pPr>
    </w:p>
    <w:p>
      <w:pPr>
        <w:ind w:left="1660" w:right="1779" w:hanging="293"/>
        <w:spacing w:after="0" w:line="288" w:lineRule="auto"/>
        <w:tabs>
          <w:tab w:leader="none" w:pos="1660" w:val="left"/>
        </w:tabs>
        <w:numPr>
          <w:ilvl w:val="0"/>
          <w:numId w:val="15"/>
        </w:numPr>
        <w:rPr>
          <w:rFonts w:ascii="MS PGothic" w:cs="MS PGothic" w:eastAsia="MS PGothic" w:hAnsi="MS PGothic"/>
          <w:sz w:val="15"/>
          <w:szCs w:val="15"/>
          <w:color w:val="auto"/>
          <w:highlight w:val="black"/>
        </w:rPr>
      </w:pPr>
      <w:r>
        <w:rPr>
          <w:rFonts w:ascii="Arial" w:cs="Arial" w:eastAsia="Arial" w:hAnsi="Arial"/>
          <w:sz w:val="15"/>
          <w:szCs w:val="15"/>
          <w:color w:val="auto"/>
        </w:rPr>
        <w:t>Evaluation of the Chief Executive Officer’s performance by the independent Directors</w:t>
      </w:r>
    </w:p>
    <w:p>
      <w:pPr>
        <w:spacing w:after="0" w:line="61" w:lineRule="exact"/>
        <w:rPr>
          <w:rFonts w:ascii="MS PGothic" w:cs="MS PGothic" w:eastAsia="MS PGothic" w:hAnsi="MS PGothic"/>
          <w:sz w:val="15"/>
          <w:szCs w:val="15"/>
          <w:color w:val="auto"/>
          <w:highlight w:val="black"/>
        </w:rPr>
      </w:pPr>
    </w:p>
    <w:p>
      <w:pPr>
        <w:ind w:left="1660" w:hanging="293"/>
        <w:spacing w:after="0"/>
        <w:tabs>
          <w:tab w:leader="none" w:pos="1660" w:val="left"/>
        </w:tabs>
        <w:numPr>
          <w:ilvl w:val="0"/>
          <w:numId w:val="15"/>
        </w:numPr>
        <w:rPr>
          <w:rFonts w:ascii="MS PGothic" w:cs="MS PGothic" w:eastAsia="MS PGothic" w:hAnsi="MS PGothic"/>
          <w:sz w:val="15"/>
          <w:szCs w:val="15"/>
          <w:color w:val="auto"/>
          <w:highlight w:val="black"/>
        </w:rPr>
      </w:pPr>
      <w:r>
        <w:rPr>
          <w:rFonts w:ascii="Arial" w:cs="Arial" w:eastAsia="Arial" w:hAnsi="Arial"/>
          <w:sz w:val="15"/>
          <w:szCs w:val="15"/>
          <w:color w:val="auto"/>
        </w:rPr>
        <w:t>Board engagement in long-term succession planning for executives</w:t>
      </w:r>
    </w:p>
    <w:p>
      <w:pPr>
        <w:spacing w:after="0" w:line="132" w:lineRule="exact"/>
        <w:rPr>
          <w:rFonts w:ascii="MS PGothic" w:cs="MS PGothic" w:eastAsia="MS PGothic" w:hAnsi="MS PGothic"/>
          <w:sz w:val="15"/>
          <w:szCs w:val="15"/>
          <w:color w:val="auto"/>
          <w:highlight w:val="black"/>
        </w:rPr>
      </w:pPr>
    </w:p>
    <w:p>
      <w:pPr>
        <w:ind w:left="1660" w:hanging="293"/>
        <w:spacing w:after="0"/>
        <w:tabs>
          <w:tab w:leader="none" w:pos="1660" w:val="left"/>
        </w:tabs>
        <w:numPr>
          <w:ilvl w:val="0"/>
          <w:numId w:val="15"/>
        </w:numPr>
        <w:rPr>
          <w:rFonts w:ascii="MS PGothic" w:cs="MS PGothic" w:eastAsia="MS PGothic" w:hAnsi="MS PGothic"/>
          <w:sz w:val="15"/>
          <w:szCs w:val="15"/>
          <w:color w:val="auto"/>
          <w:highlight w:val="black"/>
        </w:rPr>
      </w:pPr>
      <w:r>
        <w:rPr>
          <w:rFonts w:ascii="Arial" w:cs="Arial" w:eastAsia="Arial" w:hAnsi="Arial"/>
          <w:sz w:val="15"/>
          <w:szCs w:val="15"/>
          <w:color w:val="auto"/>
        </w:rPr>
        <w:t>Board oversees strategy, financial performance, and risk management and controls</w:t>
      </w:r>
    </w:p>
    <w:p>
      <w:pPr>
        <w:spacing w:after="0" w:line="132" w:lineRule="exact"/>
        <w:rPr>
          <w:rFonts w:ascii="MS PGothic" w:cs="MS PGothic" w:eastAsia="MS PGothic" w:hAnsi="MS PGothic"/>
          <w:sz w:val="15"/>
          <w:szCs w:val="15"/>
          <w:color w:val="auto"/>
          <w:highlight w:val="black"/>
        </w:rPr>
      </w:pPr>
    </w:p>
    <w:p>
      <w:pPr>
        <w:ind w:left="1660" w:hanging="293"/>
        <w:spacing w:after="0"/>
        <w:tabs>
          <w:tab w:leader="none" w:pos="1660" w:val="left"/>
        </w:tabs>
        <w:numPr>
          <w:ilvl w:val="0"/>
          <w:numId w:val="15"/>
        </w:numPr>
        <w:rPr>
          <w:rFonts w:ascii="MS PGothic" w:cs="MS PGothic" w:eastAsia="MS PGothic" w:hAnsi="MS PGothic"/>
          <w:sz w:val="15"/>
          <w:szCs w:val="15"/>
          <w:color w:val="auto"/>
          <w:highlight w:val="black"/>
        </w:rPr>
      </w:pPr>
      <w:r>
        <w:rPr>
          <w:rFonts w:ascii="Arial" w:cs="Arial" w:eastAsia="Arial" w:hAnsi="Arial"/>
          <w:sz w:val="15"/>
          <w:szCs w:val="15"/>
          <w:color w:val="auto"/>
        </w:rPr>
        <w:t>No shareholder rights plan (“poison pill”)</w:t>
      </w:r>
    </w:p>
    <w:p>
      <w:pPr>
        <w:spacing w:after="0" w:line="121" w:lineRule="exact"/>
        <w:rPr>
          <w:rFonts w:ascii="MS PGothic" w:cs="MS PGothic" w:eastAsia="MS PGothic" w:hAnsi="MS PGothic"/>
          <w:sz w:val="15"/>
          <w:szCs w:val="15"/>
          <w:color w:val="auto"/>
          <w:highlight w:val="black"/>
        </w:rPr>
      </w:pPr>
    </w:p>
    <w:p>
      <w:pPr>
        <w:ind w:left="1060" w:right="1679" w:firstLine="307"/>
        <w:spacing w:after="0" w:line="401" w:lineRule="auto"/>
        <w:tabs>
          <w:tab w:leader="none" w:pos="1663" w:val="left"/>
        </w:tabs>
        <w:numPr>
          <w:ilvl w:val="0"/>
          <w:numId w:val="15"/>
        </w:numPr>
        <w:rPr>
          <w:rFonts w:ascii="MS PGothic" w:cs="MS PGothic" w:eastAsia="MS PGothic" w:hAnsi="MS PGothic"/>
          <w:sz w:val="15"/>
          <w:szCs w:val="15"/>
          <w:color w:val="auto"/>
          <w:highlight w:val="black"/>
        </w:rPr>
      </w:pPr>
      <w:r>
        <w:rPr>
          <w:rFonts w:ascii="Arial" w:cs="Arial" w:eastAsia="Arial" w:hAnsi="Arial"/>
          <w:sz w:val="15"/>
          <w:szCs w:val="15"/>
          <w:color w:val="auto"/>
        </w:rPr>
        <w:t xml:space="preserve">Board involvement in corporate social responsibility and sustainability efforts </w:t>
      </w:r>
      <w:r>
        <w:rPr>
          <w:rFonts w:ascii="Arial" w:cs="Arial" w:eastAsia="Arial" w:hAnsi="Arial"/>
          <w:sz w:val="15"/>
          <w:szCs w:val="15"/>
          <w:u w:val="single" w:color="auto"/>
          <w:color w:val="auto"/>
        </w:rPr>
        <w:t>Executive Compensation Highlights</w:t>
      </w:r>
    </w:p>
    <w:p>
      <w:pPr>
        <w:spacing w:after="0" w:line="34" w:lineRule="exact"/>
        <w:rPr>
          <w:rFonts w:ascii="MS PGothic" w:cs="MS PGothic" w:eastAsia="MS PGothic" w:hAnsi="MS PGothic"/>
          <w:sz w:val="15"/>
          <w:szCs w:val="15"/>
          <w:color w:val="auto"/>
          <w:highlight w:val="black"/>
        </w:rPr>
      </w:pPr>
    </w:p>
    <w:p>
      <w:pPr>
        <w:ind w:left="1660" w:hanging="293"/>
        <w:spacing w:after="0"/>
        <w:tabs>
          <w:tab w:leader="none" w:pos="1660" w:val="left"/>
        </w:tabs>
        <w:numPr>
          <w:ilvl w:val="0"/>
          <w:numId w:val="15"/>
        </w:numPr>
        <w:rPr>
          <w:rFonts w:ascii="MS PGothic" w:cs="MS PGothic" w:eastAsia="MS PGothic" w:hAnsi="MS PGothic"/>
          <w:sz w:val="15"/>
          <w:szCs w:val="15"/>
          <w:color w:val="auto"/>
          <w:highlight w:val="black"/>
        </w:rPr>
      </w:pPr>
      <w:r>
        <w:rPr>
          <w:rFonts w:ascii="Arial" w:cs="Arial" w:eastAsia="Arial" w:hAnsi="Arial"/>
          <w:sz w:val="15"/>
          <w:szCs w:val="15"/>
          <w:color w:val="auto"/>
        </w:rPr>
        <w:t>Aligns executive compensation with the interests of our shareholders</w:t>
      </w:r>
    </w:p>
    <w:p>
      <w:pPr>
        <w:spacing w:after="0" w:line="121" w:lineRule="exact"/>
        <w:rPr>
          <w:rFonts w:ascii="MS PGothic" w:cs="MS PGothic" w:eastAsia="MS PGothic" w:hAnsi="MS PGothic"/>
          <w:sz w:val="15"/>
          <w:szCs w:val="15"/>
          <w:color w:val="auto"/>
          <w:highlight w:val="black"/>
        </w:rPr>
      </w:pPr>
    </w:p>
    <w:p>
      <w:pPr>
        <w:ind w:left="1660" w:right="1299" w:hanging="293"/>
        <w:spacing w:after="0" w:line="288" w:lineRule="auto"/>
        <w:tabs>
          <w:tab w:leader="none" w:pos="1660" w:val="left"/>
        </w:tabs>
        <w:numPr>
          <w:ilvl w:val="0"/>
          <w:numId w:val="15"/>
        </w:numPr>
        <w:rPr>
          <w:rFonts w:ascii="MS PGothic" w:cs="MS PGothic" w:eastAsia="MS PGothic" w:hAnsi="MS PGothic"/>
          <w:sz w:val="15"/>
          <w:szCs w:val="15"/>
          <w:color w:val="auto"/>
          <w:highlight w:val="black"/>
        </w:rPr>
      </w:pPr>
      <w:r>
        <w:rPr>
          <w:rFonts w:ascii="Arial" w:cs="Arial" w:eastAsia="Arial" w:hAnsi="Arial"/>
          <w:sz w:val="15"/>
          <w:szCs w:val="15"/>
          <w:color w:val="auto"/>
        </w:rPr>
        <w:t>Annual opportunity for shareholders to provide feedback through an advisory Say-on-Pay vote on executive compensation</w:t>
      </w:r>
    </w:p>
    <w:p>
      <w:pPr>
        <w:spacing w:after="0" w:line="72" w:lineRule="exact"/>
        <w:rPr>
          <w:rFonts w:ascii="MS PGothic" w:cs="MS PGothic" w:eastAsia="MS PGothic" w:hAnsi="MS PGothic"/>
          <w:sz w:val="15"/>
          <w:szCs w:val="15"/>
          <w:color w:val="auto"/>
          <w:highlight w:val="black"/>
        </w:rPr>
      </w:pPr>
    </w:p>
    <w:p>
      <w:pPr>
        <w:ind w:left="1660" w:hanging="293"/>
        <w:spacing w:after="0"/>
        <w:tabs>
          <w:tab w:leader="none" w:pos="1660" w:val="left"/>
        </w:tabs>
        <w:numPr>
          <w:ilvl w:val="0"/>
          <w:numId w:val="15"/>
        </w:numPr>
        <w:rPr>
          <w:rFonts w:ascii="MS PGothic" w:cs="MS PGothic" w:eastAsia="MS PGothic" w:hAnsi="MS PGothic"/>
          <w:sz w:val="15"/>
          <w:szCs w:val="15"/>
          <w:color w:val="auto"/>
          <w:highlight w:val="black"/>
        </w:rPr>
      </w:pPr>
      <w:r>
        <w:rPr>
          <w:rFonts w:ascii="Arial" w:cs="Arial" w:eastAsia="Arial" w:hAnsi="Arial"/>
          <w:sz w:val="15"/>
          <w:szCs w:val="15"/>
          <w:color w:val="auto"/>
        </w:rPr>
        <w:t>Based on a pay-for-performance philosophy</w:t>
      </w:r>
    </w:p>
    <w:p>
      <w:pPr>
        <w:spacing w:after="0" w:line="132" w:lineRule="exact"/>
        <w:rPr>
          <w:rFonts w:ascii="MS PGothic" w:cs="MS PGothic" w:eastAsia="MS PGothic" w:hAnsi="MS PGothic"/>
          <w:sz w:val="15"/>
          <w:szCs w:val="15"/>
          <w:color w:val="auto"/>
          <w:highlight w:val="black"/>
        </w:rPr>
      </w:pPr>
    </w:p>
    <w:p>
      <w:pPr>
        <w:ind w:left="1660" w:right="1199" w:hanging="293"/>
        <w:spacing w:after="0" w:line="288" w:lineRule="auto"/>
        <w:tabs>
          <w:tab w:leader="none" w:pos="1660" w:val="left"/>
        </w:tabs>
        <w:numPr>
          <w:ilvl w:val="0"/>
          <w:numId w:val="15"/>
        </w:numPr>
        <w:rPr>
          <w:rFonts w:ascii="MS PGothic" w:cs="MS PGothic" w:eastAsia="MS PGothic" w:hAnsi="MS PGothic"/>
          <w:sz w:val="15"/>
          <w:szCs w:val="15"/>
          <w:color w:val="auto"/>
          <w:highlight w:val="black"/>
        </w:rPr>
      </w:pPr>
      <w:r>
        <w:rPr>
          <w:rFonts w:ascii="Arial" w:cs="Arial" w:eastAsia="Arial" w:hAnsi="Arial"/>
          <w:sz w:val="15"/>
          <w:szCs w:val="15"/>
          <w:color w:val="auto"/>
        </w:rPr>
        <w:t>Maintains a clawback policy, updated in 2024 in accordance with the listing rules of the Nasdaq Stock Market LLC (“Nasdaq”)</w:t>
      </w:r>
    </w:p>
    <w:p>
      <w:pPr>
        <w:spacing w:after="0" w:line="61" w:lineRule="exact"/>
        <w:rPr>
          <w:rFonts w:ascii="MS PGothic" w:cs="MS PGothic" w:eastAsia="MS PGothic" w:hAnsi="MS PGothic"/>
          <w:sz w:val="15"/>
          <w:szCs w:val="15"/>
          <w:color w:val="auto"/>
          <w:highlight w:val="black"/>
        </w:rPr>
      </w:pPr>
    </w:p>
    <w:p>
      <w:pPr>
        <w:ind w:left="1660" w:right="1339" w:hanging="293"/>
        <w:spacing w:after="0" w:line="288" w:lineRule="auto"/>
        <w:tabs>
          <w:tab w:leader="none" w:pos="1660" w:val="left"/>
        </w:tabs>
        <w:numPr>
          <w:ilvl w:val="0"/>
          <w:numId w:val="15"/>
        </w:numPr>
        <w:rPr>
          <w:rFonts w:ascii="MS PGothic" w:cs="MS PGothic" w:eastAsia="MS PGothic" w:hAnsi="MS PGothic"/>
          <w:sz w:val="15"/>
          <w:szCs w:val="15"/>
          <w:color w:val="auto"/>
          <w:highlight w:val="black"/>
        </w:rPr>
      </w:pPr>
      <w:r>
        <w:rPr>
          <w:rFonts w:ascii="Arial" w:cs="Arial" w:eastAsia="Arial" w:hAnsi="Arial"/>
          <w:sz w:val="15"/>
          <w:szCs w:val="15"/>
          <w:color w:val="auto"/>
        </w:rPr>
        <w:t>More than 50% of our Named Executive Officers’ target compensation is linked to individual and Company performance metrics</w:t>
      </w:r>
    </w:p>
    <w:p>
      <w:pPr>
        <w:spacing w:after="0" w:line="72" w:lineRule="exact"/>
        <w:rPr>
          <w:rFonts w:ascii="MS PGothic" w:cs="MS PGothic" w:eastAsia="MS PGothic" w:hAnsi="MS PGothic"/>
          <w:sz w:val="15"/>
          <w:szCs w:val="15"/>
          <w:color w:val="auto"/>
          <w:highlight w:val="black"/>
        </w:rPr>
      </w:pPr>
    </w:p>
    <w:p>
      <w:pPr>
        <w:ind w:left="1660" w:right="1139" w:hanging="293"/>
        <w:spacing w:after="0" w:line="287" w:lineRule="auto"/>
        <w:tabs>
          <w:tab w:leader="none" w:pos="1660" w:val="left"/>
        </w:tabs>
        <w:numPr>
          <w:ilvl w:val="0"/>
          <w:numId w:val="15"/>
        </w:numPr>
        <w:rPr>
          <w:rFonts w:ascii="MS PGothic" w:cs="MS PGothic" w:eastAsia="MS PGothic" w:hAnsi="MS PGothic"/>
          <w:sz w:val="15"/>
          <w:szCs w:val="15"/>
          <w:color w:val="auto"/>
          <w:highlight w:val="black"/>
        </w:rPr>
      </w:pPr>
      <w:r>
        <w:rPr>
          <w:rFonts w:ascii="Arial" w:cs="Arial" w:eastAsia="Arial" w:hAnsi="Arial"/>
          <w:sz w:val="15"/>
          <w:szCs w:val="15"/>
          <w:color w:val="auto"/>
        </w:rPr>
        <w:t>A substantial portion of our Named Executive Officers’ target compensation is in the form of long-term equity awards</w:t>
      </w:r>
    </w:p>
    <w:p>
      <w:pPr>
        <w:spacing w:after="0" w:line="73" w:lineRule="exact"/>
        <w:rPr>
          <w:rFonts w:ascii="MS PGothic" w:cs="MS PGothic" w:eastAsia="MS PGothic" w:hAnsi="MS PGothic"/>
          <w:sz w:val="15"/>
          <w:szCs w:val="15"/>
          <w:color w:val="auto"/>
          <w:highlight w:val="black"/>
        </w:rPr>
      </w:pPr>
    </w:p>
    <w:p>
      <w:pPr>
        <w:ind w:left="1660" w:right="1139" w:hanging="293"/>
        <w:spacing w:after="0"/>
        <w:tabs>
          <w:tab w:leader="none" w:pos="1660" w:val="left"/>
        </w:tabs>
        <w:numPr>
          <w:ilvl w:val="0"/>
          <w:numId w:val="15"/>
        </w:numPr>
        <w:rPr>
          <w:rFonts w:ascii="MS PGothic" w:cs="MS PGothic" w:eastAsia="MS PGothic" w:hAnsi="MS PGothic"/>
          <w:sz w:val="15"/>
          <w:szCs w:val="15"/>
          <w:color w:val="auto"/>
          <w:highlight w:val="black"/>
        </w:rPr>
      </w:pPr>
      <w:r>
        <w:rPr>
          <w:rFonts w:ascii="Arial" w:cs="Arial" w:eastAsia="Arial" w:hAnsi="Arial"/>
          <w:sz w:val="15"/>
          <w:szCs w:val="15"/>
          <w:color w:val="auto"/>
        </w:rPr>
        <w:t>A portion of the Named Executive Officers’ long-term equity awards granted prior to 2024 will vest based on Company performance against designated financial metrics multiplied by the total shareholder return over a designated period, as benchmarked against the Russell 2000</w:t>
      </w:r>
      <w:r>
        <w:rPr>
          <w:rFonts w:ascii="Arial" w:cs="Arial" w:eastAsia="Arial" w:hAnsi="Arial"/>
          <w:sz w:val="22"/>
          <w:szCs w:val="22"/>
          <w:color w:val="auto"/>
          <w:vertAlign w:val="superscript"/>
        </w:rPr>
        <w:t>®</w:t>
      </w:r>
      <w:r>
        <w:rPr>
          <w:rFonts w:ascii="Arial" w:cs="Arial" w:eastAsia="Arial" w:hAnsi="Arial"/>
          <w:sz w:val="15"/>
          <w:szCs w:val="15"/>
          <w:color w:val="auto"/>
        </w:rPr>
        <w:t>, which multiplier may increase or decrease the value of such award</w:t>
      </w:r>
    </w:p>
    <w:p>
      <w:pPr>
        <w:spacing w:after="0" w:line="258" w:lineRule="exact"/>
        <w:rPr>
          <w:rFonts w:ascii="MS PGothic" w:cs="MS PGothic" w:eastAsia="MS PGothic" w:hAnsi="MS PGothic"/>
          <w:sz w:val="15"/>
          <w:szCs w:val="15"/>
          <w:color w:val="auto"/>
          <w:highlight w:val="black"/>
        </w:rPr>
      </w:pPr>
    </w:p>
    <w:p>
      <w:pPr>
        <w:ind w:left="1660" w:right="1199" w:hanging="293"/>
        <w:spacing w:after="0" w:line="256" w:lineRule="auto"/>
        <w:tabs>
          <w:tab w:leader="none" w:pos="1660" w:val="left"/>
        </w:tabs>
        <w:numPr>
          <w:ilvl w:val="0"/>
          <w:numId w:val="15"/>
        </w:numPr>
        <w:rPr>
          <w:rFonts w:ascii="MS PGothic" w:cs="MS PGothic" w:eastAsia="MS PGothic" w:hAnsi="MS PGothic"/>
          <w:sz w:val="15"/>
          <w:szCs w:val="15"/>
          <w:color w:val="auto"/>
          <w:highlight w:val="black"/>
        </w:rPr>
      </w:pPr>
      <w:r>
        <w:rPr>
          <w:rFonts w:ascii="Arial" w:cs="Arial" w:eastAsia="Arial" w:hAnsi="Arial"/>
          <w:sz w:val="15"/>
          <w:szCs w:val="15"/>
          <w:color w:val="auto"/>
        </w:rPr>
        <w:t>A management incentive plan was created in connection with the Transaction, granting the Named Executive Officers and certain senior management restricted share units. The restricted share units (“RSUs”) will vest in equal tranches on each of the first three anniversaries of the Transaction (subject to the conditions of the applicable RSU award agreements). This plan aims to foster executive retention, stability, and the execution of strategic plans, and to more fully align executive and shareholder interests. The Named Executive Officers and senior management participating in such management incentive plan will not be eligible to participate in the long-term incentive compensation plans commencing in 2025, 2026 and 2027</w:t>
      </w:r>
    </w:p>
    <w:p>
      <w:pPr>
        <w:spacing w:after="0" w:line="97" w:lineRule="exact"/>
        <w:rPr>
          <w:rFonts w:ascii="MS PGothic" w:cs="MS PGothic" w:eastAsia="MS PGothic" w:hAnsi="MS PGothic"/>
          <w:sz w:val="15"/>
          <w:szCs w:val="15"/>
          <w:color w:val="auto"/>
          <w:highlight w:val="black"/>
        </w:rPr>
      </w:pPr>
    </w:p>
    <w:p>
      <w:pPr>
        <w:ind w:left="1660" w:right="1099" w:hanging="293"/>
        <w:spacing w:after="0" w:line="288" w:lineRule="auto"/>
        <w:tabs>
          <w:tab w:leader="none" w:pos="1660" w:val="left"/>
        </w:tabs>
        <w:numPr>
          <w:ilvl w:val="0"/>
          <w:numId w:val="15"/>
        </w:numPr>
        <w:rPr>
          <w:rFonts w:ascii="MS PGothic" w:cs="MS PGothic" w:eastAsia="MS PGothic" w:hAnsi="MS PGothic"/>
          <w:sz w:val="15"/>
          <w:szCs w:val="15"/>
          <w:color w:val="auto"/>
          <w:highlight w:val="black"/>
        </w:rPr>
      </w:pPr>
      <w:r>
        <w:rPr>
          <w:rFonts w:ascii="Arial" w:cs="Arial" w:eastAsia="Arial" w:hAnsi="Arial"/>
          <w:sz w:val="15"/>
          <w:szCs w:val="15"/>
          <w:color w:val="auto"/>
        </w:rPr>
        <w:t>Determination of the annual incentive compensation pool is based on the Company’s performance against established financial objectives</w:t>
      </w:r>
    </w:p>
    <w:p>
      <w:pPr>
        <w:spacing w:after="0" w:line="72" w:lineRule="exact"/>
        <w:rPr>
          <w:rFonts w:ascii="MS PGothic" w:cs="MS PGothic" w:eastAsia="MS PGothic" w:hAnsi="MS PGothic"/>
          <w:sz w:val="15"/>
          <w:szCs w:val="15"/>
          <w:color w:val="auto"/>
          <w:highlight w:val="black"/>
        </w:rPr>
      </w:pPr>
    </w:p>
    <w:p>
      <w:pPr>
        <w:ind w:left="1660" w:right="1179" w:hanging="293"/>
        <w:spacing w:after="0" w:line="287" w:lineRule="auto"/>
        <w:tabs>
          <w:tab w:leader="none" w:pos="1660" w:val="left"/>
        </w:tabs>
        <w:numPr>
          <w:ilvl w:val="0"/>
          <w:numId w:val="15"/>
        </w:numPr>
        <w:rPr>
          <w:rFonts w:ascii="MS PGothic" w:cs="MS PGothic" w:eastAsia="MS PGothic" w:hAnsi="MS PGothic"/>
          <w:sz w:val="15"/>
          <w:szCs w:val="15"/>
          <w:color w:val="auto"/>
          <w:highlight w:val="black"/>
        </w:rPr>
      </w:pPr>
      <w:r>
        <w:rPr>
          <w:rFonts w:ascii="Arial" w:cs="Arial" w:eastAsia="Arial" w:hAnsi="Arial"/>
          <w:sz w:val="15"/>
          <w:szCs w:val="15"/>
          <w:color w:val="auto"/>
        </w:rPr>
        <w:t>Determination of annual incentive compensation is based on performance against a scorecard with defined goals</w:t>
      </w:r>
    </w:p>
    <w:p>
      <w:pPr>
        <w:spacing w:after="0" w:line="62" w:lineRule="exact"/>
        <w:rPr>
          <w:rFonts w:ascii="MS PGothic" w:cs="MS PGothic" w:eastAsia="MS PGothic" w:hAnsi="MS PGothic"/>
          <w:sz w:val="15"/>
          <w:szCs w:val="15"/>
          <w:color w:val="auto"/>
          <w:highlight w:val="black"/>
        </w:rPr>
      </w:pPr>
    </w:p>
    <w:p>
      <w:pPr>
        <w:ind w:left="1660" w:right="1879" w:hanging="293"/>
        <w:spacing w:after="0" w:line="287" w:lineRule="auto"/>
        <w:tabs>
          <w:tab w:leader="none" w:pos="1660" w:val="left"/>
        </w:tabs>
        <w:numPr>
          <w:ilvl w:val="0"/>
          <w:numId w:val="15"/>
        </w:numPr>
        <w:rPr>
          <w:rFonts w:ascii="MS PGothic" w:cs="MS PGothic" w:eastAsia="MS PGothic" w:hAnsi="MS PGothic"/>
          <w:sz w:val="15"/>
          <w:szCs w:val="15"/>
          <w:color w:val="auto"/>
          <w:highlight w:val="black"/>
        </w:rPr>
      </w:pPr>
      <w:r>
        <w:rPr>
          <w:rFonts w:ascii="Arial" w:cs="Arial" w:eastAsia="Arial" w:hAnsi="Arial"/>
          <w:sz w:val="15"/>
          <w:szCs w:val="15"/>
          <w:color w:val="auto"/>
        </w:rPr>
        <w:t>Eligibility for payment of annual incentive compensation is tied to financial effectiveness, compliance performance and leadership effectiveness</w:t>
      </w:r>
    </w:p>
    <w:p>
      <w:pPr>
        <w:spacing w:after="0" w:line="73" w:lineRule="exact"/>
        <w:rPr>
          <w:rFonts w:ascii="MS PGothic" w:cs="MS PGothic" w:eastAsia="MS PGothic" w:hAnsi="MS PGothic"/>
          <w:sz w:val="15"/>
          <w:szCs w:val="15"/>
          <w:color w:val="auto"/>
          <w:highlight w:val="black"/>
        </w:rPr>
      </w:pPr>
    </w:p>
    <w:p>
      <w:pPr>
        <w:ind w:left="1660" w:right="1279" w:hanging="293"/>
        <w:spacing w:after="0" w:line="264" w:lineRule="auto"/>
        <w:tabs>
          <w:tab w:leader="none" w:pos="1660" w:val="left"/>
        </w:tabs>
        <w:numPr>
          <w:ilvl w:val="0"/>
          <w:numId w:val="15"/>
        </w:numPr>
        <w:rPr>
          <w:rFonts w:ascii="MS PGothic" w:cs="MS PGothic" w:eastAsia="MS PGothic" w:hAnsi="MS PGothic"/>
          <w:sz w:val="15"/>
          <w:szCs w:val="15"/>
          <w:color w:val="auto"/>
          <w:highlight w:val="black"/>
        </w:rPr>
      </w:pPr>
      <w:r>
        <w:rPr>
          <w:rFonts w:ascii="Arial" w:cs="Arial" w:eastAsia="Arial" w:hAnsi="Arial"/>
          <w:sz w:val="15"/>
          <w:szCs w:val="15"/>
          <w:color w:val="auto"/>
        </w:rPr>
        <w:t>Includes components based on Company and stock performance over a multi-year period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3" w:name="page14"/>
    <w:bookmarkEnd w:id="13"/>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Altisource Portfolio Solutions S.A.</w:t>
      </w:r>
    </w:p>
    <w:p>
      <w:pPr>
        <w:spacing w:after="0" w:line="1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Joint Proxy Statement</w:t>
      </w:r>
    </w:p>
    <w:p>
      <w:pPr>
        <w:spacing w:after="0" w:line="8" w:lineRule="exact"/>
        <w:rPr>
          <w:sz w:val="20"/>
          <w:szCs w:val="20"/>
          <w:color w:val="auto"/>
        </w:rPr>
      </w:pPr>
    </w:p>
    <w:p>
      <w:pPr>
        <w:ind w:left="1060" w:right="1179"/>
        <w:spacing w:after="0" w:line="275" w:lineRule="auto"/>
        <w:rPr>
          <w:sz w:val="20"/>
          <w:szCs w:val="20"/>
          <w:color w:val="auto"/>
        </w:rPr>
      </w:pPr>
      <w:r>
        <w:rPr>
          <w:rFonts w:ascii="Arial" w:cs="Arial" w:eastAsia="Arial" w:hAnsi="Arial"/>
          <w:sz w:val="18"/>
          <w:szCs w:val="18"/>
          <w:b w:val="1"/>
          <w:bCs w:val="1"/>
          <w:color w:val="auto"/>
        </w:rPr>
        <w:t>Annual General Meeting of Shareholders and Extraordinary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-9525</wp:posOffset>
            </wp:positionV>
            <wp:extent cx="436753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67530" cy="6985"/>
                    </a:xfrm>
                    <a:prstGeom prst="rect">
                      <a:avLst/>
                    </a:prstGeom>
                    <a:noFill/>
                  </pic:spPr>
                </pic:pic>
              </a:graphicData>
            </a:graphic>
          </wp:anchor>
        </w:drawing>
      </w:r>
    </w:p>
    <w:p>
      <w:pPr>
        <w:spacing w:after="0" w:line="92"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General Information</w:t>
      </w:r>
    </w:p>
    <w:p>
      <w:pPr>
        <w:spacing w:after="0" w:line="103" w:lineRule="exact"/>
        <w:rPr>
          <w:sz w:val="20"/>
          <w:szCs w:val="20"/>
          <w:color w:val="auto"/>
        </w:rPr>
      </w:pPr>
    </w:p>
    <w:p>
      <w:pPr>
        <w:ind w:left="1060" w:right="1119"/>
        <w:spacing w:after="0" w:line="256" w:lineRule="auto"/>
        <w:rPr>
          <w:sz w:val="20"/>
          <w:szCs w:val="20"/>
          <w:color w:val="auto"/>
        </w:rPr>
      </w:pPr>
      <w:r>
        <w:rPr>
          <w:rFonts w:ascii="Arial" w:cs="Arial" w:eastAsia="Arial" w:hAnsi="Arial"/>
          <w:sz w:val="15"/>
          <w:szCs w:val="15"/>
          <w:color w:val="auto"/>
        </w:rPr>
        <w:t>We have made this proxy statement available to you on or about March 31, 2025 as a holder of common stock of Altisource Portfolio Solutions S.A. (“Altisource” or the “Company”) because our Board is soliciting your proxy to be used at our Annual Meeting and our Extraordinary Meeting, and any adjournment or postponement thereof. The Annual Meeting will be held on Tuesday, May 13, 2025, at 9:00 a.m. Central European Time for the purposes listed in the Notice of Annual General Meeting of Shareholders. The Extraordinary Meeting will be held on the same day at 9:30 a.m. Central European Time for the purposes listed in the Notice of Extraordinary General Meeting of Shareholders. Both meetings will be held at our registered office located at 33, Boulevard Prince Henri, L-1724 Luxembourg City, Grand Duchy of Luxembourg.</w:t>
      </w:r>
    </w:p>
    <w:p>
      <w:pPr>
        <w:spacing w:after="0" w:line="331"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Internet Availability of Proxy Materials</w:t>
      </w:r>
    </w:p>
    <w:p>
      <w:pPr>
        <w:spacing w:after="0" w:line="92" w:lineRule="exact"/>
        <w:rPr>
          <w:sz w:val="20"/>
          <w:szCs w:val="20"/>
          <w:color w:val="auto"/>
        </w:rPr>
      </w:pPr>
    </w:p>
    <w:p>
      <w:pPr>
        <w:ind w:left="1060" w:right="1139"/>
        <w:spacing w:after="0" w:line="255" w:lineRule="auto"/>
        <w:rPr>
          <w:sz w:val="20"/>
          <w:szCs w:val="20"/>
          <w:color w:val="auto"/>
        </w:rPr>
      </w:pPr>
      <w:r>
        <w:rPr>
          <w:rFonts w:ascii="Arial" w:cs="Arial" w:eastAsia="Arial" w:hAnsi="Arial"/>
          <w:sz w:val="15"/>
          <w:szCs w:val="15"/>
          <w:color w:val="auto"/>
        </w:rPr>
        <w:t>Consistent with historical practice, we are using the “Notice and Access” method of furnishing proxy materials to our beneficial shareholders via the Internet, instead of mailing printed copies of those materials to each shareholder. By doing so, we reduce the environmental impact of the meeting and save costs. On March 31, 2025, we expect to commence mailing a Notice of Internet Availability of Proxy Materials (the “Notice”) to shareholders of record at the close of business on March 17, 2025. The Notice contains instructions about how to access our proxy materials. If you would like to receive a paper copy of our proxy materials, please follow the instructions included in the Notice. Beneficial shareholders, other than those who previously chose to receive our proxy materials in paper format, will receive an email with links to the online proxy materials. If you previously requested to receive paper copies of the proxy materials by mail, you will receive the proxy materials by mail until you elect otherwise.</w:t>
      </w:r>
    </w:p>
    <w:p>
      <w:pPr>
        <w:spacing w:after="0" w:line="280" w:lineRule="exact"/>
        <w:rPr>
          <w:sz w:val="20"/>
          <w:szCs w:val="20"/>
          <w:color w:val="auto"/>
        </w:rPr>
      </w:pPr>
    </w:p>
    <w:p>
      <w:pPr>
        <w:ind w:left="1060" w:right="1179"/>
        <w:spacing w:after="0" w:line="262" w:lineRule="auto"/>
        <w:rPr>
          <w:sz w:val="20"/>
          <w:szCs w:val="20"/>
          <w:color w:val="auto"/>
        </w:rPr>
      </w:pPr>
      <w:r>
        <w:rPr>
          <w:rFonts w:ascii="Arial" w:cs="Arial" w:eastAsia="Arial" w:hAnsi="Arial"/>
          <w:sz w:val="15"/>
          <w:szCs w:val="15"/>
          <w:color w:val="auto"/>
        </w:rPr>
        <w:t>Shareholders of record will receive a paper copy of the proxy materials for the Annual Meeting and the Extraordinary Meeting by mail except to the extent they previously requested or authorized delivery of proxy materials electronically. The proxy card included with the proxy materials contains instructions on how to request electronic delivery of future proxy materials for the Annual Meeting.</w:t>
      </w:r>
    </w:p>
    <w:p>
      <w:pPr>
        <w:spacing w:after="0" w:line="328"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Who May Vote</w:t>
      </w:r>
    </w:p>
    <w:p>
      <w:pPr>
        <w:spacing w:after="0" w:line="92" w:lineRule="exact"/>
        <w:rPr>
          <w:sz w:val="20"/>
          <w:szCs w:val="20"/>
          <w:color w:val="auto"/>
        </w:rPr>
      </w:pPr>
    </w:p>
    <w:p>
      <w:pPr>
        <w:ind w:left="1060" w:right="1099"/>
        <w:spacing w:after="0" w:line="256" w:lineRule="auto"/>
        <w:rPr>
          <w:sz w:val="20"/>
          <w:szCs w:val="20"/>
          <w:color w:val="auto"/>
        </w:rPr>
      </w:pPr>
      <w:r>
        <w:rPr>
          <w:rFonts w:ascii="Arial" w:cs="Arial" w:eastAsia="Arial" w:hAnsi="Arial"/>
          <w:sz w:val="15"/>
          <w:szCs w:val="15"/>
          <w:color w:val="auto"/>
        </w:rPr>
        <w:t>You are entitled to vote at the Annual Meeting and the Extraordinary Meeting, and any adjournment or postponement thereof, if you were a holder of our common stock at the close of business on March 17, 2025, the record date for the Meetings. At the close of business on March 17, 2025, there were 88,129,766 shares of common stock issued, of which</w:t>
      </w:r>
    </w:p>
    <w:p>
      <w:pPr>
        <w:spacing w:after="0" w:line="2" w:lineRule="exact"/>
        <w:rPr>
          <w:sz w:val="20"/>
          <w:szCs w:val="20"/>
          <w:color w:val="auto"/>
        </w:rPr>
      </w:pPr>
    </w:p>
    <w:p>
      <w:pPr>
        <w:ind w:left="1060" w:right="1439"/>
        <w:spacing w:after="0" w:line="257" w:lineRule="auto"/>
        <w:rPr>
          <w:sz w:val="20"/>
          <w:szCs w:val="20"/>
          <w:color w:val="auto"/>
        </w:rPr>
      </w:pPr>
      <w:r>
        <w:rPr>
          <w:rFonts w:ascii="Arial" w:cs="Arial" w:eastAsia="Arial" w:hAnsi="Arial"/>
          <w:sz w:val="15"/>
          <w:szCs w:val="15"/>
          <w:color w:val="auto"/>
        </w:rPr>
        <w:t>87,511,479 are outstanding and able to be voted, and there was no other class of equity securities outstanding. Each share of our common stock is entitled to one (1) vote at the Annual Meeting and one (1) vote at the Extraordinary Meeting on all matters properly presented for a vote at such meetings.</w:t>
      </w:r>
    </w:p>
    <w:p>
      <w:pPr>
        <w:spacing w:after="0" w:line="148"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Voting Procedures</w:t>
      </w:r>
    </w:p>
    <w:p>
      <w:pPr>
        <w:spacing w:after="0" w:line="92" w:lineRule="exact"/>
        <w:rPr>
          <w:sz w:val="20"/>
          <w:szCs w:val="20"/>
          <w:color w:val="auto"/>
        </w:rPr>
      </w:pPr>
    </w:p>
    <w:p>
      <w:pPr>
        <w:jc w:val="both"/>
        <w:ind w:left="1060" w:right="1259"/>
        <w:spacing w:after="0" w:line="279" w:lineRule="auto"/>
        <w:rPr>
          <w:sz w:val="20"/>
          <w:szCs w:val="20"/>
          <w:color w:val="auto"/>
        </w:rPr>
      </w:pPr>
      <w:r>
        <w:rPr>
          <w:rFonts w:ascii="Arial" w:cs="Arial" w:eastAsia="Arial" w:hAnsi="Arial"/>
          <w:sz w:val="15"/>
          <w:szCs w:val="15"/>
          <w:color w:val="auto"/>
        </w:rPr>
        <w:t>If you are a shareholder of record, which means you hold your shares through an account with our transfer agent, Equiniti Trust Company, LLC, you may vote by one of the following options:</w:t>
      </w:r>
    </w:p>
    <w:p>
      <w:pPr>
        <w:spacing w:after="0" w:line="266"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For the Annual Meeting</w:t>
      </w:r>
    </w:p>
    <w:p>
      <w:pPr>
        <w:spacing w:after="0" w:line="99" w:lineRule="exact"/>
        <w:rPr>
          <w:sz w:val="20"/>
          <w:szCs w:val="20"/>
          <w:color w:val="auto"/>
        </w:rPr>
      </w:pPr>
    </w:p>
    <w:p>
      <w:pPr>
        <w:ind w:left="1520" w:right="1279" w:hanging="153"/>
        <w:spacing w:after="0" w:line="287" w:lineRule="auto"/>
        <w:tabs>
          <w:tab w:leader="none" w:pos="15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 xml:space="preserve">Over the Internet, at </w:t>
      </w:r>
      <w:r>
        <w:rPr>
          <w:rFonts w:ascii="Arial" w:cs="Arial" w:eastAsia="Arial" w:hAnsi="Arial"/>
          <w:sz w:val="15"/>
          <w:szCs w:val="15"/>
          <w:u w:val="single" w:color="auto"/>
          <w:color w:val="auto"/>
        </w:rPr>
        <w:t>www.proxyvote.com</w:t>
      </w:r>
      <w:r>
        <w:rPr>
          <w:rFonts w:ascii="Arial" w:cs="Arial" w:eastAsia="Arial" w:hAnsi="Arial"/>
          <w:sz w:val="15"/>
          <w:szCs w:val="15"/>
          <w:color w:val="auto"/>
        </w:rPr>
        <w:t>, by following the instructions on your proxy card or the instructions that you received by email; or</w:t>
      </w:r>
    </w:p>
    <w:p>
      <w:pPr>
        <w:spacing w:after="0" w:line="39" w:lineRule="exact"/>
        <w:rPr>
          <w:rFonts w:ascii="Arial" w:cs="Arial" w:eastAsia="Arial" w:hAnsi="Arial"/>
          <w:sz w:val="15"/>
          <w:szCs w:val="15"/>
          <w:color w:val="auto"/>
        </w:rPr>
      </w:pPr>
    </w:p>
    <w:p>
      <w:pPr>
        <w:ind w:left="1520" w:hanging="153"/>
        <w:spacing w:after="0"/>
        <w:tabs>
          <w:tab w:leader="none" w:pos="15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By completing, dating, signing and returning the proxy card by mail.</w:t>
      </w:r>
    </w:p>
    <w:p>
      <w:pPr>
        <w:spacing w:after="0" w:line="133"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For the Extraordinary Meeting</w:t>
      </w:r>
    </w:p>
    <w:p>
      <w:pPr>
        <w:spacing w:after="0" w:line="99" w:lineRule="exact"/>
        <w:rPr>
          <w:sz w:val="20"/>
          <w:szCs w:val="20"/>
          <w:color w:val="auto"/>
        </w:rPr>
      </w:pPr>
    </w:p>
    <w:p>
      <w:pPr>
        <w:ind w:left="4420" w:right="2499" w:hanging="3053"/>
        <w:spacing w:after="0" w:line="492" w:lineRule="auto"/>
        <w:tabs>
          <w:tab w:leader="none" w:pos="1517" w:val="left"/>
        </w:tabs>
        <w:numPr>
          <w:ilvl w:val="0"/>
          <w:numId w:val="17"/>
        </w:numPr>
        <w:rPr>
          <w:rFonts w:ascii="Arial" w:cs="Arial" w:eastAsia="Arial" w:hAnsi="Arial"/>
          <w:sz w:val="15"/>
          <w:szCs w:val="15"/>
          <w:color w:val="auto"/>
        </w:rPr>
      </w:pPr>
      <w:r>
        <w:rPr>
          <w:rFonts w:ascii="Arial" w:cs="Arial" w:eastAsia="Arial" w:hAnsi="Arial"/>
          <w:sz w:val="15"/>
          <w:szCs w:val="15"/>
          <w:color w:val="auto"/>
        </w:rPr>
        <w:t>By completing, dating, signing and returning the proxy card by mail.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426085</wp:posOffset>
            </wp:positionV>
            <wp:extent cx="572897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4" w:name="page15"/>
    <w:bookmarkEnd w:id="14"/>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6" w:lineRule="exact"/>
        <w:rPr>
          <w:sz w:val="20"/>
          <w:szCs w:val="20"/>
          <w:color w:val="auto"/>
        </w:rPr>
      </w:pPr>
    </w:p>
    <w:p>
      <w:pPr>
        <w:ind w:left="596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JOINT PROXY STATEMENT</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-181610</wp:posOffset>
            </wp:positionV>
            <wp:extent cx="1264285" cy="1219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64285" cy="121920"/>
                    </a:xfrm>
                    <a:prstGeom prst="rect">
                      <a:avLst/>
                    </a:prstGeom>
                    <a:noFill/>
                  </pic:spPr>
                </pic:pic>
              </a:graphicData>
            </a:graphic>
          </wp:anchor>
        </w:drawing>
      </w:r>
    </w:p>
    <w:p>
      <w:pPr>
        <w:spacing w:after="0" w:line="97" w:lineRule="exact"/>
        <w:rPr>
          <w:sz w:val="20"/>
          <w:szCs w:val="20"/>
          <w:color w:val="auto"/>
        </w:rPr>
      </w:pPr>
    </w:p>
    <w:p>
      <w:pPr>
        <w:ind w:left="1060" w:right="1319"/>
        <w:spacing w:after="0" w:line="254" w:lineRule="auto"/>
        <w:rPr>
          <w:sz w:val="20"/>
          <w:szCs w:val="20"/>
          <w:color w:val="auto"/>
        </w:rPr>
      </w:pPr>
      <w:r>
        <w:rPr>
          <w:rFonts w:ascii="Arial" w:cs="Arial" w:eastAsia="Arial" w:hAnsi="Arial"/>
          <w:sz w:val="15"/>
          <w:szCs w:val="15"/>
          <w:color w:val="auto"/>
        </w:rPr>
        <w:t>If you are a beneficial holder, meaning you hold your shares in “street name” through an account with a bank or broker, please follow the voting directions on the voting instruction form that your bank or broker provides to you.</w:t>
      </w:r>
    </w:p>
    <w:p>
      <w:pPr>
        <w:spacing w:after="0" w:line="86" w:lineRule="exact"/>
        <w:rPr>
          <w:sz w:val="20"/>
          <w:szCs w:val="20"/>
          <w:color w:val="auto"/>
        </w:rPr>
      </w:pPr>
    </w:p>
    <w:p>
      <w:pPr>
        <w:ind w:left="1060" w:right="1579"/>
        <w:spacing w:after="0" w:line="264" w:lineRule="auto"/>
        <w:rPr>
          <w:sz w:val="20"/>
          <w:szCs w:val="20"/>
          <w:color w:val="auto"/>
        </w:rPr>
      </w:pPr>
      <w:r>
        <w:rPr>
          <w:rFonts w:ascii="Arial" w:cs="Arial" w:eastAsia="Arial" w:hAnsi="Arial"/>
          <w:sz w:val="15"/>
          <w:szCs w:val="15"/>
          <w:color w:val="auto"/>
        </w:rPr>
        <w:t>Your ability to vote over the Internet depends on the voting procedures of your bank or broker.</w:t>
      </w:r>
    </w:p>
    <w:p>
      <w:pPr>
        <w:spacing w:after="0" w:line="297" w:lineRule="exact"/>
        <w:rPr>
          <w:sz w:val="20"/>
          <w:szCs w:val="20"/>
          <w:color w:val="auto"/>
        </w:rPr>
      </w:pPr>
    </w:p>
    <w:p>
      <w:pPr>
        <w:ind w:left="1060" w:right="1659"/>
        <w:spacing w:after="0" w:line="262" w:lineRule="auto"/>
        <w:rPr>
          <w:sz w:val="20"/>
          <w:szCs w:val="20"/>
          <w:color w:val="auto"/>
        </w:rPr>
      </w:pPr>
      <w:r>
        <w:rPr>
          <w:rFonts w:ascii="Arial" w:cs="Arial" w:eastAsia="Arial" w:hAnsi="Arial"/>
          <w:sz w:val="15"/>
          <w:szCs w:val="15"/>
          <w:color w:val="auto"/>
        </w:rPr>
        <w:t>If you vote over the Internet, your vote must be received by Altisource no later than 9:59 p.m. Central European Time (3:59 p.m. Eastern Time) on May 12, 2025, to allow sufficient time to tabulate the votes prior to the start of the meeting.</w:t>
      </w:r>
    </w:p>
    <w:p>
      <w:pPr>
        <w:spacing w:after="0" w:line="80" w:lineRule="exact"/>
        <w:rPr>
          <w:sz w:val="20"/>
          <w:szCs w:val="20"/>
          <w:color w:val="auto"/>
        </w:rPr>
      </w:pPr>
    </w:p>
    <w:p>
      <w:pPr>
        <w:ind w:left="1060" w:right="1119"/>
        <w:spacing w:after="0" w:line="249" w:lineRule="auto"/>
        <w:rPr>
          <w:sz w:val="20"/>
          <w:szCs w:val="20"/>
          <w:color w:val="auto"/>
        </w:rPr>
      </w:pPr>
      <w:r>
        <w:rPr>
          <w:rFonts w:ascii="Arial" w:cs="Arial" w:eastAsia="Arial" w:hAnsi="Arial"/>
          <w:sz w:val="15"/>
          <w:szCs w:val="15"/>
          <w:color w:val="auto"/>
        </w:rPr>
        <w:t>Shareholders may also vote in person at the meeting. All shareholders must present proof of share ownership as of the record date and valid government -issued photo identification to vote in person at the meeting. If a bank or broker holds your shares, you must also obtain and present a “legal proxy” from the holder of record to vote at the meeting. For specific instructions, please refer to the proxy card, Notice or email notification you receive.</w:t>
      </w:r>
    </w:p>
    <w:p>
      <w:pPr>
        <w:spacing w:after="0" w:line="142" w:lineRule="exact"/>
        <w:rPr>
          <w:sz w:val="20"/>
          <w:szCs w:val="20"/>
          <w:color w:val="auto"/>
        </w:rPr>
      </w:pPr>
    </w:p>
    <w:p>
      <w:pPr>
        <w:ind w:left="1060" w:right="1119"/>
        <w:spacing w:after="0" w:line="256" w:lineRule="auto"/>
        <w:rPr>
          <w:sz w:val="20"/>
          <w:szCs w:val="20"/>
          <w:color w:val="auto"/>
        </w:rPr>
      </w:pPr>
      <w:r>
        <w:rPr>
          <w:rFonts w:ascii="Arial" w:cs="Arial" w:eastAsia="Arial" w:hAnsi="Arial"/>
          <w:sz w:val="17"/>
          <w:szCs w:val="17"/>
          <w:b w:val="1"/>
          <w:bCs w:val="1"/>
          <w:color w:val="auto"/>
        </w:rPr>
        <w:t>Even if you plan to attend the meeting, we recommend that you vote your shares in advance of the meeting in one of the manners available to you so that your vote will be counted if later you are unable to attend in person.</w:t>
      </w:r>
    </w:p>
    <w:p>
      <w:pPr>
        <w:spacing w:after="0" w:line="121"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How a Proxy Works</w:t>
      </w:r>
    </w:p>
    <w:p>
      <w:pPr>
        <w:spacing w:after="0" w:line="103" w:lineRule="exact"/>
        <w:rPr>
          <w:sz w:val="20"/>
          <w:szCs w:val="20"/>
          <w:color w:val="auto"/>
        </w:rPr>
      </w:pPr>
    </w:p>
    <w:p>
      <w:pPr>
        <w:ind w:left="1060" w:right="1119"/>
        <w:spacing w:after="0" w:line="244" w:lineRule="auto"/>
        <w:rPr>
          <w:sz w:val="20"/>
          <w:szCs w:val="20"/>
          <w:color w:val="auto"/>
        </w:rPr>
      </w:pPr>
      <w:r>
        <w:rPr>
          <w:rFonts w:ascii="Arial" w:cs="Arial" w:eastAsia="Arial" w:hAnsi="Arial"/>
          <w:sz w:val="15"/>
          <w:szCs w:val="15"/>
          <w:color w:val="auto"/>
        </w:rPr>
        <w:t>If you properly submit your proxy as instructed, and do not revoke it prior to its use, it will be voted in accordance with your instructions. Other than as discussed below with respect to “broker non- votes,” if no contrary instructions are given, each proxy received for the Annual Meeting will be voted “FOR” each of the nominees for Director named in this proxy statement and “FOR” each of the other proposals identified in the agenda for the Annual Meeting; each proxy received for the Extraordinary Meeting will be voted “FOR” the proposals identified in the agenda for the Extraordinary Meeting; and, with regard to any other business that properly comes before either meeting, each proxy will be voted in accordance with the discretion of the persons appointed as proxies.</w:t>
      </w:r>
    </w:p>
    <w:p>
      <w:pPr>
        <w:spacing w:after="0" w:line="271" w:lineRule="exact"/>
        <w:rPr>
          <w:sz w:val="20"/>
          <w:szCs w:val="20"/>
          <w:color w:val="auto"/>
        </w:rPr>
      </w:pPr>
    </w:p>
    <w:p>
      <w:pPr>
        <w:ind w:left="1060" w:right="1099"/>
        <w:spacing w:after="0" w:line="245" w:lineRule="auto"/>
        <w:rPr>
          <w:sz w:val="20"/>
          <w:szCs w:val="20"/>
          <w:color w:val="auto"/>
        </w:rPr>
      </w:pPr>
      <w:r>
        <w:rPr>
          <w:rFonts w:ascii="Arial" w:cs="Arial" w:eastAsia="Arial" w:hAnsi="Arial"/>
          <w:sz w:val="15"/>
          <w:szCs w:val="15"/>
          <w:color w:val="auto"/>
        </w:rPr>
        <w:t>If the shares you own are held by a bank or broker and you do not provide specific voting instructions to your bank or broker on a “non-routine” item as defined by the New York Stock Exchange, the bank or broker will be prohibited from voting your shares for proposals on non-routine items. This is commonly referred to as a “broker non-vote.” All of our proposals other than the Approval of Appointment of Independent Registered Accounting Firm and Certified Auditor Proposal and the Share Consolidation Proposal are expected to be “non-routine” item proposals; therefore, if you do not instruct your bank or broker how to vote your shares with respect to these proposals, your shares will not be counted.</w:t>
      </w:r>
    </w:p>
    <w:p>
      <w:pPr>
        <w:spacing w:after="0" w:line="159"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How to Revoke a Proxy or, if You Are a Beneficial Owner, Change Your Vote</w:t>
      </w:r>
    </w:p>
    <w:p>
      <w:pPr>
        <w:spacing w:after="0" w:line="92" w:lineRule="exact"/>
        <w:rPr>
          <w:sz w:val="20"/>
          <w:szCs w:val="20"/>
          <w:color w:val="auto"/>
        </w:rPr>
      </w:pPr>
    </w:p>
    <w:p>
      <w:pPr>
        <w:ind w:left="1060" w:right="1359"/>
        <w:spacing w:after="0" w:line="262" w:lineRule="auto"/>
        <w:rPr>
          <w:sz w:val="20"/>
          <w:szCs w:val="20"/>
          <w:color w:val="auto"/>
        </w:rPr>
      </w:pPr>
      <w:r>
        <w:rPr>
          <w:rFonts w:ascii="Arial" w:cs="Arial" w:eastAsia="Arial" w:hAnsi="Arial"/>
          <w:sz w:val="15"/>
          <w:szCs w:val="15"/>
          <w:color w:val="auto"/>
        </w:rPr>
        <w:t>Your proxy may be used only at the relevant meetings and any adjournment or postponement thereof and may not be used for any other meeting. You have the power to revoke your proxy at any time before it is exercised by</w:t>
      </w:r>
    </w:p>
    <w:p>
      <w:pPr>
        <w:spacing w:after="0" w:line="35"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 providing written notice, received by our Corporate Secretary at the following address:</w:t>
      </w:r>
    </w:p>
    <w:p>
      <w:pPr>
        <w:spacing w:after="0" w:line="133"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Gregory J. Ritts, Corporate Secretary</w:t>
      </w:r>
    </w:p>
    <w:p>
      <w:pPr>
        <w:spacing w:after="0" w:line="11"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Altisource Portfolio Solutions S.A.</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33, Boulevard Prince Henri</w:t>
      </w:r>
    </w:p>
    <w:p>
      <w:pPr>
        <w:ind w:left="1980"/>
        <w:spacing w:after="0" w:line="236" w:lineRule="auto"/>
        <w:rPr>
          <w:sz w:val="20"/>
          <w:szCs w:val="20"/>
          <w:color w:val="auto"/>
        </w:rPr>
      </w:pPr>
      <w:r>
        <w:rPr>
          <w:rFonts w:ascii="Arial" w:cs="Arial" w:eastAsia="Arial" w:hAnsi="Arial"/>
          <w:sz w:val="15"/>
          <w:szCs w:val="15"/>
          <w:color w:val="auto"/>
        </w:rPr>
        <w:t>L-1724 Luxembourg City</w:t>
      </w:r>
    </w:p>
    <w:p>
      <w:pPr>
        <w:ind w:left="1980"/>
        <w:spacing w:after="0"/>
        <w:rPr>
          <w:sz w:val="20"/>
          <w:szCs w:val="20"/>
          <w:color w:val="auto"/>
        </w:rPr>
      </w:pPr>
      <w:r>
        <w:rPr>
          <w:rFonts w:ascii="Arial" w:cs="Arial" w:eastAsia="Arial" w:hAnsi="Arial"/>
          <w:sz w:val="15"/>
          <w:szCs w:val="15"/>
          <w:color w:val="auto"/>
        </w:rPr>
        <w:t>Grand Duchy of Luxembourg;</w:t>
      </w:r>
    </w:p>
    <w:p>
      <w:pPr>
        <w:spacing w:after="0" w:line="74" w:lineRule="exact"/>
        <w:rPr>
          <w:sz w:val="20"/>
          <w:szCs w:val="20"/>
          <w:color w:val="auto"/>
        </w:rPr>
      </w:pPr>
    </w:p>
    <w:p>
      <w:pPr>
        <w:ind w:left="1520" w:hanging="153"/>
        <w:spacing w:after="0"/>
        <w:tabs>
          <w:tab w:leader="none" w:pos="15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submitting a properly executed proxy bearing a later date; or</w:t>
      </w:r>
    </w:p>
    <w:p>
      <w:pPr>
        <w:spacing w:after="0" w:line="87" w:lineRule="exact"/>
        <w:rPr>
          <w:rFonts w:ascii="Arial" w:cs="Arial" w:eastAsia="Arial" w:hAnsi="Arial"/>
          <w:sz w:val="15"/>
          <w:szCs w:val="15"/>
          <w:color w:val="auto"/>
        </w:rPr>
      </w:pPr>
    </w:p>
    <w:p>
      <w:pPr>
        <w:ind w:left="1520" w:right="1319" w:hanging="153"/>
        <w:spacing w:after="0" w:line="287" w:lineRule="auto"/>
        <w:tabs>
          <w:tab w:leader="none" w:pos="15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appearing at the relevant meeting and giving the Corporate Secretary notice of your intention to vote in person.</w:t>
      </w:r>
    </w:p>
    <w:p>
      <w:pPr>
        <w:spacing w:after="0" w:line="63" w:lineRule="exact"/>
        <w:rPr>
          <w:sz w:val="20"/>
          <w:szCs w:val="20"/>
          <w:color w:val="auto"/>
        </w:rPr>
      </w:pPr>
    </w:p>
    <w:p>
      <w:pPr>
        <w:ind w:left="1060" w:right="1159"/>
        <w:spacing w:after="0" w:line="269" w:lineRule="auto"/>
        <w:rPr>
          <w:sz w:val="20"/>
          <w:szCs w:val="20"/>
          <w:color w:val="auto"/>
        </w:rPr>
      </w:pPr>
      <w:r>
        <w:rPr>
          <w:rFonts w:ascii="Arial" w:cs="Arial" w:eastAsia="Arial" w:hAnsi="Arial"/>
          <w:sz w:val="15"/>
          <w:szCs w:val="15"/>
          <w:color w:val="auto"/>
        </w:rPr>
        <w:t>If you are a beneficial holder, meaning you hold your shares in “street name” through an account with a bank or broker, your bank or broker can provide you with instructions on how to change your vote.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5" w:name="page16"/>
    <w:bookmarkEnd w:id="15"/>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6" w:lineRule="exact"/>
        <w:rPr>
          <w:sz w:val="20"/>
          <w:szCs w:val="20"/>
          <w:color w:val="auto"/>
        </w:rPr>
      </w:pPr>
    </w:p>
    <w:p>
      <w:pPr>
        <w:jc w:val="right"/>
        <w:ind w:right="103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JOINT PROXY STATEMENT</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-181610</wp:posOffset>
            </wp:positionV>
            <wp:extent cx="1264285" cy="1219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64285" cy="121920"/>
                    </a:xfrm>
                    <a:prstGeom prst="rect">
                      <a:avLst/>
                    </a:prstGeom>
                    <a:noFill/>
                  </pic:spPr>
                </pic:pic>
              </a:graphicData>
            </a:graphic>
          </wp:anchor>
        </w:drawing>
      </w:r>
    </w:p>
    <w:p>
      <w:pPr>
        <w:spacing w:after="0" w:line="93"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Quorum and Voting Information</w:t>
      </w:r>
    </w:p>
    <w:p>
      <w:pPr>
        <w:spacing w:after="0" w:line="92" w:lineRule="exact"/>
        <w:rPr>
          <w:sz w:val="20"/>
          <w:szCs w:val="20"/>
          <w:color w:val="auto"/>
        </w:rPr>
      </w:pPr>
    </w:p>
    <w:p>
      <w:pPr>
        <w:ind w:left="1060" w:right="1219"/>
        <w:spacing w:after="0" w:line="260" w:lineRule="auto"/>
        <w:rPr>
          <w:sz w:val="20"/>
          <w:szCs w:val="20"/>
          <w:color w:val="auto"/>
        </w:rPr>
      </w:pPr>
      <w:r>
        <w:rPr>
          <w:rFonts w:ascii="Arial" w:cs="Arial" w:eastAsia="Arial" w:hAnsi="Arial"/>
          <w:sz w:val="15"/>
          <w:szCs w:val="15"/>
          <w:color w:val="auto"/>
        </w:rPr>
        <w:t>Although Luxembourg law does not require a quorum for the conduct of business at the Annual Meeting, in accordance with the requirements of the Nasdaq listing standards, the Company has established that the presence at the Annual Meeting of holders of at least thirty-three and one-third percent (33</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our issued and outstanding shares of common stock able to be voted, represented in person or by proxy, will constitute a quorum for the transaction of business at the Annual Meeting. Abstentions and “broker non-votes” will be treated as present for purposes of a quorum.</w:t>
      </w:r>
    </w:p>
    <w:p>
      <w:pPr>
        <w:spacing w:after="0" w:line="95" w:lineRule="exact"/>
        <w:rPr>
          <w:sz w:val="20"/>
          <w:szCs w:val="20"/>
          <w:color w:val="auto"/>
        </w:rPr>
      </w:pPr>
    </w:p>
    <w:p>
      <w:pPr>
        <w:ind w:left="1060" w:right="1099"/>
        <w:spacing w:after="0" w:line="253" w:lineRule="auto"/>
        <w:rPr>
          <w:sz w:val="20"/>
          <w:szCs w:val="20"/>
          <w:color w:val="auto"/>
        </w:rPr>
      </w:pPr>
      <w:r>
        <w:rPr>
          <w:rFonts w:ascii="Arial" w:cs="Arial" w:eastAsia="Arial" w:hAnsi="Arial"/>
          <w:sz w:val="15"/>
          <w:szCs w:val="15"/>
          <w:color w:val="auto"/>
        </w:rPr>
        <w:t>For the transaction of business at the Extraordinary Meeting, the presence of holders of at least fifty percent (50%) of our issued and outstanding shares of common stock able to be voted will constitute a quorum in accordance with Luxembourg law. Under Luxembourg law, if a quorum is not reached at an extraordinary meeting for the purpose of resolving on the agenda thereof, the meeting may be adjourned or postponed to a later time, or a subsequent Extraordinary Meeting may be scheduled, at which no quorum will be required, provided that certain notice procedures are fulfilled. In accordance with the requirements of the Nasdaq listing standards, in the event of such adjournment or postponement or scheduling of the Extraordinary Meeting, the Company will require a quorum of thirty-three and one-</w:t>
      </w:r>
    </w:p>
    <w:p>
      <w:pPr>
        <w:spacing w:after="0" w:line="2" w:lineRule="exact"/>
        <w:rPr>
          <w:sz w:val="20"/>
          <w:szCs w:val="20"/>
          <w:color w:val="auto"/>
        </w:rPr>
      </w:pPr>
    </w:p>
    <w:p>
      <w:pPr>
        <w:ind w:left="1060" w:right="1239"/>
        <w:spacing w:after="0" w:line="230" w:lineRule="auto"/>
        <w:rPr>
          <w:sz w:val="20"/>
          <w:szCs w:val="20"/>
          <w:color w:val="auto"/>
        </w:rPr>
      </w:pPr>
      <w:r>
        <w:rPr>
          <w:rFonts w:ascii="Arial" w:cs="Arial" w:eastAsia="Arial" w:hAnsi="Arial"/>
          <w:sz w:val="15"/>
          <w:szCs w:val="15"/>
          <w:color w:val="auto"/>
        </w:rPr>
        <w:t>third percent (33</w:t>
      </w:r>
      <w:r>
        <w:rPr>
          <w:rFonts w:ascii="Arial" w:cs="Arial" w:eastAsia="Arial" w:hAnsi="Arial"/>
          <w:sz w:val="21"/>
          <w:szCs w:val="21"/>
          <w:color w:val="auto"/>
          <w:vertAlign w:val="superscript"/>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our issued and outstanding shares of common stock able to be voted for the transaction of business. Abstentions and “broker non-votes” will be treated as present for purposes of a quorum.</w:t>
      </w:r>
    </w:p>
    <w:p>
      <w:pPr>
        <w:spacing w:after="0" w:line="96" w:lineRule="exact"/>
        <w:rPr>
          <w:sz w:val="20"/>
          <w:szCs w:val="20"/>
          <w:color w:val="auto"/>
        </w:rPr>
      </w:pPr>
    </w:p>
    <w:p>
      <w:pPr>
        <w:ind w:left="1060" w:right="1279"/>
        <w:spacing w:after="0" w:line="266" w:lineRule="auto"/>
        <w:rPr>
          <w:sz w:val="20"/>
          <w:szCs w:val="20"/>
          <w:color w:val="auto"/>
        </w:rPr>
      </w:pPr>
      <w:r>
        <w:rPr>
          <w:rFonts w:ascii="Arial" w:cs="Arial" w:eastAsia="Arial" w:hAnsi="Arial"/>
          <w:sz w:val="15"/>
          <w:szCs w:val="15"/>
          <w:color w:val="auto"/>
        </w:rPr>
        <w:t>Assuming a quorum, each of the seven (7) nominees for Director will be elected at the Annual Meeting so long as the votes cast in favor of each nominee exceeds the votes cast against the nominee. You may vote for, against or abstain from voting for one (1) or more nominees for Director.</w:t>
      </w:r>
    </w:p>
    <w:p>
      <w:pPr>
        <w:spacing w:after="0" w:line="275" w:lineRule="exact"/>
        <w:rPr>
          <w:sz w:val="20"/>
          <w:szCs w:val="20"/>
          <w:color w:val="auto"/>
        </w:rPr>
      </w:pPr>
    </w:p>
    <w:p>
      <w:pPr>
        <w:ind w:left="1060" w:right="1439"/>
        <w:spacing w:after="0" w:line="288" w:lineRule="auto"/>
        <w:rPr>
          <w:sz w:val="20"/>
          <w:szCs w:val="20"/>
          <w:color w:val="auto"/>
        </w:rPr>
      </w:pPr>
      <w:r>
        <w:rPr>
          <w:rFonts w:ascii="Arial" w:cs="Arial" w:eastAsia="Arial" w:hAnsi="Arial"/>
          <w:sz w:val="15"/>
          <w:szCs w:val="15"/>
          <w:color w:val="auto"/>
        </w:rPr>
        <w:t>The following Annual Meeting proposals will be approved if the votes cast in favor of the action exceed the votes cast against the action:</w:t>
      </w:r>
    </w:p>
    <w:p>
      <w:pPr>
        <w:spacing w:after="0" w:line="39" w:lineRule="exact"/>
        <w:rPr>
          <w:sz w:val="20"/>
          <w:szCs w:val="20"/>
          <w:color w:val="auto"/>
        </w:rPr>
      </w:pPr>
    </w:p>
    <w:p>
      <w:pPr>
        <w:ind w:left="1520" w:right="1139" w:hanging="153"/>
        <w:spacing w:after="0" w:line="288" w:lineRule="auto"/>
        <w:tabs>
          <w:tab w:leader="none" w:pos="15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Approval of Appointment of Independent Registered Accounting Firm and Certified Auditor Proposal;</w:t>
      </w:r>
    </w:p>
    <w:p>
      <w:pPr>
        <w:spacing w:after="0" w:line="38" w:lineRule="exact"/>
        <w:rPr>
          <w:rFonts w:ascii="Arial" w:cs="Arial" w:eastAsia="Arial" w:hAnsi="Arial"/>
          <w:sz w:val="15"/>
          <w:szCs w:val="15"/>
          <w:color w:val="auto"/>
        </w:rPr>
      </w:pPr>
    </w:p>
    <w:p>
      <w:pPr>
        <w:ind w:left="1520" w:hanging="153"/>
        <w:spacing w:after="0"/>
        <w:tabs>
          <w:tab w:leader="none" w:pos="15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Luxembourg Statutory Accounts Proposal;</w:t>
      </w:r>
    </w:p>
    <w:p>
      <w:pPr>
        <w:spacing w:after="0" w:line="99" w:lineRule="exact"/>
        <w:rPr>
          <w:rFonts w:ascii="Arial" w:cs="Arial" w:eastAsia="Arial" w:hAnsi="Arial"/>
          <w:sz w:val="15"/>
          <w:szCs w:val="15"/>
          <w:color w:val="auto"/>
        </w:rPr>
      </w:pPr>
    </w:p>
    <w:p>
      <w:pPr>
        <w:ind w:left="1520" w:hanging="153"/>
        <w:spacing w:after="0"/>
        <w:tabs>
          <w:tab w:leader="none" w:pos="15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Receipt of Directors’ Report Proposal;</w:t>
      </w:r>
    </w:p>
    <w:p>
      <w:pPr>
        <w:spacing w:after="0" w:line="99" w:lineRule="exact"/>
        <w:rPr>
          <w:rFonts w:ascii="Arial" w:cs="Arial" w:eastAsia="Arial" w:hAnsi="Arial"/>
          <w:sz w:val="15"/>
          <w:szCs w:val="15"/>
          <w:color w:val="auto"/>
        </w:rPr>
      </w:pPr>
    </w:p>
    <w:p>
      <w:pPr>
        <w:ind w:left="1520" w:hanging="153"/>
        <w:spacing w:after="0"/>
        <w:tabs>
          <w:tab w:leader="none" w:pos="15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Luxembourg Annual Accounts Allocation Proposal;</w:t>
      </w:r>
    </w:p>
    <w:p>
      <w:pPr>
        <w:spacing w:after="0" w:line="99" w:lineRule="exact"/>
        <w:rPr>
          <w:rFonts w:ascii="Arial" w:cs="Arial" w:eastAsia="Arial" w:hAnsi="Arial"/>
          <w:sz w:val="15"/>
          <w:szCs w:val="15"/>
          <w:color w:val="auto"/>
        </w:rPr>
      </w:pPr>
    </w:p>
    <w:p>
      <w:pPr>
        <w:ind w:left="1520" w:hanging="153"/>
        <w:spacing w:after="0"/>
        <w:tabs>
          <w:tab w:leader="none" w:pos="15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Discharge Proposal;</w:t>
      </w:r>
    </w:p>
    <w:p>
      <w:pPr>
        <w:spacing w:after="0" w:line="99" w:lineRule="exact"/>
        <w:rPr>
          <w:rFonts w:ascii="Arial" w:cs="Arial" w:eastAsia="Arial" w:hAnsi="Arial"/>
          <w:sz w:val="15"/>
          <w:szCs w:val="15"/>
          <w:color w:val="auto"/>
        </w:rPr>
      </w:pPr>
    </w:p>
    <w:p>
      <w:pPr>
        <w:ind w:left="1520" w:hanging="153"/>
        <w:spacing w:after="0"/>
        <w:tabs>
          <w:tab w:leader="none" w:pos="15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Say-on-Pay Proposal; and</w:t>
      </w:r>
    </w:p>
    <w:p>
      <w:pPr>
        <w:spacing w:after="0" w:line="99" w:lineRule="exact"/>
        <w:rPr>
          <w:rFonts w:ascii="Arial" w:cs="Arial" w:eastAsia="Arial" w:hAnsi="Arial"/>
          <w:sz w:val="15"/>
          <w:szCs w:val="15"/>
          <w:color w:val="auto"/>
        </w:rPr>
      </w:pPr>
    </w:p>
    <w:p>
      <w:pPr>
        <w:ind w:left="1520" w:hanging="153"/>
        <w:spacing w:after="0"/>
        <w:tabs>
          <w:tab w:leader="none" w:pos="15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any other matter properly submitted for your consideration at the Annual Meeting.</w:t>
      </w:r>
    </w:p>
    <w:p>
      <w:pPr>
        <w:spacing w:after="0" w:line="133" w:lineRule="exact"/>
        <w:rPr>
          <w:sz w:val="20"/>
          <w:szCs w:val="20"/>
          <w:color w:val="auto"/>
        </w:rPr>
      </w:pPr>
    </w:p>
    <w:p>
      <w:pPr>
        <w:ind w:left="1060" w:right="1179"/>
        <w:spacing w:after="0" w:line="263" w:lineRule="auto"/>
        <w:rPr>
          <w:sz w:val="20"/>
          <w:szCs w:val="20"/>
          <w:color w:val="auto"/>
        </w:rPr>
      </w:pPr>
      <w:r>
        <w:rPr>
          <w:rFonts w:ascii="Arial" w:cs="Arial" w:eastAsia="Arial" w:hAnsi="Arial"/>
          <w:sz w:val="15"/>
          <w:szCs w:val="15"/>
          <w:color w:val="auto"/>
        </w:rPr>
        <w:t>Because the advisory vote to approve the Say- on-Pay Proposal is non-binding and advisory in nature, there is no required number of votes that would constitute approval. While our Board intends to carefully consider the shareholder votes resulting from the Say-On-Pay Proposal, the final vote will not be binding on us and is advisory in nature.</w:t>
      </w:r>
    </w:p>
    <w:p>
      <w:pPr>
        <w:spacing w:after="0" w:line="81" w:lineRule="exact"/>
        <w:rPr>
          <w:sz w:val="20"/>
          <w:szCs w:val="20"/>
          <w:color w:val="auto"/>
        </w:rPr>
      </w:pPr>
    </w:p>
    <w:p>
      <w:pPr>
        <w:ind w:left="1060" w:right="1319"/>
        <w:spacing w:after="0" w:line="287" w:lineRule="auto"/>
        <w:rPr>
          <w:sz w:val="20"/>
          <w:szCs w:val="20"/>
          <w:color w:val="auto"/>
        </w:rPr>
      </w:pPr>
      <w:r>
        <w:rPr>
          <w:rFonts w:ascii="Arial" w:cs="Arial" w:eastAsia="Arial" w:hAnsi="Arial"/>
          <w:sz w:val="15"/>
          <w:szCs w:val="15"/>
          <w:color w:val="auto"/>
        </w:rPr>
        <w:t>Assuming a quorum, the following Extraordinary Meeting proposals will be approved if the votes cast in favor of the action meet or exceed two-thirds of the shares validly voted:</w:t>
      </w:r>
    </w:p>
    <w:p>
      <w:pPr>
        <w:spacing w:after="0" w:line="40" w:lineRule="exact"/>
        <w:rPr>
          <w:sz w:val="20"/>
          <w:szCs w:val="20"/>
          <w:color w:val="auto"/>
        </w:rPr>
      </w:pPr>
    </w:p>
    <w:p>
      <w:pPr>
        <w:ind w:left="1520" w:hanging="153"/>
        <w:spacing w:after="0"/>
        <w:tabs>
          <w:tab w:leader="none" w:pos="15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Share Consolidation Proposal;</w:t>
      </w:r>
    </w:p>
    <w:p>
      <w:pPr>
        <w:spacing w:after="0" w:line="99" w:lineRule="exact"/>
        <w:rPr>
          <w:rFonts w:ascii="Arial" w:cs="Arial" w:eastAsia="Arial" w:hAnsi="Arial"/>
          <w:sz w:val="15"/>
          <w:szCs w:val="15"/>
          <w:color w:val="auto"/>
        </w:rPr>
      </w:pPr>
    </w:p>
    <w:p>
      <w:pPr>
        <w:ind w:left="1520" w:hanging="153"/>
        <w:spacing w:after="0"/>
        <w:tabs>
          <w:tab w:leader="none" w:pos="15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Share Capital Decrease Proposal;</w:t>
      </w:r>
    </w:p>
    <w:p>
      <w:pPr>
        <w:spacing w:after="0" w:line="99" w:lineRule="exact"/>
        <w:rPr>
          <w:rFonts w:ascii="Arial" w:cs="Arial" w:eastAsia="Arial" w:hAnsi="Arial"/>
          <w:sz w:val="15"/>
          <w:szCs w:val="15"/>
          <w:color w:val="auto"/>
        </w:rPr>
      </w:pPr>
    </w:p>
    <w:p>
      <w:pPr>
        <w:ind w:left="1520" w:hanging="153"/>
        <w:spacing w:after="0"/>
        <w:tabs>
          <w:tab w:leader="none" w:pos="15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Quorum Proposal; and</w:t>
      </w:r>
    </w:p>
    <w:p>
      <w:pPr>
        <w:spacing w:after="0" w:line="99" w:lineRule="exact"/>
        <w:rPr>
          <w:rFonts w:ascii="Arial" w:cs="Arial" w:eastAsia="Arial" w:hAnsi="Arial"/>
          <w:sz w:val="15"/>
          <w:szCs w:val="15"/>
          <w:color w:val="auto"/>
        </w:rPr>
      </w:pPr>
    </w:p>
    <w:p>
      <w:pPr>
        <w:ind w:left="1520" w:hanging="153"/>
        <w:spacing w:after="0"/>
        <w:tabs>
          <w:tab w:leader="none" w:pos="15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Amendments to the Articles of Incorporation Proposal.</w:t>
      </w:r>
    </w:p>
    <w:p>
      <w:pPr>
        <w:spacing w:after="0" w:line="133" w:lineRule="exact"/>
        <w:rPr>
          <w:sz w:val="20"/>
          <w:szCs w:val="20"/>
          <w:color w:val="auto"/>
        </w:rPr>
      </w:pPr>
    </w:p>
    <w:p>
      <w:pPr>
        <w:ind w:left="1060" w:right="1259"/>
        <w:spacing w:after="0" w:line="263" w:lineRule="auto"/>
        <w:rPr>
          <w:sz w:val="20"/>
          <w:szCs w:val="20"/>
          <w:color w:val="auto"/>
        </w:rPr>
      </w:pPr>
      <w:r>
        <w:rPr>
          <w:rFonts w:ascii="Arial" w:cs="Arial" w:eastAsia="Arial" w:hAnsi="Arial"/>
          <w:sz w:val="15"/>
          <w:szCs w:val="15"/>
          <w:color w:val="auto"/>
        </w:rPr>
        <w:t>Any other matter properly submitted for your consideration will be approved with such vote as required by Luxembourg law. Abstentions and broker non -votes will not be counted in determining the number of votes cast in connection with the non-routine item proposals on the agendas of the Annual Meeting and Extraordinary Meeting.</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6" w:name="page17"/>
    <w:bookmarkEnd w:id="16"/>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6" w:lineRule="exact"/>
        <w:rPr>
          <w:sz w:val="20"/>
          <w:szCs w:val="20"/>
          <w:color w:val="auto"/>
        </w:rPr>
      </w:pPr>
    </w:p>
    <w:p>
      <w:pPr>
        <w:ind w:left="664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PROPOSAL ONE</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4203065</wp:posOffset>
            </wp:positionH>
            <wp:positionV relativeFrom="paragraph">
              <wp:posOffset>-181610</wp:posOffset>
            </wp:positionV>
            <wp:extent cx="840740" cy="1219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40740" cy="121920"/>
                    </a:xfrm>
                    <a:prstGeom prst="rect">
                      <a:avLst/>
                    </a:prstGeom>
                    <a:noFill/>
                  </pic:spPr>
                </pic:pic>
              </a:graphicData>
            </a:graphic>
          </wp:anchor>
        </w:drawing>
      </w:r>
    </w:p>
    <w:p>
      <w:pPr>
        <w:spacing w:after="0" w:line="93"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PROPOSALS TO BE CONSIDERED AT THE ANNUAL MEETING OF SHAREHOLDERS</w:t>
      </w:r>
    </w:p>
    <w:p>
      <w:pPr>
        <w:spacing w:after="0" w:line="173"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Proposal One: the Director Election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41275</wp:posOffset>
            </wp:positionV>
            <wp:extent cx="436753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67530" cy="6985"/>
                    </a:xfrm>
                    <a:prstGeom prst="rect">
                      <a:avLst/>
                    </a:prstGeom>
                    <a:noFill/>
                  </pic:spPr>
                </pic:pic>
              </a:graphicData>
            </a:graphic>
          </wp:anchor>
        </w:drawing>
      </w:r>
    </w:p>
    <w:p>
      <w:pPr>
        <w:spacing w:after="0" w:line="178"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Our Articles of Incorporation provide that our Board shall consist of no less than three</w:t>
      </w:r>
    </w:p>
    <w:p>
      <w:pPr>
        <w:spacing w:after="0" w:line="11" w:lineRule="exact"/>
        <w:rPr>
          <w:sz w:val="20"/>
          <w:szCs w:val="20"/>
          <w:color w:val="auto"/>
        </w:rPr>
      </w:pPr>
    </w:p>
    <w:p>
      <w:pPr>
        <w:ind w:left="1060" w:right="1619" w:firstLine="5"/>
        <w:spacing w:after="0" w:line="252" w:lineRule="auto"/>
        <w:tabs>
          <w:tab w:leader="none" w:pos="1316"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and no more than seven (7) members, with the exact number to be decided by our shareholders.</w:t>
      </w:r>
    </w:p>
    <w:p>
      <w:pPr>
        <w:spacing w:after="0" w:line="88" w:lineRule="exact"/>
        <w:rPr>
          <w:sz w:val="20"/>
          <w:szCs w:val="20"/>
          <w:color w:val="auto"/>
        </w:rPr>
      </w:pPr>
    </w:p>
    <w:p>
      <w:pPr>
        <w:ind w:left="1060" w:right="1099"/>
        <w:spacing w:after="0" w:line="256" w:lineRule="auto"/>
        <w:rPr>
          <w:sz w:val="20"/>
          <w:szCs w:val="20"/>
          <w:color w:val="auto"/>
        </w:rPr>
      </w:pPr>
      <w:r>
        <w:rPr>
          <w:rFonts w:ascii="Arial" w:cs="Arial" w:eastAsia="Arial" w:hAnsi="Arial"/>
          <w:sz w:val="15"/>
          <w:szCs w:val="15"/>
          <w:color w:val="auto"/>
        </w:rPr>
        <w:t>Five (5) of the nominees currently serve as our Directors. In connection with the Transaction, two lenders each received a separate one-time right to nominate one member for election to our Board (such nominees, collectively, the “Lender Nominees”) . UBS Asset Management (Americas) LLC, which beneficially owns 22.56% of our common stock, proposed Wesley G. Iseley as its Lender Nominee. The other lender, which beneficially owns 3.5% of our common stock, proposed Matthew Winkler as its Lender Nominee. Mr. Winkler’s nomination was made by this lender in its capacity as a stockholder and not by his employer, which is also a lender of ours. The Lender Nominees were vetted and approved by our Nomination/Governance Committee. There are no arrangements or understandings between any nominee and any other person for selection as a nominee.</w:t>
      </w:r>
    </w:p>
    <w:p>
      <w:pPr>
        <w:spacing w:after="0" w:line="279" w:lineRule="exact"/>
        <w:rPr>
          <w:sz w:val="20"/>
          <w:szCs w:val="20"/>
          <w:color w:val="auto"/>
        </w:rPr>
      </w:pPr>
    </w:p>
    <w:p>
      <w:pPr>
        <w:ind w:left="1060" w:right="1159"/>
        <w:spacing w:after="0" w:line="259" w:lineRule="auto"/>
        <w:rPr>
          <w:sz w:val="20"/>
          <w:szCs w:val="20"/>
          <w:color w:val="auto"/>
        </w:rPr>
      </w:pPr>
      <w:r>
        <w:rPr>
          <w:rFonts w:ascii="Arial" w:cs="Arial" w:eastAsia="Arial" w:hAnsi="Arial"/>
          <w:sz w:val="15"/>
          <w:szCs w:val="15"/>
          <w:color w:val="auto"/>
        </w:rPr>
        <w:t>If any nominee is unable or unwilling to stand for election at the time of the Annual Meeting, the shares represented by a validly executed proxy will be voted for the election of such other person as our Board may recommend in place of such nominee, unless our Board chooses to reduce the number of Directors serving on our Board. At this time, our Board knows of no reason any of the nominees would not be able or willing to serve as Director if elected.</w:t>
      </w:r>
    </w:p>
    <w:p>
      <w:pPr>
        <w:spacing w:after="0" w:line="280" w:lineRule="exact"/>
        <w:rPr>
          <w:sz w:val="20"/>
          <w:szCs w:val="20"/>
          <w:color w:val="auto"/>
        </w:rPr>
      </w:pPr>
    </w:p>
    <w:p>
      <w:pPr>
        <w:ind w:left="1060" w:right="1299"/>
        <w:spacing w:after="0" w:line="287" w:lineRule="auto"/>
        <w:rPr>
          <w:sz w:val="20"/>
          <w:szCs w:val="20"/>
          <w:color w:val="auto"/>
        </w:rPr>
      </w:pPr>
      <w:r>
        <w:rPr>
          <w:rFonts w:ascii="Arial" w:cs="Arial" w:eastAsia="Arial" w:hAnsi="Arial"/>
          <w:sz w:val="15"/>
          <w:szCs w:val="15"/>
          <w:color w:val="auto"/>
        </w:rPr>
        <w:t>The following table sets forth certain information concerning our current Directors, each of whom is nominated for election at the Annual Meeting, and the Lender Nominees:</w:t>
      </w:r>
    </w:p>
    <w:p>
      <w:pPr>
        <w:spacing w:after="0" w:line="74" w:lineRule="exact"/>
        <w:rPr>
          <w:sz w:val="20"/>
          <w:szCs w:val="20"/>
          <w:color w:val="auto"/>
        </w:rPr>
      </w:pPr>
    </w:p>
    <w:tbl>
      <w:tblPr>
        <w:tblLayout w:type="fixed"/>
        <w:tblInd w:w="1060" w:type="dxa"/>
        <w:tblCellMar>
          <w:top w:w="0" w:type="dxa"/>
          <w:left w:w="0" w:type="dxa"/>
          <w:bottom w:w="0" w:type="dxa"/>
          <w:right w:w="0" w:type="dxa"/>
        </w:tblCellMar>
      </w:tblPr>
      <w:tr>
        <w:trPr>
          <w:trHeight w:val="184"/>
        </w:trPr>
        <w:tc>
          <w:tcPr>
            <w:tcW w:w="1660" w:type="dxa"/>
            <w:vAlign w:val="bottom"/>
          </w:tcPr>
          <w:p>
            <w:pPr>
              <w:spacing w:after="0"/>
              <w:rPr>
                <w:sz w:val="16"/>
                <w:szCs w:val="16"/>
                <w:color w:val="auto"/>
              </w:rPr>
            </w:pPr>
          </w:p>
        </w:tc>
        <w:tc>
          <w:tcPr>
            <w:tcW w:w="36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rPr>
              <w:t>​ ​</w:t>
            </w:r>
          </w:p>
        </w:tc>
        <w:tc>
          <w:tcPr>
            <w:tcW w:w="22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6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5"/>
          </w:tcPr>
          <w:p>
            <w:pPr>
              <w:ind w:left="260"/>
              <w:spacing w:after="0"/>
              <w:rPr>
                <w:sz w:val="20"/>
                <w:szCs w:val="20"/>
                <w:color w:val="auto"/>
              </w:rPr>
            </w:pPr>
            <w:r>
              <w:rPr>
                <w:rFonts w:ascii="Arial" w:cs="Arial" w:eastAsia="Arial" w:hAnsi="Arial"/>
                <w:sz w:val="14"/>
                <w:szCs w:val="14"/>
                <w:b w:val="1"/>
                <w:bCs w:val="1"/>
                <w:color w:val="auto"/>
              </w:rPr>
              <w:t>Committee Memberships</w:t>
            </w:r>
            <w:r>
              <w:rPr>
                <w:rFonts w:ascii="Arial" w:cs="Arial" w:eastAsia="Arial" w:hAnsi="Arial"/>
                <w:sz w:val="16"/>
                <w:szCs w:val="16"/>
                <w:b w:val="1"/>
                <w:bCs w:val="1"/>
                <w:color w:val="auto"/>
                <w:vertAlign w:val="superscript"/>
              </w:rPr>
              <w:t>(1)</w:t>
            </w: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166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Name</w:t>
            </w:r>
          </w:p>
        </w:tc>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5"/>
              </w:rPr>
              <w:t>Age</w:t>
            </w:r>
            <w:r>
              <w:rPr>
                <w:rFonts w:ascii="Arial" w:cs="Arial" w:eastAsia="Arial" w:hAnsi="Arial"/>
                <w:sz w:val="16"/>
                <w:szCs w:val="16"/>
                <w:b w:val="1"/>
                <w:bCs w:val="1"/>
                <w:color w:val="auto"/>
                <w:w w:val="85"/>
                <w:vertAlign w:val="superscript"/>
              </w:rPr>
              <w:t>(1)</w:t>
            </w:r>
          </w:p>
        </w:tc>
        <w:tc>
          <w:tcPr>
            <w:tcW w:w="700" w:type="dxa"/>
            <w:vAlign w:val="bottom"/>
            <w:gridSpan w:val="3"/>
          </w:tcPr>
          <w:p>
            <w:pPr>
              <w:jc w:val="center"/>
              <w:ind w:right="112"/>
              <w:spacing w:after="0" w:line="116" w:lineRule="exact"/>
              <w:rPr>
                <w:sz w:val="20"/>
                <w:szCs w:val="20"/>
                <w:color w:val="auto"/>
              </w:rPr>
            </w:pPr>
            <w:r>
              <w:rPr>
                <w:rFonts w:ascii="Arial" w:cs="Arial" w:eastAsia="Arial" w:hAnsi="Arial"/>
                <w:sz w:val="12"/>
                <w:szCs w:val="12"/>
                <w:b w:val="1"/>
                <w:bCs w:val="1"/>
                <w:color w:val="auto"/>
              </w:rPr>
              <w:t>Director</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line="116" w:lineRule="exact"/>
              <w:rPr>
                <w:sz w:val="20"/>
                <w:szCs w:val="20"/>
                <w:color w:val="auto"/>
              </w:rPr>
            </w:pPr>
            <w:r>
              <w:rPr>
                <w:rFonts w:ascii="Arial" w:cs="Arial" w:eastAsia="Arial" w:hAnsi="Arial"/>
                <w:sz w:val="12"/>
                <w:szCs w:val="12"/>
                <w:b w:val="1"/>
                <w:bCs w:val="1"/>
                <w:color w:val="auto"/>
              </w:rPr>
              <w:t>Executive</w:t>
            </w: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ind w:left="80"/>
              <w:spacing w:after="0" w:line="116" w:lineRule="exact"/>
              <w:rPr>
                <w:sz w:val="20"/>
                <w:szCs w:val="20"/>
                <w:color w:val="auto"/>
              </w:rPr>
            </w:pPr>
            <w:r>
              <w:rPr>
                <w:rFonts w:ascii="Arial" w:cs="Arial" w:eastAsia="Arial" w:hAnsi="Arial"/>
                <w:sz w:val="12"/>
                <w:szCs w:val="12"/>
                <w:b w:val="1"/>
                <w:bCs w:val="1"/>
                <w:color w:val="auto"/>
              </w:rPr>
              <w:t>Audit</w:t>
            </w:r>
          </w:p>
        </w:tc>
        <w:tc>
          <w:tcPr>
            <w:tcW w:w="2480" w:type="dxa"/>
            <w:vAlign w:val="bottom"/>
            <w:tcBorders>
              <w:top w:val="single" w:sz="8" w:color="auto"/>
            </w:tcBorders>
            <w:gridSpan w:val="6"/>
          </w:tcPr>
          <w:p>
            <w:pPr>
              <w:ind w:left="100"/>
              <w:spacing w:after="0" w:line="116" w:lineRule="exact"/>
              <w:rPr>
                <w:sz w:val="20"/>
                <w:szCs w:val="20"/>
                <w:color w:val="auto"/>
              </w:rPr>
            </w:pPr>
            <w:r>
              <w:rPr>
                <w:rFonts w:ascii="Arial" w:cs="Arial" w:eastAsia="Arial" w:hAnsi="Arial"/>
                <w:sz w:val="12"/>
                <w:szCs w:val="12"/>
                <w:b w:val="1"/>
                <w:bCs w:val="1"/>
                <w:color w:val="auto"/>
              </w:rPr>
              <w:t>CompensationCompliance Nom/Gov</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6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6"/>
              </w:rPr>
              <w:t>Since</w:t>
            </w:r>
          </w:p>
        </w:tc>
        <w:tc>
          <w:tcPr>
            <w:tcW w:w="2340" w:type="dxa"/>
            <w:vAlign w:val="bottom"/>
            <w:gridSpan w:val="9"/>
          </w:tcPr>
          <w:p>
            <w:pPr>
              <w:ind w:left="60"/>
              <w:spacing w:after="0"/>
              <w:rPr>
                <w:sz w:val="20"/>
                <w:szCs w:val="20"/>
                <w:color w:val="auto"/>
              </w:rPr>
            </w:pPr>
            <w:r>
              <w:rPr>
                <w:rFonts w:ascii="Arial" w:cs="Arial" w:eastAsia="Arial" w:hAnsi="Arial"/>
                <w:sz w:val="14"/>
                <w:szCs w:val="14"/>
                <w:b w:val="1"/>
                <w:bCs w:val="1"/>
                <w:color w:val="auto"/>
                <w:w w:val="99"/>
              </w:rPr>
              <w:t>IndependentCommitteeCommittee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w w:val="99"/>
              </w:rPr>
              <w:t>Committee</w:t>
            </w:r>
          </w:p>
        </w:tc>
        <w:tc>
          <w:tcPr>
            <w:tcW w:w="100" w:type="dxa"/>
            <w:vAlign w:val="bottom"/>
          </w:tcPr>
          <w:p>
            <w:pPr>
              <w:spacing w:after="0"/>
              <w:rPr>
                <w:sz w:val="15"/>
                <w:szCs w:val="15"/>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Committee Committee</w:t>
            </w:r>
          </w:p>
        </w:tc>
        <w:tc>
          <w:tcPr>
            <w:tcW w:w="0" w:type="dxa"/>
            <w:vAlign w:val="bottom"/>
          </w:tcPr>
          <w:p>
            <w:pPr>
              <w:spacing w:after="0"/>
              <w:rPr>
                <w:sz w:val="1"/>
                <w:szCs w:val="1"/>
                <w:color w:val="auto"/>
              </w:rPr>
            </w:pPr>
          </w:p>
        </w:tc>
      </w:tr>
      <w:tr>
        <w:trPr>
          <w:trHeight w:val="139"/>
        </w:trPr>
        <w:tc>
          <w:tcPr>
            <w:tcW w:w="1660" w:type="dxa"/>
            <w:vAlign w:val="bottom"/>
            <w:tcBorders>
              <w:top w:val="single" w:sz="8" w:color="auto"/>
            </w:tcBorders>
          </w:tcPr>
          <w:p>
            <w:pPr>
              <w:spacing w:after="0" w:line="139" w:lineRule="exact"/>
              <w:rPr>
                <w:sz w:val="20"/>
                <w:szCs w:val="20"/>
                <w:color w:val="auto"/>
              </w:rPr>
            </w:pPr>
            <w:r>
              <w:rPr>
                <w:rFonts w:ascii="Arial" w:cs="Arial" w:eastAsia="Arial" w:hAnsi="Arial"/>
                <w:sz w:val="14"/>
                <w:szCs w:val="14"/>
                <w:b w:val="1"/>
                <w:bCs w:val="1"/>
                <w:i w:val="1"/>
                <w:iCs w:val="1"/>
                <w:color w:val="auto"/>
              </w:rPr>
              <w:t>Nominees Who Are</w:t>
            </w:r>
          </w:p>
        </w:tc>
        <w:tc>
          <w:tcPr>
            <w:tcW w:w="3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60" w:type="dxa"/>
            <w:vAlign w:val="bottom"/>
          </w:tcPr>
          <w:p>
            <w:pPr>
              <w:spacing w:after="0" w:line="146" w:lineRule="exact"/>
              <w:rPr>
                <w:sz w:val="20"/>
                <w:szCs w:val="20"/>
                <w:color w:val="auto"/>
              </w:rPr>
            </w:pPr>
            <w:r>
              <w:rPr>
                <w:rFonts w:ascii="Arial" w:cs="Arial" w:eastAsia="Arial" w:hAnsi="Arial"/>
                <w:sz w:val="14"/>
                <w:szCs w:val="14"/>
                <w:b w:val="1"/>
                <w:bCs w:val="1"/>
                <w:i w:val="1"/>
                <w:iCs w:val="1"/>
                <w:color w:val="auto"/>
              </w:rPr>
              <w:t>Currently Directors</w:t>
            </w:r>
          </w:p>
        </w:tc>
        <w:tc>
          <w:tcPr>
            <w:tcW w:w="360" w:type="dxa"/>
            <w:vAlign w:val="bottom"/>
          </w:tcPr>
          <w:p>
            <w:pPr>
              <w:ind w:left="100"/>
              <w:spacing w:after="0" w:line="146" w:lineRule="exact"/>
              <w:rPr>
                <w:sz w:val="20"/>
                <w:szCs w:val="20"/>
                <w:color w:val="auto"/>
              </w:rPr>
            </w:pPr>
            <w:r>
              <w:rPr>
                <w:rFonts w:ascii="Arial" w:cs="Arial" w:eastAsia="Arial" w:hAnsi="Arial"/>
                <w:sz w:val="14"/>
                <w:szCs w:val="14"/>
                <w:b w:val="1"/>
                <w:bCs w:val="1"/>
                <w:i w:val="1"/>
                <w:iCs w:val="1"/>
                <w:color w:val="auto"/>
              </w:rPr>
              <w:t>​</w:t>
            </w:r>
          </w:p>
        </w:tc>
        <w:tc>
          <w:tcPr>
            <w:tcW w:w="60" w:type="dxa"/>
            <w:vAlign w:val="bottom"/>
          </w:tcPr>
          <w:p>
            <w:pPr>
              <w:spacing w:after="0" w:line="146" w:lineRule="exact"/>
              <w:rPr>
                <w:sz w:val="20"/>
                <w:szCs w:val="20"/>
                <w:color w:val="auto"/>
              </w:rPr>
            </w:pPr>
            <w:r>
              <w:rPr>
                <w:rFonts w:ascii="Arial" w:cs="Arial" w:eastAsia="Arial" w:hAnsi="Arial"/>
                <w:sz w:val="14"/>
                <w:szCs w:val="14"/>
                <w:b w:val="1"/>
                <w:bCs w:val="1"/>
                <w:i w:val="1"/>
                <w:iCs w:val="1"/>
                <w:color w:val="auto"/>
              </w:rPr>
              <w:t>​</w:t>
            </w:r>
          </w:p>
        </w:tc>
        <w:tc>
          <w:tcPr>
            <w:tcW w:w="420" w:type="dxa"/>
            <w:vAlign w:val="bottom"/>
          </w:tcPr>
          <w:p>
            <w:pPr>
              <w:ind w:left="40"/>
              <w:spacing w:after="0" w:line="146" w:lineRule="exact"/>
              <w:rPr>
                <w:sz w:val="20"/>
                <w:szCs w:val="20"/>
                <w:color w:val="auto"/>
              </w:rPr>
            </w:pPr>
            <w:r>
              <w:rPr>
                <w:rFonts w:ascii="Arial" w:cs="Arial" w:eastAsia="Arial" w:hAnsi="Arial"/>
                <w:sz w:val="14"/>
                <w:szCs w:val="14"/>
                <w:b w:val="1"/>
                <w:bCs w:val="1"/>
                <w:i w:val="1"/>
                <w:iCs w:val="1"/>
                <w:color w:val="auto"/>
              </w:rPr>
              <w:t>​</w:t>
            </w:r>
          </w:p>
        </w:tc>
        <w:tc>
          <w:tcPr>
            <w:tcW w:w="220" w:type="dxa"/>
            <w:vAlign w:val="bottom"/>
          </w:tcPr>
          <w:p>
            <w:pPr>
              <w:ind w:left="40"/>
              <w:spacing w:after="0" w:line="146" w:lineRule="exact"/>
              <w:rPr>
                <w:sz w:val="20"/>
                <w:szCs w:val="20"/>
                <w:color w:val="auto"/>
              </w:rPr>
            </w:pPr>
            <w:r>
              <w:rPr>
                <w:rFonts w:ascii="Arial" w:cs="Arial" w:eastAsia="Arial" w:hAnsi="Arial"/>
                <w:sz w:val="14"/>
                <w:szCs w:val="14"/>
                <w:b w:val="1"/>
                <w:bCs w:val="1"/>
                <w:i w:val="1"/>
                <w:iCs w:val="1"/>
                <w:color w:val="auto"/>
              </w:rPr>
              <w:t>​</w:t>
            </w:r>
          </w:p>
        </w:tc>
        <w:tc>
          <w:tcPr>
            <w:tcW w:w="300" w:type="dxa"/>
            <w:vAlign w:val="bottom"/>
          </w:tcPr>
          <w:p>
            <w:pPr>
              <w:ind w:left="160"/>
              <w:spacing w:after="0" w:line="146" w:lineRule="exact"/>
              <w:rPr>
                <w:sz w:val="20"/>
                <w:szCs w:val="20"/>
                <w:color w:val="auto"/>
              </w:rPr>
            </w:pPr>
            <w:r>
              <w:rPr>
                <w:rFonts w:ascii="Arial" w:cs="Arial" w:eastAsia="Arial" w:hAnsi="Arial"/>
                <w:sz w:val="14"/>
                <w:szCs w:val="14"/>
                <w:b w:val="1"/>
                <w:bCs w:val="1"/>
                <w:i w:val="1"/>
                <w:iCs w:val="1"/>
                <w:color w:val="auto"/>
              </w:rPr>
              <w:t>​</w:t>
            </w:r>
          </w:p>
        </w:tc>
        <w:tc>
          <w:tcPr>
            <w:tcW w:w="220" w:type="dxa"/>
            <w:vAlign w:val="bottom"/>
          </w:tcPr>
          <w:p>
            <w:pPr>
              <w:spacing w:after="0"/>
              <w:rPr>
                <w:sz w:val="12"/>
                <w:szCs w:val="12"/>
                <w:color w:val="auto"/>
              </w:rPr>
            </w:pPr>
          </w:p>
        </w:tc>
        <w:tc>
          <w:tcPr>
            <w:tcW w:w="160" w:type="dxa"/>
            <w:vAlign w:val="bottom"/>
            <w:gridSpan w:val="2"/>
          </w:tcPr>
          <w:p>
            <w:pPr>
              <w:ind w:left="100"/>
              <w:spacing w:after="0" w:line="146" w:lineRule="exact"/>
              <w:rPr>
                <w:sz w:val="20"/>
                <w:szCs w:val="20"/>
                <w:color w:val="auto"/>
              </w:rPr>
            </w:pPr>
            <w:r>
              <w:rPr>
                <w:rFonts w:ascii="Arial" w:cs="Arial" w:eastAsia="Arial" w:hAnsi="Arial"/>
                <w:sz w:val="14"/>
                <w:szCs w:val="14"/>
                <w:b w:val="1"/>
                <w:bCs w:val="1"/>
                <w:i w:val="1"/>
                <w:iCs w:val="1"/>
                <w:color w:val="auto"/>
              </w:rPr>
              <w:t>​</w:t>
            </w:r>
          </w:p>
        </w:tc>
        <w:tc>
          <w:tcPr>
            <w:tcW w:w="640" w:type="dxa"/>
            <w:vAlign w:val="bottom"/>
          </w:tcPr>
          <w:p>
            <w:pPr>
              <w:ind w:left="240"/>
              <w:spacing w:after="0" w:line="146" w:lineRule="exact"/>
              <w:rPr>
                <w:sz w:val="20"/>
                <w:szCs w:val="20"/>
                <w:color w:val="auto"/>
              </w:rPr>
            </w:pPr>
            <w:r>
              <w:rPr>
                <w:rFonts w:ascii="Arial" w:cs="Arial" w:eastAsia="Arial" w:hAnsi="Arial"/>
                <w:sz w:val="14"/>
                <w:szCs w:val="14"/>
                <w:b w:val="1"/>
                <w:bCs w:val="1"/>
                <w:i w:val="1"/>
                <w:iCs w:val="1"/>
                <w:color w:val="auto"/>
              </w:rPr>
              <w:t>​</w:t>
            </w:r>
          </w:p>
        </w:tc>
        <w:tc>
          <w:tcPr>
            <w:tcW w:w="120" w:type="dxa"/>
            <w:vAlign w:val="bottom"/>
          </w:tcPr>
          <w:p>
            <w:pPr>
              <w:ind w:left="20"/>
              <w:spacing w:after="0" w:line="146" w:lineRule="exact"/>
              <w:rPr>
                <w:sz w:val="20"/>
                <w:szCs w:val="20"/>
                <w:color w:val="auto"/>
              </w:rPr>
            </w:pPr>
            <w:r>
              <w:rPr>
                <w:rFonts w:ascii="Arial" w:cs="Arial" w:eastAsia="Arial" w:hAnsi="Arial"/>
                <w:sz w:val="14"/>
                <w:szCs w:val="14"/>
                <w:b w:val="1"/>
                <w:bCs w:val="1"/>
                <w:i w:val="1"/>
                <w:iCs w:val="1"/>
                <w:color w:val="auto"/>
              </w:rPr>
              <w:t>​</w:t>
            </w:r>
          </w:p>
        </w:tc>
        <w:tc>
          <w:tcPr>
            <w:tcW w:w="520" w:type="dxa"/>
            <w:vAlign w:val="bottom"/>
          </w:tcPr>
          <w:p>
            <w:pPr>
              <w:ind w:left="180"/>
              <w:spacing w:after="0" w:line="146" w:lineRule="exact"/>
              <w:rPr>
                <w:sz w:val="20"/>
                <w:szCs w:val="20"/>
                <w:color w:val="auto"/>
              </w:rPr>
            </w:pPr>
            <w:r>
              <w:rPr>
                <w:rFonts w:ascii="Arial" w:cs="Arial" w:eastAsia="Arial" w:hAnsi="Arial"/>
                <w:sz w:val="14"/>
                <w:szCs w:val="14"/>
                <w:b w:val="1"/>
                <w:bCs w:val="1"/>
                <w:i w:val="1"/>
                <w:iCs w:val="1"/>
                <w:color w:val="auto"/>
              </w:rPr>
              <w:t>​</w:t>
            </w:r>
          </w:p>
        </w:tc>
        <w:tc>
          <w:tcPr>
            <w:tcW w:w="160" w:type="dxa"/>
            <w:vAlign w:val="bottom"/>
          </w:tcPr>
          <w:p>
            <w:pPr>
              <w:ind w:left="80"/>
              <w:spacing w:after="0" w:line="146" w:lineRule="exact"/>
              <w:rPr>
                <w:sz w:val="20"/>
                <w:szCs w:val="20"/>
                <w:color w:val="auto"/>
              </w:rPr>
            </w:pPr>
            <w:r>
              <w:rPr>
                <w:rFonts w:ascii="Arial" w:cs="Arial" w:eastAsia="Arial" w:hAnsi="Arial"/>
                <w:sz w:val="14"/>
                <w:szCs w:val="14"/>
                <w:b w:val="1"/>
                <w:bCs w:val="1"/>
                <w:i w:val="1"/>
                <w:iCs w:val="1"/>
                <w:color w:val="auto"/>
              </w:rPr>
              <w:t>​</w:t>
            </w:r>
          </w:p>
        </w:tc>
        <w:tc>
          <w:tcPr>
            <w:tcW w:w="800" w:type="dxa"/>
            <w:vAlign w:val="bottom"/>
          </w:tcPr>
          <w:p>
            <w:pPr>
              <w:ind w:left="300"/>
              <w:spacing w:after="0" w:line="146" w:lineRule="exact"/>
              <w:rPr>
                <w:sz w:val="20"/>
                <w:szCs w:val="20"/>
                <w:color w:val="auto"/>
              </w:rPr>
            </w:pPr>
            <w:r>
              <w:rPr>
                <w:rFonts w:ascii="Arial" w:cs="Arial" w:eastAsia="Arial" w:hAnsi="Arial"/>
                <w:sz w:val="14"/>
                <w:szCs w:val="14"/>
                <w:b w:val="1"/>
                <w:bCs w:val="1"/>
                <w:i w:val="1"/>
                <w:iCs w:val="1"/>
                <w:color w:val="auto"/>
              </w:rPr>
              <w:t>​</w:t>
            </w:r>
          </w:p>
        </w:tc>
        <w:tc>
          <w:tcPr>
            <w:tcW w:w="100" w:type="dxa"/>
            <w:vAlign w:val="bottom"/>
          </w:tcPr>
          <w:p>
            <w:pPr>
              <w:ind w:left="40"/>
              <w:spacing w:after="0" w:line="146" w:lineRule="exact"/>
              <w:rPr>
                <w:sz w:val="20"/>
                <w:szCs w:val="20"/>
                <w:color w:val="auto"/>
              </w:rPr>
            </w:pPr>
            <w:r>
              <w:rPr>
                <w:rFonts w:ascii="Arial" w:cs="Arial" w:eastAsia="Arial" w:hAnsi="Arial"/>
                <w:sz w:val="14"/>
                <w:szCs w:val="14"/>
                <w:b w:val="1"/>
                <w:bCs w:val="1"/>
                <w:i w:val="1"/>
                <w:iCs w:val="1"/>
                <w:color w:val="auto"/>
              </w:rPr>
              <w:t>​</w:t>
            </w:r>
          </w:p>
        </w:tc>
        <w:tc>
          <w:tcPr>
            <w:tcW w:w="620" w:type="dxa"/>
            <w:vAlign w:val="bottom"/>
          </w:tcPr>
          <w:p>
            <w:pPr>
              <w:ind w:left="280"/>
              <w:spacing w:after="0" w:line="146" w:lineRule="exact"/>
              <w:rPr>
                <w:sz w:val="20"/>
                <w:szCs w:val="20"/>
                <w:color w:val="auto"/>
              </w:rPr>
            </w:pPr>
            <w:r>
              <w:rPr>
                <w:rFonts w:ascii="Arial" w:cs="Arial" w:eastAsia="Arial" w:hAnsi="Arial"/>
                <w:sz w:val="14"/>
                <w:szCs w:val="14"/>
                <w:b w:val="1"/>
                <w:bCs w:val="1"/>
                <w:i w:val="1"/>
                <w:iCs w:val="1"/>
                <w:color w:val="auto"/>
              </w:rPr>
              <w:t>​</w:t>
            </w:r>
          </w:p>
        </w:tc>
        <w:tc>
          <w:tcPr>
            <w:tcW w:w="260" w:type="dxa"/>
            <w:vAlign w:val="bottom"/>
          </w:tcPr>
          <w:p>
            <w:pPr>
              <w:jc w:val="center"/>
              <w:spacing w:after="0" w:line="146" w:lineRule="exact"/>
              <w:rPr>
                <w:sz w:val="20"/>
                <w:szCs w:val="20"/>
                <w:color w:val="auto"/>
              </w:rPr>
            </w:pPr>
            <w:r>
              <w:rPr>
                <w:rFonts w:ascii="Arial" w:cs="Arial" w:eastAsia="Arial" w:hAnsi="Arial"/>
                <w:sz w:val="14"/>
                <w:szCs w:val="14"/>
                <w:b w:val="1"/>
                <w:bCs w:val="1"/>
                <w:i w:val="1"/>
                <w:iCs w:val="1"/>
                <w:color w:val="auto"/>
              </w:rPr>
              <w:t>​</w:t>
            </w:r>
          </w:p>
        </w:tc>
        <w:tc>
          <w:tcPr>
            <w:tcW w:w="540" w:type="dxa"/>
            <w:vAlign w:val="bottom"/>
          </w:tcPr>
          <w:p>
            <w:pPr>
              <w:ind w:left="160"/>
              <w:spacing w:after="0" w:line="146" w:lineRule="exact"/>
              <w:rPr>
                <w:sz w:val="20"/>
                <w:szCs w:val="20"/>
                <w:color w:val="auto"/>
              </w:rPr>
            </w:pPr>
            <w:r>
              <w:rPr>
                <w:rFonts w:ascii="Arial" w:cs="Arial" w:eastAsia="Arial" w:hAnsi="Arial"/>
                <w:sz w:val="14"/>
                <w:szCs w:val="14"/>
                <w:b w:val="1"/>
                <w:bCs w:val="1"/>
                <w:i w:val="1"/>
                <w:iCs w:val="1"/>
                <w:color w:val="auto"/>
              </w:rPr>
              <w:t>​</w:t>
            </w:r>
          </w:p>
        </w:tc>
        <w:tc>
          <w:tcPr>
            <w:tcW w:w="60" w:type="dxa"/>
            <w:vAlign w:val="bottom"/>
          </w:tcPr>
          <w:p>
            <w:pPr>
              <w:ind w:left="20"/>
              <w:spacing w:after="0" w:line="146" w:lineRule="exact"/>
              <w:rPr>
                <w:sz w:val="20"/>
                <w:szCs w:val="20"/>
                <w:color w:val="auto"/>
              </w:rPr>
            </w:pPr>
            <w:r>
              <w:rPr>
                <w:rFonts w:ascii="Arial" w:cs="Arial" w:eastAsia="Arial" w:hAnsi="Arial"/>
                <w:sz w:val="14"/>
                <w:szCs w:val="14"/>
                <w:b w:val="1"/>
                <w:bCs w:val="1"/>
                <w:i w:val="1"/>
                <w:iCs w:val="1"/>
                <w:color w:val="auto"/>
              </w:rPr>
              <w:t>​</w:t>
            </w:r>
          </w:p>
        </w:tc>
        <w:tc>
          <w:tcPr>
            <w:tcW w:w="0" w:type="dxa"/>
            <w:vAlign w:val="bottom"/>
          </w:tcPr>
          <w:p>
            <w:pPr>
              <w:spacing w:after="0"/>
              <w:rPr>
                <w:sz w:val="1"/>
                <w:szCs w:val="1"/>
                <w:color w:val="auto"/>
              </w:rPr>
            </w:pPr>
          </w:p>
        </w:tc>
      </w:tr>
      <w:tr>
        <w:trPr>
          <w:trHeight w:val="158"/>
        </w:trPr>
        <w:tc>
          <w:tcPr>
            <w:tcW w:w="1660" w:type="dxa"/>
            <w:vAlign w:val="bottom"/>
          </w:tcPr>
          <w:p>
            <w:pPr>
              <w:spacing w:after="0" w:line="159" w:lineRule="exact"/>
              <w:rPr>
                <w:sz w:val="20"/>
                <w:szCs w:val="20"/>
                <w:color w:val="auto"/>
              </w:rPr>
            </w:pPr>
            <w:r>
              <w:rPr>
                <w:rFonts w:ascii="Arial" w:cs="Arial" w:eastAsia="Arial" w:hAnsi="Arial"/>
                <w:sz w:val="14"/>
                <w:szCs w:val="14"/>
                <w:color w:val="auto"/>
              </w:rPr>
              <w:t>John. G. Aldridge, Jr.</w:t>
            </w:r>
          </w:p>
        </w:tc>
        <w:tc>
          <w:tcPr>
            <w:tcW w:w="360" w:type="dxa"/>
            <w:vAlign w:val="bottom"/>
          </w:tcPr>
          <w:p>
            <w:pPr>
              <w:ind w:left="100"/>
              <w:spacing w:after="0" w:line="159" w:lineRule="exact"/>
              <w:rPr>
                <w:sz w:val="20"/>
                <w:szCs w:val="20"/>
                <w:color w:val="auto"/>
              </w:rPr>
            </w:pPr>
            <w:r>
              <w:rPr>
                <w:rFonts w:ascii="Arial" w:cs="Arial" w:eastAsia="Arial" w:hAnsi="Arial"/>
                <w:sz w:val="14"/>
                <w:szCs w:val="14"/>
                <w:color w:val="auto"/>
              </w:rPr>
              <w:t>​56</w:t>
            </w:r>
          </w:p>
        </w:tc>
        <w:tc>
          <w:tcPr>
            <w:tcW w:w="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420" w:type="dxa"/>
            <w:vAlign w:val="bottom"/>
          </w:tcPr>
          <w:p>
            <w:pPr>
              <w:ind w:left="40"/>
              <w:spacing w:after="0" w:line="159" w:lineRule="exact"/>
              <w:rPr>
                <w:sz w:val="20"/>
                <w:szCs w:val="20"/>
                <w:color w:val="auto"/>
              </w:rPr>
            </w:pPr>
            <w:r>
              <w:rPr>
                <w:rFonts w:ascii="Arial" w:cs="Arial" w:eastAsia="Arial" w:hAnsi="Arial"/>
                <w:sz w:val="14"/>
                <w:szCs w:val="14"/>
                <w:color w:val="auto"/>
              </w:rPr>
              <w:t>​2022</w:t>
            </w:r>
          </w:p>
        </w:tc>
        <w:tc>
          <w:tcPr>
            <w:tcW w:w="220" w:type="dxa"/>
            <w:vAlign w:val="bottom"/>
          </w:tcPr>
          <w:p>
            <w:pPr>
              <w:ind w:left="40"/>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59" w:lineRule="exact"/>
              <w:rPr>
                <w:sz w:val="20"/>
                <w:szCs w:val="20"/>
                <w:color w:val="auto"/>
              </w:rPr>
            </w:pPr>
            <w:r>
              <w:rPr>
                <w:rFonts w:ascii="Arial" w:cs="Arial" w:eastAsia="Arial" w:hAnsi="Arial"/>
                <w:sz w:val="14"/>
                <w:szCs w:val="14"/>
                <w:color w:val="auto"/>
                <w:w w:val="85"/>
              </w:rPr>
              <w:t>​</w:t>
            </w:r>
            <w:r>
              <w:rPr>
                <w:rFonts w:ascii="MS PGothic" w:cs="MS PGothic" w:eastAsia="MS PGothic" w:hAnsi="MS PGothic"/>
                <w:sz w:val="14"/>
                <w:szCs w:val="14"/>
                <w:color w:val="auto"/>
                <w:highlight w:val="black"/>
                <w:w w:val="85"/>
              </w:rPr>
              <w:t>✓</w:t>
            </w:r>
          </w:p>
        </w:tc>
        <w:tc>
          <w:tcPr>
            <w:tcW w:w="220" w:type="dxa"/>
            <w:vAlign w:val="bottom"/>
          </w:tcPr>
          <w:p>
            <w:pPr>
              <w:spacing w:after="0"/>
              <w:rPr>
                <w:sz w:val="13"/>
                <w:szCs w:val="13"/>
                <w:color w:val="auto"/>
              </w:rPr>
            </w:pPr>
          </w:p>
        </w:tc>
        <w:tc>
          <w:tcPr>
            <w:tcW w:w="16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ind w:left="20"/>
              <w:spacing w:after="0" w:line="159" w:lineRule="exact"/>
              <w:rPr>
                <w:sz w:val="20"/>
                <w:szCs w:val="20"/>
                <w:color w:val="auto"/>
              </w:rPr>
            </w:pPr>
            <w:r>
              <w:rPr>
                <w:rFonts w:ascii="Arial" w:cs="Arial" w:eastAsia="Arial" w:hAnsi="Arial"/>
                <w:sz w:val="14"/>
                <w:szCs w:val="14"/>
                <w:color w:val="auto"/>
              </w:rPr>
              <w:t>​</w:t>
            </w:r>
          </w:p>
        </w:tc>
        <w:tc>
          <w:tcPr>
            <w:tcW w:w="52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ind w:left="8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ind w:left="3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ind w:left="280"/>
              <w:spacing w:after="0" w:line="158" w:lineRule="exact"/>
              <w:rPr>
                <w:sz w:val="20"/>
                <w:szCs w:val="20"/>
                <w:color w:val="auto"/>
              </w:rPr>
            </w:pPr>
            <w:r>
              <w:rPr>
                <w:rFonts w:ascii="Arial" w:cs="Arial" w:eastAsia="Arial" w:hAnsi="Arial"/>
                <w:sz w:val="18"/>
                <w:szCs w:val="18"/>
                <w:color w:val="auto"/>
                <w:vertAlign w:val="subscript"/>
              </w:rPr>
              <w:t>​</w:t>
            </w:r>
            <w:r>
              <w:rPr>
                <w:rFonts w:ascii="MS PGothic" w:cs="MS PGothic" w:eastAsia="MS PGothic" w:hAnsi="MS PGothic"/>
                <w:sz w:val="18"/>
                <w:szCs w:val="18"/>
                <w:color w:val="auto"/>
                <w:highlight w:val="black"/>
                <w:vertAlign w:val="subscript"/>
              </w:rPr>
              <w:t>✓</w:t>
            </w:r>
            <w:r>
              <w:rPr>
                <w:rFonts w:ascii="Arial" w:cs="Arial" w:eastAsia="Arial" w:hAnsi="Arial"/>
                <w:sz w:val="7"/>
                <w:szCs w:val="7"/>
                <w:color w:val="auto"/>
              </w:rPr>
              <w:t>(2)</w:t>
            </w:r>
          </w:p>
        </w:tc>
        <w:tc>
          <w:tcPr>
            <w:tcW w:w="260" w:type="dxa"/>
            <w:vAlign w:val="bottom"/>
          </w:tcPr>
          <w:p>
            <w:pPr>
              <w:jc w:val="center"/>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ind w:left="1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ind w:lef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1660" w:type="dxa"/>
            <w:vAlign w:val="bottom"/>
          </w:tcPr>
          <w:p>
            <w:pPr>
              <w:spacing w:after="0"/>
              <w:rPr>
                <w:sz w:val="20"/>
                <w:szCs w:val="20"/>
                <w:color w:val="auto"/>
              </w:rPr>
            </w:pPr>
            <w:r>
              <w:rPr>
                <w:rFonts w:ascii="Arial" w:cs="Arial" w:eastAsia="Arial" w:hAnsi="Arial"/>
                <w:sz w:val="14"/>
                <w:szCs w:val="14"/>
                <w:color w:val="auto"/>
              </w:rPr>
              <w:t>Mary C. Hickok</w:t>
            </w:r>
          </w:p>
        </w:tc>
        <w:tc>
          <w:tcPr>
            <w:tcW w:w="360" w:type="dxa"/>
            <w:vAlign w:val="bottom"/>
          </w:tcPr>
          <w:p>
            <w:pPr>
              <w:ind w:left="100"/>
              <w:spacing w:after="0"/>
              <w:rPr>
                <w:sz w:val="20"/>
                <w:szCs w:val="20"/>
                <w:color w:val="auto"/>
              </w:rPr>
            </w:pPr>
            <w:r>
              <w:rPr>
                <w:rFonts w:ascii="Arial" w:cs="Arial" w:eastAsia="Arial" w:hAnsi="Arial"/>
                <w:sz w:val="14"/>
                <w:szCs w:val="14"/>
                <w:color w:val="auto"/>
              </w:rPr>
              <w:t>​31</w:t>
            </w:r>
          </w:p>
        </w:tc>
        <w:tc>
          <w:tcPr>
            <w:tcW w:w="480" w:type="dxa"/>
            <w:vAlign w:val="bottom"/>
            <w:gridSpan w:val="2"/>
          </w:tcPr>
          <w:p>
            <w:pPr>
              <w:spacing w:after="0"/>
              <w:rPr>
                <w:sz w:val="20"/>
                <w:szCs w:val="20"/>
                <w:color w:val="auto"/>
              </w:rPr>
            </w:pPr>
            <w:r>
              <w:rPr>
                <w:rFonts w:ascii="Arial" w:cs="Arial" w:eastAsia="Arial" w:hAnsi="Arial"/>
                <w:sz w:val="14"/>
                <w:szCs w:val="14"/>
                <w:color w:val="auto"/>
              </w:rPr>
              <w:t>​ ​2022</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61" w:lineRule="exact"/>
              <w:rPr>
                <w:sz w:val="20"/>
                <w:szCs w:val="20"/>
                <w:color w:val="auto"/>
              </w:rPr>
            </w:pPr>
            <w:r>
              <w:rPr>
                <w:rFonts w:ascii="Arial" w:cs="Arial" w:eastAsia="Arial" w:hAnsi="Arial"/>
                <w:sz w:val="14"/>
                <w:szCs w:val="14"/>
                <w:color w:val="auto"/>
                <w:w w:val="85"/>
              </w:rPr>
              <w:t>​</w:t>
            </w:r>
            <w:r>
              <w:rPr>
                <w:rFonts w:ascii="MS PGothic" w:cs="MS PGothic" w:eastAsia="MS PGothic" w:hAnsi="MS PGothic"/>
                <w:sz w:val="14"/>
                <w:szCs w:val="14"/>
                <w:color w:val="auto"/>
                <w:highlight w:val="black"/>
                <w:w w:val="85"/>
              </w:rPr>
              <w:t>✓</w:t>
            </w:r>
          </w:p>
        </w:tc>
        <w:tc>
          <w:tcPr>
            <w:tcW w:w="220" w:type="dxa"/>
            <w:vAlign w:val="bottom"/>
          </w:tcPr>
          <w:p>
            <w:pPr>
              <w:spacing w:after="0"/>
              <w:rPr>
                <w:sz w:val="16"/>
                <w:szCs w:val="16"/>
                <w:color w:val="auto"/>
              </w:rPr>
            </w:pPr>
          </w:p>
        </w:tc>
        <w:tc>
          <w:tcPr>
            <w:tcW w:w="1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ind w:left="24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520" w:type="dxa"/>
            <w:vAlign w:val="bottom"/>
          </w:tcPr>
          <w:p>
            <w:pPr>
              <w:ind w:left="180"/>
              <w:spacing w:after="0" w:line="161"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14"/>
                <w:szCs w:val="14"/>
                <w:color w:val="auto"/>
                <w:highlight w:val="black"/>
              </w:rPr>
              <w:t>✓</w:t>
            </w:r>
          </w:p>
        </w:tc>
        <w:tc>
          <w:tcPr>
            <w:tcW w:w="160" w:type="dxa"/>
            <w:vAlign w:val="bottom"/>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ind w:left="300"/>
              <w:spacing w:after="0" w:line="192" w:lineRule="exact"/>
              <w:rPr>
                <w:sz w:val="20"/>
                <w:szCs w:val="20"/>
                <w:color w:val="auto"/>
              </w:rPr>
            </w:pPr>
            <w:r>
              <w:rPr>
                <w:rFonts w:ascii="Arial" w:cs="Arial" w:eastAsia="Arial" w:hAnsi="Arial"/>
                <w:sz w:val="22"/>
                <w:szCs w:val="22"/>
                <w:color w:val="auto"/>
                <w:vertAlign w:val="subscript"/>
              </w:rPr>
              <w:t>​</w:t>
            </w:r>
            <w:r>
              <w:rPr>
                <w:rFonts w:ascii="MS PGothic" w:cs="MS PGothic" w:eastAsia="MS PGothic" w:hAnsi="MS PGothic"/>
                <w:sz w:val="22"/>
                <w:szCs w:val="22"/>
                <w:color w:val="auto"/>
                <w:highlight w:val="black"/>
                <w:vertAlign w:val="subscript"/>
              </w:rPr>
              <w:t>✓</w:t>
            </w:r>
            <w:r>
              <w:rPr>
                <w:rFonts w:ascii="Arial" w:cs="Arial" w:eastAsia="Arial" w:hAnsi="Arial"/>
                <w:sz w:val="8"/>
                <w:szCs w:val="8"/>
                <w:color w:val="auto"/>
              </w:rPr>
              <w:t>(2)</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620" w:type="dxa"/>
            <w:vAlign w:val="bottom"/>
          </w:tcPr>
          <w:p>
            <w:pPr>
              <w:ind w:left="280"/>
              <w:spacing w:after="0"/>
              <w:rPr>
                <w:sz w:val="20"/>
                <w:szCs w:val="20"/>
                <w:color w:val="auto"/>
              </w:rPr>
            </w:pPr>
            <w:r>
              <w:rPr>
                <w:rFonts w:ascii="Arial" w:cs="Arial" w:eastAsia="Arial" w:hAnsi="Arial"/>
                <w:sz w:val="14"/>
                <w:szCs w:val="14"/>
                <w:color w:val="auto"/>
              </w:rPr>
              <w:t>​</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60" w:type="dxa"/>
            <w:vAlign w:val="bottom"/>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1660" w:type="dxa"/>
            <w:vAlign w:val="bottom"/>
          </w:tcPr>
          <w:p>
            <w:pPr>
              <w:spacing w:after="0"/>
              <w:rPr>
                <w:sz w:val="20"/>
                <w:szCs w:val="20"/>
                <w:color w:val="auto"/>
              </w:rPr>
            </w:pPr>
            <w:r>
              <w:rPr>
                <w:rFonts w:ascii="Arial" w:cs="Arial" w:eastAsia="Arial" w:hAnsi="Arial"/>
                <w:sz w:val="14"/>
                <w:szCs w:val="14"/>
                <w:color w:val="auto"/>
              </w:rPr>
              <w:t>Joseph L. Morettini</w:t>
            </w:r>
          </w:p>
        </w:tc>
        <w:tc>
          <w:tcPr>
            <w:tcW w:w="360" w:type="dxa"/>
            <w:vAlign w:val="bottom"/>
          </w:tcPr>
          <w:p>
            <w:pPr>
              <w:ind w:left="100"/>
              <w:spacing w:after="0"/>
              <w:rPr>
                <w:sz w:val="20"/>
                <w:szCs w:val="20"/>
                <w:color w:val="auto"/>
              </w:rPr>
            </w:pPr>
            <w:r>
              <w:rPr>
                <w:rFonts w:ascii="Arial" w:cs="Arial" w:eastAsia="Arial" w:hAnsi="Arial"/>
                <w:sz w:val="14"/>
                <w:szCs w:val="14"/>
                <w:color w:val="auto"/>
              </w:rPr>
              <w:t>​72</w:t>
            </w:r>
          </w:p>
        </w:tc>
        <w:tc>
          <w:tcPr>
            <w:tcW w:w="480" w:type="dxa"/>
            <w:vAlign w:val="bottom"/>
            <w:gridSpan w:val="2"/>
          </w:tcPr>
          <w:p>
            <w:pPr>
              <w:spacing w:after="0"/>
              <w:rPr>
                <w:sz w:val="20"/>
                <w:szCs w:val="20"/>
                <w:color w:val="auto"/>
              </w:rPr>
            </w:pPr>
            <w:r>
              <w:rPr>
                <w:rFonts w:ascii="Arial" w:cs="Arial" w:eastAsia="Arial" w:hAnsi="Arial"/>
                <w:sz w:val="14"/>
                <w:szCs w:val="14"/>
                <w:color w:val="auto"/>
              </w:rPr>
              <w:t>​ ​2017</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61" w:lineRule="exact"/>
              <w:rPr>
                <w:sz w:val="20"/>
                <w:szCs w:val="20"/>
                <w:color w:val="auto"/>
              </w:rPr>
            </w:pPr>
            <w:r>
              <w:rPr>
                <w:rFonts w:ascii="Arial" w:cs="Arial" w:eastAsia="Arial" w:hAnsi="Arial"/>
                <w:sz w:val="14"/>
                <w:szCs w:val="14"/>
                <w:color w:val="auto"/>
                <w:w w:val="85"/>
              </w:rPr>
              <w:t>​</w:t>
            </w:r>
            <w:r>
              <w:rPr>
                <w:rFonts w:ascii="MS PGothic" w:cs="MS PGothic" w:eastAsia="MS PGothic" w:hAnsi="MS PGothic"/>
                <w:sz w:val="14"/>
                <w:szCs w:val="14"/>
                <w:color w:val="auto"/>
                <w:highlight w:val="black"/>
                <w:w w:val="85"/>
              </w:rPr>
              <w:t>✓</w:t>
            </w:r>
          </w:p>
        </w:tc>
        <w:tc>
          <w:tcPr>
            <w:tcW w:w="220" w:type="dxa"/>
            <w:vAlign w:val="bottom"/>
          </w:tcPr>
          <w:p>
            <w:pPr>
              <w:spacing w:after="0"/>
              <w:rPr>
                <w:sz w:val="14"/>
                <w:szCs w:val="14"/>
                <w:color w:val="auto"/>
              </w:rPr>
            </w:pPr>
          </w:p>
        </w:tc>
        <w:tc>
          <w:tcPr>
            <w:tcW w:w="1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ind w:left="24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520" w:type="dxa"/>
            <w:vAlign w:val="bottom"/>
          </w:tcPr>
          <w:p>
            <w:pPr>
              <w:ind w:left="180"/>
              <w:spacing w:after="0" w:line="161"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14"/>
                <w:szCs w:val="14"/>
                <w:color w:val="auto"/>
                <w:highlight w:val="black"/>
              </w:rPr>
              <w:t>✓</w:t>
            </w:r>
          </w:p>
        </w:tc>
        <w:tc>
          <w:tcPr>
            <w:tcW w:w="160" w:type="dxa"/>
            <w:vAlign w:val="bottom"/>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620" w:type="dxa"/>
            <w:vAlign w:val="bottom"/>
          </w:tcPr>
          <w:p>
            <w:pPr>
              <w:ind w:left="280"/>
              <w:spacing w:after="0"/>
              <w:rPr>
                <w:sz w:val="20"/>
                <w:szCs w:val="20"/>
                <w:color w:val="auto"/>
              </w:rPr>
            </w:pPr>
            <w:r>
              <w:rPr>
                <w:rFonts w:ascii="Arial" w:cs="Arial" w:eastAsia="Arial" w:hAnsi="Arial"/>
                <w:sz w:val="14"/>
                <w:szCs w:val="14"/>
                <w:color w:val="auto"/>
              </w:rPr>
              <w:t>​</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540" w:type="dxa"/>
            <w:vAlign w:val="bottom"/>
          </w:tcPr>
          <w:p>
            <w:pPr>
              <w:ind w:left="160"/>
              <w:spacing w:after="0" w:line="170" w:lineRule="exact"/>
              <w:rPr>
                <w:sz w:val="20"/>
                <w:szCs w:val="20"/>
                <w:color w:val="auto"/>
              </w:rPr>
            </w:pPr>
            <w:r>
              <w:rPr>
                <w:rFonts w:ascii="Arial" w:cs="Arial" w:eastAsia="Arial" w:hAnsi="Arial"/>
                <w:sz w:val="19"/>
                <w:szCs w:val="19"/>
                <w:color w:val="auto"/>
                <w:vertAlign w:val="subscript"/>
              </w:rPr>
              <w:t>​</w:t>
            </w:r>
            <w:r>
              <w:rPr>
                <w:rFonts w:ascii="MS PGothic" w:cs="MS PGothic" w:eastAsia="MS PGothic" w:hAnsi="MS PGothic"/>
                <w:sz w:val="19"/>
                <w:szCs w:val="19"/>
                <w:color w:val="auto"/>
                <w:highlight w:val="black"/>
                <w:vertAlign w:val="subscript"/>
              </w:rPr>
              <w:t>✓</w:t>
            </w:r>
            <w:r>
              <w:rPr>
                <w:rFonts w:ascii="Arial" w:cs="Arial" w:eastAsia="Arial" w:hAnsi="Arial"/>
                <w:sz w:val="7"/>
                <w:szCs w:val="7"/>
                <w:color w:val="auto"/>
              </w:rPr>
              <w:t>(2)</w:t>
            </w:r>
          </w:p>
        </w:tc>
        <w:tc>
          <w:tcPr>
            <w:tcW w:w="60" w:type="dxa"/>
            <w:vAlign w:val="bottom"/>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1660" w:type="dxa"/>
            <w:vAlign w:val="bottom"/>
          </w:tcPr>
          <w:p>
            <w:pPr>
              <w:spacing w:after="0" w:line="181" w:lineRule="exact"/>
              <w:rPr>
                <w:sz w:val="20"/>
                <w:szCs w:val="20"/>
                <w:color w:val="auto"/>
              </w:rPr>
            </w:pPr>
            <w:r>
              <w:rPr>
                <w:rFonts w:ascii="Arial" w:cs="Arial" w:eastAsia="Arial" w:hAnsi="Arial"/>
                <w:sz w:val="14"/>
                <w:szCs w:val="14"/>
                <w:color w:val="auto"/>
              </w:rPr>
              <w:t>Roland Müller-Ineichen</w:t>
            </w:r>
            <w:r>
              <w:rPr>
                <w:rFonts w:ascii="Arial" w:cs="Arial" w:eastAsia="Arial" w:hAnsi="Arial"/>
                <w:sz w:val="16"/>
                <w:szCs w:val="16"/>
                <w:color w:val="auto"/>
                <w:vertAlign w:val="superscript"/>
              </w:rPr>
              <w:t>(3)</w:t>
            </w:r>
          </w:p>
        </w:tc>
        <w:tc>
          <w:tcPr>
            <w:tcW w:w="360" w:type="dxa"/>
            <w:vAlign w:val="bottom"/>
          </w:tcPr>
          <w:p>
            <w:pPr>
              <w:ind w:left="100"/>
              <w:spacing w:after="0"/>
              <w:rPr>
                <w:sz w:val="20"/>
                <w:szCs w:val="20"/>
                <w:color w:val="auto"/>
              </w:rPr>
            </w:pPr>
            <w:r>
              <w:rPr>
                <w:rFonts w:ascii="Arial" w:cs="Arial" w:eastAsia="Arial" w:hAnsi="Arial"/>
                <w:sz w:val="14"/>
                <w:szCs w:val="14"/>
                <w:color w:val="auto"/>
              </w:rPr>
              <w:t>​64</w:t>
            </w:r>
          </w:p>
        </w:tc>
        <w:tc>
          <w:tcPr>
            <w:tcW w:w="480" w:type="dxa"/>
            <w:vAlign w:val="bottom"/>
            <w:gridSpan w:val="2"/>
          </w:tcPr>
          <w:p>
            <w:pPr>
              <w:spacing w:after="0"/>
              <w:rPr>
                <w:sz w:val="20"/>
                <w:szCs w:val="20"/>
                <w:color w:val="auto"/>
              </w:rPr>
            </w:pPr>
            <w:r>
              <w:rPr>
                <w:rFonts w:ascii="Arial" w:cs="Arial" w:eastAsia="Arial" w:hAnsi="Arial"/>
                <w:sz w:val="14"/>
                <w:szCs w:val="14"/>
                <w:color w:val="auto"/>
              </w:rPr>
              <w:t>​ ​2009</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300" w:type="dxa"/>
            <w:vAlign w:val="bottom"/>
          </w:tcPr>
          <w:p>
            <w:pPr>
              <w:ind w:left="160"/>
              <w:spacing w:after="0" w:line="161" w:lineRule="exact"/>
              <w:rPr>
                <w:sz w:val="20"/>
                <w:szCs w:val="20"/>
                <w:color w:val="auto"/>
              </w:rPr>
            </w:pPr>
            <w:r>
              <w:rPr>
                <w:rFonts w:ascii="Arial" w:cs="Arial" w:eastAsia="Arial" w:hAnsi="Arial"/>
                <w:sz w:val="14"/>
                <w:szCs w:val="14"/>
                <w:color w:val="auto"/>
                <w:w w:val="85"/>
              </w:rPr>
              <w:t>​</w:t>
            </w:r>
            <w:r>
              <w:rPr>
                <w:rFonts w:ascii="MS PGothic" w:cs="MS PGothic" w:eastAsia="MS PGothic" w:hAnsi="MS PGothic"/>
                <w:sz w:val="14"/>
                <w:szCs w:val="14"/>
                <w:color w:val="auto"/>
                <w:highlight w:val="black"/>
                <w:w w:val="85"/>
              </w:rPr>
              <w:t>✓</w:t>
            </w:r>
          </w:p>
        </w:tc>
        <w:tc>
          <w:tcPr>
            <w:tcW w:w="220" w:type="dxa"/>
            <w:vAlign w:val="bottom"/>
          </w:tcPr>
          <w:p>
            <w:pPr>
              <w:spacing w:after="0"/>
              <w:rPr>
                <w:sz w:val="15"/>
                <w:szCs w:val="15"/>
                <w:color w:val="auto"/>
              </w:rPr>
            </w:pPr>
          </w:p>
        </w:tc>
        <w:tc>
          <w:tcPr>
            <w:tcW w:w="1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ind w:left="240"/>
              <w:spacing w:after="0" w:line="181" w:lineRule="exact"/>
              <w:rPr>
                <w:sz w:val="20"/>
                <w:szCs w:val="20"/>
                <w:color w:val="auto"/>
              </w:rPr>
            </w:pPr>
            <w:r>
              <w:rPr>
                <w:rFonts w:ascii="Arial" w:cs="Arial" w:eastAsia="Arial" w:hAnsi="Arial"/>
                <w:sz w:val="20"/>
                <w:szCs w:val="20"/>
                <w:color w:val="auto"/>
                <w:vertAlign w:val="subscript"/>
              </w:rPr>
              <w:t>​</w:t>
            </w:r>
            <w:r>
              <w:rPr>
                <w:rFonts w:ascii="MS PGothic" w:cs="MS PGothic" w:eastAsia="MS PGothic" w:hAnsi="MS PGothic"/>
                <w:sz w:val="20"/>
                <w:szCs w:val="20"/>
                <w:color w:val="auto"/>
                <w:highlight w:val="black"/>
                <w:vertAlign w:val="subscript"/>
              </w:rPr>
              <w:t>✓</w:t>
            </w:r>
            <w:r>
              <w:rPr>
                <w:rFonts w:ascii="Arial" w:cs="Arial" w:eastAsia="Arial" w:hAnsi="Arial"/>
                <w:sz w:val="7"/>
                <w:szCs w:val="7"/>
                <w:color w:val="auto"/>
              </w:rPr>
              <w:t>(2)</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520" w:type="dxa"/>
            <w:vAlign w:val="bottom"/>
          </w:tcPr>
          <w:p>
            <w:pPr>
              <w:ind w:left="180"/>
              <w:spacing w:after="0" w:line="181" w:lineRule="exact"/>
              <w:rPr>
                <w:sz w:val="20"/>
                <w:szCs w:val="20"/>
                <w:color w:val="auto"/>
              </w:rPr>
            </w:pPr>
            <w:r>
              <w:rPr>
                <w:rFonts w:ascii="Arial" w:cs="Arial" w:eastAsia="Arial" w:hAnsi="Arial"/>
                <w:sz w:val="20"/>
                <w:szCs w:val="20"/>
                <w:color w:val="auto"/>
                <w:vertAlign w:val="subscript"/>
              </w:rPr>
              <w:t>​</w:t>
            </w:r>
            <w:r>
              <w:rPr>
                <w:rFonts w:ascii="MS PGothic" w:cs="MS PGothic" w:eastAsia="MS PGothic" w:hAnsi="MS PGothic"/>
                <w:sz w:val="20"/>
                <w:szCs w:val="20"/>
                <w:color w:val="auto"/>
                <w:highlight w:val="black"/>
                <w:vertAlign w:val="subscript"/>
              </w:rPr>
              <w:t>✓</w:t>
            </w:r>
            <w:r>
              <w:rPr>
                <w:rFonts w:ascii="Arial" w:cs="Arial" w:eastAsia="Arial" w:hAnsi="Arial"/>
                <w:sz w:val="7"/>
                <w:szCs w:val="7"/>
                <w:color w:val="auto"/>
              </w:rPr>
              <w:t>(2)</w:t>
            </w:r>
          </w:p>
        </w:tc>
        <w:tc>
          <w:tcPr>
            <w:tcW w:w="160" w:type="dxa"/>
            <w:vAlign w:val="bottom"/>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ind w:left="300"/>
              <w:spacing w:after="0" w:line="161"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14"/>
                <w:szCs w:val="14"/>
                <w:color w:val="auto"/>
                <w:highlight w:val="black"/>
              </w:rPr>
              <w:t>✓</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620" w:type="dxa"/>
            <w:vAlign w:val="bottom"/>
          </w:tcPr>
          <w:p>
            <w:pPr>
              <w:ind w:left="280"/>
              <w:spacing w:after="0"/>
              <w:rPr>
                <w:sz w:val="20"/>
                <w:szCs w:val="20"/>
                <w:color w:val="auto"/>
              </w:rPr>
            </w:pPr>
            <w:r>
              <w:rPr>
                <w:rFonts w:ascii="Arial" w:cs="Arial" w:eastAsia="Arial" w:hAnsi="Arial"/>
                <w:sz w:val="14"/>
                <w:szCs w:val="14"/>
                <w:color w:val="auto"/>
              </w:rPr>
              <w:t>​</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540" w:type="dxa"/>
            <w:vAlign w:val="bottom"/>
          </w:tcPr>
          <w:p>
            <w:pPr>
              <w:ind w:left="160"/>
              <w:spacing w:after="0" w:line="161"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14"/>
                <w:szCs w:val="14"/>
                <w:color w:val="auto"/>
                <w:highlight w:val="black"/>
              </w:rPr>
              <w:t>✓</w:t>
            </w:r>
          </w:p>
        </w:tc>
        <w:tc>
          <w:tcPr>
            <w:tcW w:w="60" w:type="dxa"/>
            <w:vAlign w:val="bottom"/>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1660" w:type="dxa"/>
            <w:vAlign w:val="bottom"/>
          </w:tcPr>
          <w:p>
            <w:pPr>
              <w:spacing w:after="0"/>
              <w:rPr>
                <w:sz w:val="20"/>
                <w:szCs w:val="20"/>
                <w:color w:val="auto"/>
              </w:rPr>
            </w:pPr>
            <w:r>
              <w:rPr>
                <w:rFonts w:ascii="Arial" w:cs="Arial" w:eastAsia="Arial" w:hAnsi="Arial"/>
                <w:sz w:val="14"/>
                <w:szCs w:val="14"/>
                <w:color w:val="auto"/>
              </w:rPr>
              <w:t>William B. Shepro</w:t>
            </w:r>
          </w:p>
        </w:tc>
        <w:tc>
          <w:tcPr>
            <w:tcW w:w="360" w:type="dxa"/>
            <w:vAlign w:val="bottom"/>
          </w:tcPr>
          <w:p>
            <w:pPr>
              <w:ind w:left="100"/>
              <w:spacing w:after="0"/>
              <w:rPr>
                <w:sz w:val="20"/>
                <w:szCs w:val="20"/>
                <w:color w:val="auto"/>
              </w:rPr>
            </w:pPr>
            <w:r>
              <w:rPr>
                <w:rFonts w:ascii="Arial" w:cs="Arial" w:eastAsia="Arial" w:hAnsi="Arial"/>
                <w:sz w:val="14"/>
                <w:szCs w:val="14"/>
                <w:color w:val="auto"/>
              </w:rPr>
              <w:t>​56</w:t>
            </w:r>
          </w:p>
        </w:tc>
        <w:tc>
          <w:tcPr>
            <w:tcW w:w="480" w:type="dxa"/>
            <w:vAlign w:val="bottom"/>
            <w:gridSpan w:val="2"/>
          </w:tcPr>
          <w:p>
            <w:pPr>
              <w:spacing w:after="0"/>
              <w:rPr>
                <w:sz w:val="20"/>
                <w:szCs w:val="20"/>
                <w:color w:val="auto"/>
              </w:rPr>
            </w:pPr>
            <w:r>
              <w:rPr>
                <w:rFonts w:ascii="Arial" w:cs="Arial" w:eastAsia="Arial" w:hAnsi="Arial"/>
                <w:sz w:val="14"/>
                <w:szCs w:val="14"/>
                <w:color w:val="auto"/>
              </w:rPr>
              <w:t>​ ​2009</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ind w:left="240"/>
              <w:spacing w:after="0" w:line="161"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14"/>
                <w:szCs w:val="14"/>
                <w:color w:val="auto"/>
                <w:highlight w:val="black"/>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520" w:type="dxa"/>
            <w:vAlign w:val="bottom"/>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620" w:type="dxa"/>
            <w:vAlign w:val="bottom"/>
          </w:tcPr>
          <w:p>
            <w:pPr>
              <w:ind w:left="280"/>
              <w:spacing w:after="0" w:line="161" w:lineRule="exact"/>
              <w:rPr>
                <w:sz w:val="20"/>
                <w:szCs w:val="20"/>
                <w:color w:val="auto"/>
              </w:rPr>
            </w:pPr>
            <w:r>
              <w:rPr>
                <w:rFonts w:ascii="Arial" w:cs="Arial" w:eastAsia="Arial" w:hAnsi="Arial"/>
                <w:sz w:val="14"/>
                <w:szCs w:val="14"/>
                <w:color w:val="auto"/>
              </w:rPr>
              <w:t>​</w:t>
            </w:r>
            <w:r>
              <w:rPr>
                <w:rFonts w:ascii="MS PGothic" w:cs="MS PGothic" w:eastAsia="MS PGothic" w:hAnsi="MS PGothic"/>
                <w:sz w:val="14"/>
                <w:szCs w:val="14"/>
                <w:color w:val="auto"/>
                <w:highlight w:val="black"/>
              </w:rPr>
              <w:t>✓</w:t>
            </w:r>
          </w:p>
        </w:tc>
        <w:tc>
          <w:tcPr>
            <w:tcW w:w="260" w:type="dxa"/>
            <w:vAlign w:val="bottom"/>
          </w:tcPr>
          <w:p>
            <w:pPr>
              <w:jc w:val="center"/>
              <w:spacing w:after="0"/>
              <w:rPr>
                <w:sz w:val="20"/>
                <w:szCs w:val="20"/>
                <w:color w:val="auto"/>
              </w:rPr>
            </w:pPr>
            <w:r>
              <w:rPr>
                <w:rFonts w:ascii="Arial" w:cs="Arial" w:eastAsia="Arial" w:hAnsi="Arial"/>
                <w:sz w:val="14"/>
                <w:szCs w:val="14"/>
                <w:color w:val="auto"/>
              </w:rPr>
              <w:t>​</w:t>
            </w:r>
          </w:p>
        </w:tc>
        <w:tc>
          <w:tcPr>
            <w:tcW w:w="540" w:type="dxa"/>
            <w:vAlign w:val="bottom"/>
          </w:tcPr>
          <w:p>
            <w:pPr>
              <w:ind w:left="160"/>
              <w:spacing w:after="0"/>
              <w:rPr>
                <w:sz w:val="20"/>
                <w:szCs w:val="20"/>
                <w:color w:val="auto"/>
              </w:rPr>
            </w:pPr>
            <w:r>
              <w:rPr>
                <w:rFonts w:ascii="Arial" w:cs="Arial" w:eastAsia="Arial" w:hAnsi="Arial"/>
                <w:sz w:val="14"/>
                <w:szCs w:val="14"/>
                <w:color w:val="auto"/>
              </w:rPr>
              <w:t>​</w:t>
            </w:r>
          </w:p>
        </w:tc>
        <w:tc>
          <w:tcPr>
            <w:tcW w:w="60" w:type="dxa"/>
            <w:vAlign w:val="bottom"/>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0"/>
        </w:trPr>
        <w:tc>
          <w:tcPr>
            <w:tcW w:w="1660" w:type="dxa"/>
            <w:vAlign w:val="bottom"/>
          </w:tcPr>
          <w:p>
            <w:pPr>
              <w:spacing w:after="0"/>
              <w:rPr>
                <w:sz w:val="20"/>
                <w:szCs w:val="20"/>
                <w:color w:val="auto"/>
              </w:rPr>
            </w:pPr>
            <w:r>
              <w:rPr>
                <w:rFonts w:ascii="Arial" w:cs="Arial" w:eastAsia="Arial" w:hAnsi="Arial"/>
                <w:sz w:val="14"/>
                <w:szCs w:val="14"/>
                <w:b w:val="1"/>
                <w:bCs w:val="1"/>
                <w:i w:val="1"/>
                <w:iCs w:val="1"/>
                <w:color w:val="auto"/>
              </w:rPr>
              <w:t>Lender Nominees</w:t>
            </w:r>
          </w:p>
        </w:tc>
        <w:tc>
          <w:tcPr>
            <w:tcW w:w="360" w:type="dxa"/>
            <w:vAlign w:val="bottom"/>
          </w:tcPr>
          <w:p>
            <w:pPr>
              <w:ind w:left="100"/>
              <w:spacing w:after="0"/>
              <w:rPr>
                <w:sz w:val="20"/>
                <w:szCs w:val="20"/>
                <w:color w:val="auto"/>
              </w:rPr>
            </w:pPr>
            <w:r>
              <w:rPr>
                <w:rFonts w:ascii="Arial" w:cs="Arial" w:eastAsia="Arial" w:hAnsi="Arial"/>
                <w:sz w:val="14"/>
                <w:szCs w:val="14"/>
                <w:b w:val="1"/>
                <w:bCs w:val="1"/>
                <w:i w:val="1"/>
                <w:iCs w:val="1"/>
                <w:color w:val="auto"/>
              </w:rPr>
              <w:t>​</w:t>
            </w:r>
          </w:p>
        </w:tc>
        <w:tc>
          <w:tcPr>
            <w:tcW w:w="4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w:t>
            </w:r>
          </w:p>
        </w:tc>
        <w:tc>
          <w:tcPr>
            <w:tcW w:w="2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w:t>
            </w:r>
          </w:p>
        </w:tc>
        <w:tc>
          <w:tcPr>
            <w:tcW w:w="300" w:type="dxa"/>
            <w:vAlign w:val="bottom"/>
          </w:tcPr>
          <w:p>
            <w:pPr>
              <w:ind w:left="160"/>
              <w:spacing w:after="0"/>
              <w:rPr>
                <w:sz w:val="20"/>
                <w:szCs w:val="20"/>
                <w:color w:val="auto"/>
              </w:rPr>
            </w:pPr>
            <w:r>
              <w:rPr>
                <w:rFonts w:ascii="Arial" w:cs="Arial" w:eastAsia="Arial" w:hAnsi="Arial"/>
                <w:sz w:val="14"/>
                <w:szCs w:val="14"/>
                <w:b w:val="1"/>
                <w:bCs w:val="1"/>
                <w:i w:val="1"/>
                <w:iCs w:val="1"/>
                <w:color w:val="auto"/>
              </w:rPr>
              <w:t>​</w:t>
            </w:r>
          </w:p>
        </w:tc>
        <w:tc>
          <w:tcPr>
            <w:tcW w:w="220" w:type="dxa"/>
            <w:vAlign w:val="bottom"/>
            <w:vMerge w:val="restart"/>
          </w:tcPr>
          <w:p>
            <w:pPr>
              <w:jc w:val="right"/>
              <w:ind w:right="79"/>
              <w:spacing w:after="0"/>
              <w:rPr>
                <w:sz w:val="20"/>
                <w:szCs w:val="20"/>
                <w:color w:val="auto"/>
              </w:rPr>
            </w:pPr>
            <w:r>
              <w:rPr>
                <w:rFonts w:ascii="Arial" w:cs="Arial" w:eastAsia="Arial" w:hAnsi="Arial"/>
                <w:sz w:val="8"/>
                <w:szCs w:val="8"/>
                <w:color w:val="auto"/>
                <w:w w:val="81"/>
              </w:rPr>
              <w:t>(4)</w:t>
            </w:r>
          </w:p>
        </w:tc>
        <w:tc>
          <w:tcPr>
            <w:tcW w:w="160" w:type="dxa"/>
            <w:vAlign w:val="bottom"/>
            <w:gridSpan w:val="2"/>
          </w:tcPr>
          <w:p>
            <w:pPr>
              <w:ind w:left="100"/>
              <w:spacing w:after="0"/>
              <w:rPr>
                <w:sz w:val="20"/>
                <w:szCs w:val="20"/>
                <w:color w:val="auto"/>
              </w:rPr>
            </w:pPr>
            <w:r>
              <w:rPr>
                <w:rFonts w:ascii="Arial" w:cs="Arial" w:eastAsia="Arial" w:hAnsi="Arial"/>
                <w:sz w:val="14"/>
                <w:szCs w:val="14"/>
                <w:b w:val="1"/>
                <w:bCs w:val="1"/>
                <w:i w:val="1"/>
                <w:iCs w:val="1"/>
                <w:color w:val="auto"/>
              </w:rPr>
              <w:t>​</w:t>
            </w:r>
          </w:p>
        </w:tc>
        <w:tc>
          <w:tcPr>
            <w:tcW w:w="640" w:type="dxa"/>
            <w:vAlign w:val="bottom"/>
          </w:tcPr>
          <w:p>
            <w:pPr>
              <w:ind w:left="240"/>
              <w:spacing w:after="0"/>
              <w:rPr>
                <w:sz w:val="20"/>
                <w:szCs w:val="20"/>
                <w:color w:val="auto"/>
              </w:rPr>
            </w:pPr>
            <w:r>
              <w:rPr>
                <w:rFonts w:ascii="Arial" w:cs="Arial" w:eastAsia="Arial" w:hAnsi="Arial"/>
                <w:sz w:val="14"/>
                <w:szCs w:val="14"/>
                <w:b w:val="1"/>
                <w:bCs w:val="1"/>
                <w:i w:val="1"/>
                <w:iCs w:val="1"/>
                <w:color w:val="auto"/>
              </w:rPr>
              <w:t>​</w:t>
            </w:r>
          </w:p>
        </w:tc>
        <w:tc>
          <w:tcPr>
            <w:tcW w:w="1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w:t>
            </w:r>
          </w:p>
        </w:tc>
        <w:tc>
          <w:tcPr>
            <w:tcW w:w="520" w:type="dxa"/>
            <w:vAlign w:val="bottom"/>
          </w:tcPr>
          <w:p>
            <w:pPr>
              <w:ind w:left="180"/>
              <w:spacing w:after="0"/>
              <w:rPr>
                <w:sz w:val="20"/>
                <w:szCs w:val="20"/>
                <w:color w:val="auto"/>
              </w:rPr>
            </w:pPr>
            <w:r>
              <w:rPr>
                <w:rFonts w:ascii="Arial" w:cs="Arial" w:eastAsia="Arial" w:hAnsi="Arial"/>
                <w:sz w:val="14"/>
                <w:szCs w:val="14"/>
                <w:b w:val="1"/>
                <w:bCs w:val="1"/>
                <w:i w:val="1"/>
                <w:iCs w:val="1"/>
                <w:color w:val="auto"/>
              </w:rPr>
              <w:t>​</w:t>
            </w:r>
          </w:p>
        </w:tc>
        <w:tc>
          <w:tcPr>
            <w:tcW w:w="160" w:type="dxa"/>
            <w:vAlign w:val="bottom"/>
          </w:tcPr>
          <w:p>
            <w:pPr>
              <w:ind w:left="80"/>
              <w:spacing w:after="0"/>
              <w:rPr>
                <w:sz w:val="20"/>
                <w:szCs w:val="20"/>
                <w:color w:val="auto"/>
              </w:rPr>
            </w:pPr>
            <w:r>
              <w:rPr>
                <w:rFonts w:ascii="Arial" w:cs="Arial" w:eastAsia="Arial" w:hAnsi="Arial"/>
                <w:sz w:val="14"/>
                <w:szCs w:val="14"/>
                <w:b w:val="1"/>
                <w:bCs w:val="1"/>
                <w:i w:val="1"/>
                <w:iCs w:val="1"/>
                <w:color w:val="auto"/>
              </w:rPr>
              <w:t>​</w:t>
            </w:r>
          </w:p>
        </w:tc>
        <w:tc>
          <w:tcPr>
            <w:tcW w:w="800" w:type="dxa"/>
            <w:vAlign w:val="bottom"/>
          </w:tcPr>
          <w:p>
            <w:pPr>
              <w:ind w:left="300"/>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w:t>
            </w:r>
          </w:p>
        </w:tc>
        <w:tc>
          <w:tcPr>
            <w:tcW w:w="620" w:type="dxa"/>
            <w:vAlign w:val="bottom"/>
          </w:tcPr>
          <w:p>
            <w:pPr>
              <w:ind w:left="280"/>
              <w:spacing w:after="0"/>
              <w:rPr>
                <w:sz w:val="20"/>
                <w:szCs w:val="20"/>
                <w:color w:val="auto"/>
              </w:rPr>
            </w:pPr>
            <w:r>
              <w:rPr>
                <w:rFonts w:ascii="Arial" w:cs="Arial" w:eastAsia="Arial" w:hAnsi="Arial"/>
                <w:sz w:val="14"/>
                <w:szCs w:val="14"/>
                <w:b w:val="1"/>
                <w:bCs w:val="1"/>
                <w:i w:val="1"/>
                <w:iCs w:val="1"/>
                <w:color w:val="auto"/>
              </w:rPr>
              <w:t>​</w:t>
            </w:r>
          </w:p>
        </w:tc>
        <w:tc>
          <w:tcPr>
            <w:tcW w:w="26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w:t>
            </w:r>
          </w:p>
        </w:tc>
        <w:tc>
          <w:tcPr>
            <w:tcW w:w="540" w:type="dxa"/>
            <w:vAlign w:val="bottom"/>
          </w:tcPr>
          <w:p>
            <w:pPr>
              <w:ind w:left="160"/>
              <w:spacing w:after="0"/>
              <w:rPr>
                <w:sz w:val="20"/>
                <w:szCs w:val="20"/>
                <w:color w:val="auto"/>
              </w:rPr>
            </w:pPr>
            <w:r>
              <w:rPr>
                <w:rFonts w:ascii="Arial" w:cs="Arial" w:eastAsia="Arial" w:hAnsi="Arial"/>
                <w:sz w:val="14"/>
                <w:szCs w:val="14"/>
                <w:b w:val="1"/>
                <w:bCs w:val="1"/>
                <w:i w:val="1"/>
                <w:iCs w:val="1"/>
                <w:color w:val="auto"/>
              </w:rPr>
              <w:t>​</w:t>
            </w:r>
          </w:p>
        </w:tc>
        <w:tc>
          <w:tcPr>
            <w:tcW w:w="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w:t>
            </w:r>
          </w:p>
        </w:tc>
        <w:tc>
          <w:tcPr>
            <w:tcW w:w="0" w:type="dxa"/>
            <w:vAlign w:val="bottom"/>
          </w:tcPr>
          <w:p>
            <w:pPr>
              <w:spacing w:after="0"/>
              <w:rPr>
                <w:sz w:val="1"/>
                <w:szCs w:val="1"/>
                <w:color w:val="auto"/>
              </w:rPr>
            </w:pPr>
          </w:p>
        </w:tc>
      </w:tr>
      <w:tr>
        <w:trPr>
          <w:trHeight w:val="170"/>
        </w:trPr>
        <w:tc>
          <w:tcPr>
            <w:tcW w:w="1660" w:type="dxa"/>
            <w:vAlign w:val="bottom"/>
          </w:tcPr>
          <w:p>
            <w:pPr>
              <w:spacing w:after="0"/>
              <w:rPr>
                <w:sz w:val="20"/>
                <w:szCs w:val="20"/>
                <w:color w:val="auto"/>
              </w:rPr>
            </w:pPr>
            <w:r>
              <w:rPr>
                <w:rFonts w:ascii="Arial" w:cs="Arial" w:eastAsia="Arial" w:hAnsi="Arial"/>
                <w:sz w:val="14"/>
                <w:szCs w:val="14"/>
                <w:color w:val="auto"/>
              </w:rPr>
              <w:t>Wesley G. Iseley</w:t>
            </w:r>
          </w:p>
        </w:tc>
        <w:tc>
          <w:tcPr>
            <w:tcW w:w="360" w:type="dxa"/>
            <w:vAlign w:val="bottom"/>
          </w:tcPr>
          <w:p>
            <w:pPr>
              <w:ind w:left="100"/>
              <w:spacing w:after="0"/>
              <w:rPr>
                <w:sz w:val="20"/>
                <w:szCs w:val="20"/>
                <w:color w:val="auto"/>
              </w:rPr>
            </w:pPr>
            <w:r>
              <w:rPr>
                <w:rFonts w:ascii="Arial" w:cs="Arial" w:eastAsia="Arial" w:hAnsi="Arial"/>
                <w:sz w:val="14"/>
                <w:szCs w:val="14"/>
                <w:color w:val="auto"/>
              </w:rPr>
              <w:t>​66</w:t>
            </w: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420" w:type="dxa"/>
            <w:vAlign w:val="bottom"/>
          </w:tcPr>
          <w:p>
            <w:pPr>
              <w:jc w:val="center"/>
              <w:spacing w:after="0"/>
              <w:rPr>
                <w:sz w:val="20"/>
                <w:szCs w:val="20"/>
                <w:color w:val="auto"/>
              </w:rPr>
            </w:pPr>
            <w:r>
              <w:rPr>
                <w:rFonts w:ascii="Arial" w:cs="Arial" w:eastAsia="Arial" w:hAnsi="Arial"/>
                <w:sz w:val="14"/>
                <w:szCs w:val="14"/>
                <w:color w:val="auto"/>
                <w:w w:val="94"/>
              </w:rPr>
              <w:t>N/A</w:t>
            </w:r>
          </w:p>
        </w:tc>
        <w:tc>
          <w:tcPr>
            <w:tcW w:w="220" w:type="dxa"/>
            <w:vAlign w:val="bottom"/>
          </w:tcPr>
          <w:p>
            <w:pPr>
              <w:spacing w:after="0"/>
              <w:rPr>
                <w:sz w:val="14"/>
                <w:szCs w:val="14"/>
                <w:color w:val="auto"/>
              </w:rPr>
            </w:pP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220" w:type="dxa"/>
            <w:vAlign w:val="bottom"/>
            <w:vMerge w:val="continue"/>
          </w:tcPr>
          <w:p>
            <w:pPr>
              <w:spacing w:after="0"/>
              <w:rPr>
                <w:sz w:val="14"/>
                <w:szCs w:val="14"/>
                <w:color w:val="auto"/>
              </w:rPr>
            </w:pPr>
          </w:p>
        </w:tc>
        <w:tc>
          <w:tcPr>
            <w:tcW w:w="1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tcPr>
          <w:p>
            <w:pPr>
              <w:ind w:left="20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4"/>
                <w:szCs w:val="14"/>
                <w:color w:val="auto"/>
              </w:rPr>
            </w:pPr>
          </w:p>
        </w:tc>
        <w:tc>
          <w:tcPr>
            <w:tcW w:w="520" w:type="dxa"/>
            <w:vAlign w:val="bottom"/>
          </w:tcPr>
          <w:p>
            <w:pPr>
              <w:ind w:left="14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4"/>
                <w:szCs w:val="14"/>
                <w:color w:val="auto"/>
              </w:rPr>
            </w:pPr>
          </w:p>
        </w:tc>
        <w:tc>
          <w:tcPr>
            <w:tcW w:w="800" w:type="dxa"/>
            <w:vAlign w:val="bottom"/>
          </w:tcPr>
          <w:p>
            <w:pPr>
              <w:ind w:left="28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4"/>
                <w:szCs w:val="14"/>
                <w:color w:val="auto"/>
              </w:rPr>
            </w:pPr>
          </w:p>
        </w:tc>
        <w:tc>
          <w:tcPr>
            <w:tcW w:w="620" w:type="dxa"/>
            <w:vAlign w:val="bottom"/>
          </w:tcPr>
          <w:p>
            <w:pPr>
              <w:ind w:left="260"/>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14"/>
                <w:szCs w:val="14"/>
                <w:color w:val="auto"/>
              </w:rPr>
            </w:pPr>
          </w:p>
        </w:tc>
        <w:tc>
          <w:tcPr>
            <w:tcW w:w="540" w:type="dxa"/>
            <w:vAlign w:val="bottom"/>
          </w:tcPr>
          <w:p>
            <w:pPr>
              <w:ind w:left="120"/>
              <w:spacing w:after="0"/>
              <w:rPr>
                <w:sz w:val="20"/>
                <w:szCs w:val="20"/>
                <w:color w:val="auto"/>
              </w:rPr>
            </w:pPr>
            <w:r>
              <w:rPr>
                <w:rFonts w:ascii="Arial" w:cs="Arial" w:eastAsia="Arial" w:hAnsi="Arial"/>
                <w:sz w:val="14"/>
                <w:szCs w:val="14"/>
                <w:color w:val="auto"/>
              </w:rPr>
              <w:t>N/A</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Matthew Winkler</w:t>
            </w:r>
          </w:p>
        </w:tc>
        <w:tc>
          <w:tcPr>
            <w:tcW w:w="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​44</w:t>
            </w:r>
          </w:p>
        </w:tc>
        <w:tc>
          <w:tcPr>
            <w:tcW w:w="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N/A</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8"/>
                <w:szCs w:val="8"/>
                <w:color w:val="auto"/>
                <w:w w:val="81"/>
              </w:rPr>
              <w:t>(4)</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N/A</w:t>
            </w: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N/A</w:t>
            </w:r>
          </w:p>
        </w:tc>
        <w:tc>
          <w:tcPr>
            <w:tcW w:w="6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-1127125</wp:posOffset>
            </wp:positionV>
            <wp:extent cx="4568825" cy="2152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568825" cy="215265"/>
                    </a:xfrm>
                    <a:prstGeom prst="rect">
                      <a:avLst/>
                    </a:prstGeom>
                    <a:noFill/>
                  </pic:spPr>
                </pic:pic>
              </a:graphicData>
            </a:graphic>
          </wp:anchor>
        </w:drawing>
        <w:drawing>
          <wp:anchor simplePos="0" relativeHeight="251657728" behindDoc="1" locked="0" layoutInCell="0" allowOverlap="1">
            <wp:simplePos x="0" y="0"/>
            <wp:positionH relativeFrom="column">
              <wp:posOffset>676275</wp:posOffset>
            </wp:positionH>
            <wp:positionV relativeFrom="paragraph">
              <wp:posOffset>-810895</wp:posOffset>
            </wp:positionV>
            <wp:extent cx="4568825" cy="1003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68825" cy="100330"/>
                    </a:xfrm>
                    <a:prstGeom prst="rect">
                      <a:avLst/>
                    </a:prstGeom>
                    <a:noFill/>
                  </pic:spPr>
                </pic:pic>
              </a:graphicData>
            </a:graphic>
          </wp:anchor>
        </w:drawing>
        <w:drawing>
          <wp:anchor simplePos="0" relativeHeight="251657728" behindDoc="1" locked="0" layoutInCell="0" allowOverlap="1">
            <wp:simplePos x="0" y="0"/>
            <wp:positionH relativeFrom="column">
              <wp:posOffset>676275</wp:posOffset>
            </wp:positionH>
            <wp:positionV relativeFrom="paragraph">
              <wp:posOffset>-602615</wp:posOffset>
            </wp:positionV>
            <wp:extent cx="4568825" cy="1149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68825" cy="114935"/>
                    </a:xfrm>
                    <a:prstGeom prst="rect">
                      <a:avLst/>
                    </a:prstGeom>
                    <a:noFill/>
                  </pic:spPr>
                </pic:pic>
              </a:graphicData>
            </a:graphic>
          </wp:anchor>
        </w:drawing>
        <w:drawing>
          <wp:anchor simplePos="0" relativeHeight="251657728" behindDoc="1" locked="0" layoutInCell="0" allowOverlap="1">
            <wp:simplePos x="0" y="0"/>
            <wp:positionH relativeFrom="column">
              <wp:posOffset>676275</wp:posOffset>
            </wp:positionH>
            <wp:positionV relativeFrom="paragraph">
              <wp:posOffset>-380365</wp:posOffset>
            </wp:positionV>
            <wp:extent cx="4568825" cy="165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568825" cy="165100"/>
                    </a:xfrm>
                    <a:prstGeom prst="rect">
                      <a:avLst/>
                    </a:prstGeom>
                    <a:noFill/>
                  </pic:spPr>
                </pic:pic>
              </a:graphicData>
            </a:graphic>
          </wp:anchor>
        </w:drawing>
      </w:r>
    </w:p>
    <w:p>
      <w:pPr>
        <w:ind w:left="1360" w:hanging="295"/>
        <w:spacing w:after="0" w:line="227" w:lineRule="auto"/>
        <w:tabs>
          <w:tab w:leader="none" w:pos="1360" w:val="left"/>
        </w:tabs>
        <w:numPr>
          <w:ilvl w:val="0"/>
          <w:numId w:val="22"/>
        </w:numPr>
        <w:rPr>
          <w:rFonts w:ascii="Arial" w:cs="Arial" w:eastAsia="Arial" w:hAnsi="Arial"/>
          <w:sz w:val="18"/>
          <w:szCs w:val="18"/>
          <w:color w:val="auto"/>
          <w:vertAlign w:val="superscript"/>
        </w:rPr>
      </w:pPr>
      <w:r>
        <w:rPr>
          <w:rFonts w:ascii="Arial" w:cs="Arial" w:eastAsia="Arial" w:hAnsi="Arial"/>
          <w:sz w:val="12"/>
          <w:szCs w:val="12"/>
          <w:color w:val="auto"/>
        </w:rPr>
        <w:t>As of March 17, 2025</w:t>
      </w:r>
    </w:p>
    <w:p>
      <w:pPr>
        <w:spacing w:after="0" w:line="57" w:lineRule="exact"/>
        <w:rPr>
          <w:rFonts w:ascii="Arial" w:cs="Arial" w:eastAsia="Arial" w:hAnsi="Arial"/>
          <w:sz w:val="18"/>
          <w:szCs w:val="18"/>
          <w:color w:val="auto"/>
          <w:vertAlign w:val="superscript"/>
        </w:rPr>
      </w:pPr>
    </w:p>
    <w:p>
      <w:pPr>
        <w:ind w:left="1360" w:hanging="295"/>
        <w:spacing w:after="0" w:line="180" w:lineRule="auto"/>
        <w:tabs>
          <w:tab w:leader="none" w:pos="1360" w:val="left"/>
        </w:tabs>
        <w:numPr>
          <w:ilvl w:val="0"/>
          <w:numId w:val="22"/>
        </w:numPr>
        <w:rPr>
          <w:rFonts w:ascii="Arial" w:cs="Arial" w:eastAsia="Arial" w:hAnsi="Arial"/>
          <w:sz w:val="17"/>
          <w:szCs w:val="17"/>
          <w:color w:val="auto"/>
          <w:vertAlign w:val="superscript"/>
        </w:rPr>
      </w:pPr>
      <w:r>
        <w:rPr>
          <w:rFonts w:ascii="Arial" w:cs="Arial" w:eastAsia="Arial" w:hAnsi="Arial"/>
          <w:sz w:val="11"/>
          <w:szCs w:val="11"/>
          <w:color w:val="auto"/>
        </w:rPr>
        <w:t>Committee Chair</w:t>
      </w:r>
    </w:p>
    <w:p>
      <w:pPr>
        <w:spacing w:after="0" w:line="68" w:lineRule="exact"/>
        <w:rPr>
          <w:rFonts w:ascii="Arial" w:cs="Arial" w:eastAsia="Arial" w:hAnsi="Arial"/>
          <w:sz w:val="17"/>
          <w:szCs w:val="17"/>
          <w:color w:val="auto"/>
          <w:vertAlign w:val="superscript"/>
        </w:rPr>
      </w:pPr>
    </w:p>
    <w:p>
      <w:pPr>
        <w:ind w:left="1360" w:hanging="295"/>
        <w:spacing w:after="0" w:line="180" w:lineRule="auto"/>
        <w:tabs>
          <w:tab w:leader="none" w:pos="1360" w:val="left"/>
        </w:tabs>
        <w:numPr>
          <w:ilvl w:val="0"/>
          <w:numId w:val="22"/>
        </w:numPr>
        <w:rPr>
          <w:rFonts w:ascii="Arial" w:cs="Arial" w:eastAsia="Arial" w:hAnsi="Arial"/>
          <w:sz w:val="17"/>
          <w:szCs w:val="17"/>
          <w:color w:val="auto"/>
          <w:vertAlign w:val="superscript"/>
        </w:rPr>
      </w:pPr>
      <w:r>
        <w:rPr>
          <w:rFonts w:ascii="Arial" w:cs="Arial" w:eastAsia="Arial" w:hAnsi="Arial"/>
          <w:sz w:val="11"/>
          <w:szCs w:val="11"/>
          <w:color w:val="auto"/>
        </w:rPr>
        <w:t>Lead Independent Director</w:t>
      </w:r>
    </w:p>
    <w:p>
      <w:pPr>
        <w:spacing w:after="0" w:line="57" w:lineRule="exact"/>
        <w:rPr>
          <w:rFonts w:ascii="Arial" w:cs="Arial" w:eastAsia="Arial" w:hAnsi="Arial"/>
          <w:sz w:val="17"/>
          <w:szCs w:val="17"/>
          <w:color w:val="auto"/>
          <w:vertAlign w:val="superscript"/>
        </w:rPr>
      </w:pPr>
    </w:p>
    <w:p>
      <w:pPr>
        <w:ind w:left="1360" w:right="1119" w:hanging="295"/>
        <w:spacing w:after="0" w:line="204" w:lineRule="auto"/>
        <w:tabs>
          <w:tab w:leader="none" w:pos="1360" w:val="left"/>
        </w:tabs>
        <w:numPr>
          <w:ilvl w:val="0"/>
          <w:numId w:val="22"/>
        </w:numPr>
        <w:rPr>
          <w:rFonts w:ascii="Arial" w:cs="Arial" w:eastAsia="Arial" w:hAnsi="Arial"/>
          <w:sz w:val="18"/>
          <w:szCs w:val="18"/>
          <w:color w:val="auto"/>
          <w:vertAlign w:val="superscript"/>
        </w:rPr>
      </w:pPr>
      <w:r>
        <w:rPr>
          <w:rFonts w:ascii="Arial" w:cs="Arial" w:eastAsia="Arial" w:hAnsi="Arial"/>
          <w:sz w:val="12"/>
          <w:szCs w:val="12"/>
          <w:color w:val="auto"/>
        </w:rPr>
        <w:t>It is expected that our Board will determine that each of these nominees qualifies as an “Independent Director” as such term is defined in Rule 5605(a) of the Nasdaq listing rules</w:t>
      </w:r>
    </w:p>
    <w:p>
      <w:pPr>
        <w:spacing w:after="0" w:line="107" w:lineRule="exact"/>
        <w:rPr>
          <w:sz w:val="20"/>
          <w:szCs w:val="20"/>
          <w:color w:val="auto"/>
        </w:rPr>
      </w:pPr>
    </w:p>
    <w:p>
      <w:pPr>
        <w:ind w:left="1060" w:right="1139"/>
        <w:spacing w:after="0" w:line="288" w:lineRule="auto"/>
        <w:rPr>
          <w:sz w:val="20"/>
          <w:szCs w:val="20"/>
          <w:color w:val="auto"/>
        </w:rPr>
      </w:pPr>
      <w:r>
        <w:rPr>
          <w:rFonts w:ascii="Arial" w:cs="Arial" w:eastAsia="Arial" w:hAnsi="Arial"/>
          <w:sz w:val="15"/>
          <w:szCs w:val="15"/>
          <w:color w:val="auto"/>
        </w:rPr>
        <w:t>We believe that the proposed composition of our Board of Directors will be well-balanced in terms of tenure between more experienced Directors and more recently appointed Directors.</w:t>
      </w:r>
    </w:p>
    <w:p>
      <w:pPr>
        <w:spacing w:after="0" w:line="72" w:lineRule="exact"/>
        <w:rPr>
          <w:sz w:val="20"/>
          <w:szCs w:val="20"/>
          <w:color w:val="auto"/>
        </w:rPr>
      </w:pPr>
    </w:p>
    <w:p>
      <w:pPr>
        <w:ind w:left="1060" w:right="1219"/>
        <w:spacing w:after="0" w:line="262" w:lineRule="auto"/>
        <w:rPr>
          <w:sz w:val="20"/>
          <w:szCs w:val="20"/>
          <w:color w:val="auto"/>
        </w:rPr>
      </w:pPr>
      <w:r>
        <w:rPr>
          <w:rFonts w:ascii="Arial" w:cs="Arial" w:eastAsia="Arial" w:hAnsi="Arial"/>
          <w:sz w:val="15"/>
          <w:szCs w:val="15"/>
          <w:color w:val="auto"/>
        </w:rPr>
        <w:t>The principal occupation for the last five (5) years, as well as additional biographical information for each nominee for Director are set forth below. The nominees for Director collectively bring a wealth of leadership experience and insight derived from relevant industry experience, education and training, service in executive and managerial roles, and board experience.</w:t>
      </w:r>
    </w:p>
    <w:p>
      <w:pPr>
        <w:spacing w:after="0" w:line="265" w:lineRule="exact"/>
        <w:rPr>
          <w:sz w:val="20"/>
          <w:szCs w:val="20"/>
          <w:color w:val="auto"/>
        </w:rPr>
      </w:pPr>
    </w:p>
    <w:p>
      <w:pPr>
        <w:ind w:left="1060" w:right="1119"/>
        <w:spacing w:after="0" w:line="258" w:lineRule="auto"/>
        <w:rPr>
          <w:sz w:val="20"/>
          <w:szCs w:val="20"/>
          <w:color w:val="auto"/>
        </w:rPr>
      </w:pPr>
      <w:r>
        <w:rPr>
          <w:rFonts w:ascii="Arial" w:cs="Arial" w:eastAsia="Arial" w:hAnsi="Arial"/>
          <w:sz w:val="15"/>
          <w:szCs w:val="15"/>
          <w:b w:val="1"/>
          <w:bCs w:val="1"/>
          <w:i w:val="1"/>
          <w:iCs w:val="1"/>
          <w:color w:val="auto"/>
        </w:rPr>
        <w:t xml:space="preserve">John. G. Aldridge, Jr. </w:t>
      </w:r>
      <w:r>
        <w:rPr>
          <w:rFonts w:ascii="Arial" w:cs="Arial" w:eastAsia="Arial" w:hAnsi="Arial"/>
          <w:sz w:val="15"/>
          <w:szCs w:val="15"/>
          <w:color w:val="auto"/>
        </w:rPr>
        <w:t>Mr. Aldridge was appointed to our Board in May 2022. Mr. Aldridge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founder and managing partner of Aldridge|Pite, LLP (“Aldridge Pite”), a multi-state law firm focusing on the representation of banks, financial institutions, mortgage servicing entities and institutional investors with respect to all facets of the commercial and residential real estate life cycle. Aldridge Pite counts among its client base the 30 largest servicing and financial institutions in the country as well as all governmental enterprises engaged in the mortgage</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7" w:name="page18"/>
    <w:bookmarkEnd w:id="17"/>
    <w:p>
      <w:pPr>
        <w:ind w:left="2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ind w:left="664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PROPOSAL ONE</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4203065</wp:posOffset>
            </wp:positionH>
            <wp:positionV relativeFrom="paragraph">
              <wp:posOffset>-181610</wp:posOffset>
            </wp:positionV>
            <wp:extent cx="840740" cy="1219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40740" cy="121920"/>
                    </a:xfrm>
                    <a:prstGeom prst="rect">
                      <a:avLst/>
                    </a:prstGeom>
                    <a:noFill/>
                  </pic:spPr>
                </pic:pic>
              </a:graphicData>
            </a:graphic>
          </wp:anchor>
        </w:drawing>
      </w:r>
    </w:p>
    <w:p>
      <w:pPr>
        <w:spacing w:after="0" w:line="97" w:lineRule="exact"/>
        <w:rPr>
          <w:sz w:val="20"/>
          <w:szCs w:val="20"/>
          <w:color w:val="auto"/>
        </w:rPr>
      </w:pPr>
    </w:p>
    <w:p>
      <w:pPr>
        <w:ind w:left="1060" w:right="1079"/>
        <w:spacing w:after="0" w:line="255" w:lineRule="auto"/>
        <w:rPr>
          <w:sz w:val="20"/>
          <w:szCs w:val="20"/>
          <w:color w:val="auto"/>
        </w:rPr>
      </w:pPr>
      <w:r>
        <w:rPr>
          <w:rFonts w:ascii="Arial" w:cs="Arial" w:eastAsia="Arial" w:hAnsi="Arial"/>
          <w:sz w:val="15"/>
          <w:szCs w:val="15"/>
          <w:color w:val="auto"/>
        </w:rPr>
        <w:t>industry. Mr. Aldridge is also the Senior Partner at Aldridge|Pite|Haan, LLP, a multi-state collections law firm with a primary emphasis on consumer and commercial collections. Mr. Aldridge founded, owned, operated and sold numerous companies involved in the real estate industry, including title companies, trustee companies, service of process companies, technology (as a service) companies and technology and business process consulting companies. Mr. Aldridge currently sits on the Boards of Directors of Coastal States Bank and Atlantic Closing &amp; Escrow, and the advisory boards of The Birdsey Group and Wrightwell. Mr. Aldridge has served on industry Boards of Directors as well, including the United States Foreclosure Network, and is a frequent speaker at mortgage banking and real estate conferences across the country. Mr. Aldridge holds a Bachelor of Science in Political Science from the University of North Carolina at Chapel Hill and a Juris Doctor from Emory University School of Law.</w:t>
      </w:r>
    </w:p>
    <w:p>
      <w:pPr>
        <w:spacing w:after="0" w:line="200" w:lineRule="exact"/>
        <w:rPr>
          <w:sz w:val="20"/>
          <w:szCs w:val="20"/>
          <w:color w:val="auto"/>
        </w:rPr>
      </w:pPr>
    </w:p>
    <w:p>
      <w:pPr>
        <w:spacing w:after="0" w:line="252" w:lineRule="exact"/>
        <w:rPr>
          <w:sz w:val="20"/>
          <w:szCs w:val="20"/>
          <w:color w:val="auto"/>
        </w:rPr>
      </w:pPr>
    </w:p>
    <w:p>
      <w:pPr>
        <w:ind w:left="1060" w:right="1259"/>
        <w:spacing w:after="0" w:line="260" w:lineRule="auto"/>
        <w:rPr>
          <w:sz w:val="20"/>
          <w:szCs w:val="20"/>
          <w:color w:val="auto"/>
        </w:rPr>
      </w:pPr>
      <w:r>
        <w:rPr>
          <w:rFonts w:ascii="Arial" w:cs="Arial" w:eastAsia="Arial" w:hAnsi="Arial"/>
          <w:sz w:val="15"/>
          <w:szCs w:val="15"/>
          <w:color w:val="auto"/>
        </w:rPr>
        <w:t>Mr. Aldridge’s mortgage industry knowledge and extensive relationships with senior management of mortgage origination and servicing companies, developed through professional engagements, strengthens Altisource’s client relationships, leading to new business opportunities. Mr. Aldridge’s expertise in the industry helps Altisource stay ahead of market trends and adapt its services to better serve its clients.</w:t>
      </w:r>
    </w:p>
    <w:p>
      <w:pPr>
        <w:spacing w:after="0" w:line="95" w:lineRule="exact"/>
        <w:rPr>
          <w:sz w:val="20"/>
          <w:szCs w:val="20"/>
          <w:color w:val="auto"/>
        </w:rPr>
      </w:pPr>
    </w:p>
    <w:p>
      <w:pPr>
        <w:ind w:left="1060" w:right="1099"/>
        <w:spacing w:after="0" w:line="257" w:lineRule="auto"/>
        <w:rPr>
          <w:sz w:val="20"/>
          <w:szCs w:val="20"/>
          <w:color w:val="auto"/>
        </w:rPr>
      </w:pPr>
      <w:r>
        <w:rPr>
          <w:rFonts w:ascii="Arial" w:cs="Arial" w:eastAsia="Arial" w:hAnsi="Arial"/>
          <w:sz w:val="15"/>
          <w:szCs w:val="15"/>
          <w:b w:val="1"/>
          <w:bCs w:val="1"/>
          <w:i w:val="1"/>
          <w:iCs w:val="1"/>
          <w:color w:val="auto"/>
        </w:rPr>
        <w:t xml:space="preserve">Mary C. Hickok. </w:t>
      </w:r>
      <w:r>
        <w:rPr>
          <w:rFonts w:ascii="Arial" w:cs="Arial" w:eastAsia="Arial" w:hAnsi="Arial"/>
          <w:sz w:val="15"/>
          <w:szCs w:val="15"/>
          <w:color w:val="auto"/>
        </w:rPr>
        <w:t>Ms. Hickok was appointed to our Board in March 2022. Ms. Hickok serves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Managing Director at Deer Park Road Management Company, LP (“Deer Park”), an alternative investment management firm, where she is responsible for leading the Flywheel SFR Fund, a single-family rental strategy. Prior to joining Deer Park in July 2020, Ms. Hickok served as Associate, Fixed Income Sales and Trading at Morgan Stanley from July 2017 to July 2020. Ms. Hickok holds a Bachelor of Arts in Economics and Foreign Affairs from the University of Virginia, as well as the Chartered Financial Analyst designation.</w:t>
      </w:r>
    </w:p>
    <w:p>
      <w:pPr>
        <w:spacing w:after="0" w:line="98" w:lineRule="exact"/>
        <w:rPr>
          <w:sz w:val="20"/>
          <w:szCs w:val="20"/>
          <w:color w:val="auto"/>
        </w:rPr>
      </w:pPr>
    </w:p>
    <w:p>
      <w:pPr>
        <w:ind w:left="1060" w:right="1159"/>
        <w:spacing w:after="0" w:line="255" w:lineRule="auto"/>
        <w:rPr>
          <w:sz w:val="20"/>
          <w:szCs w:val="20"/>
          <w:color w:val="auto"/>
        </w:rPr>
      </w:pPr>
      <w:r>
        <w:rPr>
          <w:rFonts w:ascii="Arial" w:cs="Arial" w:eastAsia="Arial" w:hAnsi="Arial"/>
          <w:sz w:val="15"/>
          <w:szCs w:val="15"/>
          <w:color w:val="auto"/>
        </w:rPr>
        <w:t>Ms. Hickok’s expertise and experience in business advisory services and asset management, including real estate and mortgage-related investments, provide our Board with a valuable perspective on strategic decision-making and risk management. Deer Park’s position as a Company investor has provided Ms. Hickok with a thorough understanding of our business as well as unique insight into the interests of our long-term investors.</w:t>
      </w:r>
    </w:p>
    <w:p>
      <w:pPr>
        <w:spacing w:after="0" w:line="3" w:lineRule="exact"/>
        <w:rPr>
          <w:sz w:val="20"/>
          <w:szCs w:val="20"/>
          <w:color w:val="auto"/>
        </w:rPr>
      </w:pPr>
    </w:p>
    <w:p>
      <w:pPr>
        <w:ind w:left="1060" w:right="1159"/>
        <w:spacing w:after="0" w:line="268" w:lineRule="auto"/>
        <w:rPr>
          <w:sz w:val="20"/>
          <w:szCs w:val="20"/>
          <w:color w:val="auto"/>
        </w:rPr>
      </w:pPr>
      <w:r>
        <w:rPr>
          <w:rFonts w:ascii="Arial" w:cs="Arial" w:eastAsia="Arial" w:hAnsi="Arial"/>
          <w:sz w:val="15"/>
          <w:szCs w:val="15"/>
          <w:color w:val="auto"/>
        </w:rPr>
        <w:t>Ms. Hickok is financially literate and qualifies as an “audit committee financial expert” within the meaning of SEC regulations.</w:t>
      </w:r>
    </w:p>
    <w:p>
      <w:pPr>
        <w:spacing w:after="0" w:line="76" w:lineRule="exact"/>
        <w:rPr>
          <w:sz w:val="20"/>
          <w:szCs w:val="20"/>
          <w:color w:val="auto"/>
        </w:rPr>
      </w:pPr>
    </w:p>
    <w:p>
      <w:pPr>
        <w:ind w:left="1060" w:right="1139"/>
        <w:spacing w:after="0" w:line="255" w:lineRule="auto"/>
        <w:rPr>
          <w:sz w:val="20"/>
          <w:szCs w:val="20"/>
          <w:color w:val="auto"/>
        </w:rPr>
      </w:pPr>
      <w:r>
        <w:rPr>
          <w:rFonts w:ascii="Arial" w:cs="Arial" w:eastAsia="Arial" w:hAnsi="Arial"/>
          <w:sz w:val="15"/>
          <w:szCs w:val="15"/>
          <w:b w:val="1"/>
          <w:bCs w:val="1"/>
          <w:i w:val="1"/>
          <w:iCs w:val="1"/>
          <w:color w:val="auto"/>
        </w:rPr>
        <w:t xml:space="preserve">Joseph L. Morettini. </w:t>
      </w:r>
      <w:r>
        <w:rPr>
          <w:rFonts w:ascii="Arial" w:cs="Arial" w:eastAsia="Arial" w:hAnsi="Arial"/>
          <w:sz w:val="15"/>
          <w:szCs w:val="15"/>
          <w:color w:val="auto"/>
        </w:rPr>
        <w:t>Mr. Morettini was appointed to our Board in May 2017. Mr. Morettini</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served as a Partner at Deloitte &amp; Touche LLP (“Deloitte”) from 1989 until his retirement in 2015, and in various positions at Deloitte from 1984 to 1989. During his tenure at Deloitte, his client responsibilities included companies in the financial services and mortgage servicing industries, in addition to various public companies from small market capitalization to large market capitalization. From August 2009 to February 2014, he served as the external audit partner assigned to Altisource. Mr. Morettini also served on the Board of Directors and as Audit Committee Chairman of TechBridge, an Atlanta, Georgia based nonprofit organization, from 2003 to 2005. Mr. Morettini holds a Bachelor of Arts in Liberal Arts and Sciences from the University of Illinois and a Master of Accountancy from Western Illinois University. Mr. Morettini is a Certified Public Accountant.</w:t>
      </w:r>
    </w:p>
    <w:p>
      <w:pPr>
        <w:spacing w:after="0" w:line="283" w:lineRule="exact"/>
        <w:rPr>
          <w:sz w:val="20"/>
          <w:szCs w:val="20"/>
          <w:color w:val="auto"/>
        </w:rPr>
      </w:pPr>
    </w:p>
    <w:p>
      <w:pPr>
        <w:ind w:left="1060" w:right="1119"/>
        <w:spacing w:after="0" w:line="260" w:lineRule="auto"/>
        <w:rPr>
          <w:sz w:val="20"/>
          <w:szCs w:val="20"/>
          <w:color w:val="auto"/>
        </w:rPr>
      </w:pPr>
      <w:r>
        <w:rPr>
          <w:rFonts w:ascii="Arial" w:cs="Arial" w:eastAsia="Arial" w:hAnsi="Arial"/>
          <w:sz w:val="15"/>
          <w:szCs w:val="15"/>
          <w:color w:val="auto"/>
        </w:rPr>
        <w:t>Mr. Morettini’s extensive experience with large financial institutions and public corporations in the financial services and mortgage servicing industries, as well as his thirty-plus years of experience with Deloitte, provide our Board with valuable insight from an accounting and auditing perspective. Mr. Morettini is financially literate and qualifies as an “audit committee financial expert” within the meaning of SEC regulations.</w:t>
      </w:r>
    </w:p>
    <w:p>
      <w:pPr>
        <w:spacing w:after="0" w:line="95" w:lineRule="exact"/>
        <w:rPr>
          <w:sz w:val="20"/>
          <w:szCs w:val="20"/>
          <w:color w:val="auto"/>
        </w:rPr>
      </w:pPr>
    </w:p>
    <w:p>
      <w:pPr>
        <w:ind w:left="1060" w:right="1119"/>
        <w:spacing w:after="0" w:line="254" w:lineRule="auto"/>
        <w:rPr>
          <w:sz w:val="20"/>
          <w:szCs w:val="20"/>
          <w:color w:val="auto"/>
        </w:rPr>
      </w:pPr>
      <w:r>
        <w:rPr>
          <w:rFonts w:ascii="Arial" w:cs="Arial" w:eastAsia="Arial" w:hAnsi="Arial"/>
          <w:sz w:val="15"/>
          <w:szCs w:val="15"/>
          <w:b w:val="1"/>
          <w:bCs w:val="1"/>
          <w:i w:val="1"/>
          <w:iCs w:val="1"/>
          <w:color w:val="auto"/>
        </w:rPr>
        <w:t xml:space="preserve">Roland Müller-Ineichen. </w:t>
      </w:r>
      <w:r>
        <w:rPr>
          <w:rFonts w:ascii="Arial" w:cs="Arial" w:eastAsia="Arial" w:hAnsi="Arial"/>
          <w:sz w:val="15"/>
          <w:szCs w:val="15"/>
          <w:color w:val="auto"/>
        </w:rPr>
        <w:t>Mr. Müller-Ineichen was appointed to our Board in July 2009 and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Lead Independent Director in September 2020. He also serves on the Board of Directors of ONE Swiss Bank SA, with offices in Geneva, Zurich and Lugano, Switzerland, which offers advisory, asset management and wealth management services; of SWA Swiss Auditors AG, a private company based in Freienbach, Switzerland that provides auditing and consulting services for financial institutions in Switzerland; and of Habib Bank Zurich AG, a provider of corporate, personal, private, and correspondent banking products based in Zurich.</w:t>
      </w:r>
    </w:p>
    <w:p>
      <w:pPr>
        <w:spacing w:after="0" w:line="3" w:lineRule="exact"/>
        <w:rPr>
          <w:sz w:val="20"/>
          <w:szCs w:val="20"/>
          <w:color w:val="auto"/>
        </w:rPr>
      </w:pPr>
    </w:p>
    <w:p>
      <w:pPr>
        <w:ind w:left="1060" w:right="1099"/>
        <w:spacing w:after="0" w:line="254" w:lineRule="auto"/>
        <w:rPr>
          <w:sz w:val="20"/>
          <w:szCs w:val="20"/>
          <w:color w:val="auto"/>
        </w:rPr>
      </w:pPr>
      <w:r>
        <w:rPr>
          <w:rFonts w:ascii="Arial" w:cs="Arial" w:eastAsia="Arial" w:hAnsi="Arial"/>
          <w:sz w:val="15"/>
          <w:szCs w:val="15"/>
          <w:color w:val="auto"/>
        </w:rPr>
        <w:t>Mr. Müller-Ineichen served as a Partner with KPMG Switzerland and KPMG Europe LLP where he was the lead partner on audits of national and international banks, security dealers and fund management companies. Mr. Müller-Ineichen began working in the Zurich office of KPMG in June 1995 as a Senior Manager in the audit department focused on the banking and financial services industries and served as a Partner from January 1999 until his retirement in December 2008. Prior to joining KPMG, Mr. Müller-Ineichen progressed through various audit and managerial roles with Switzerland-based financial institutions. Mr. Müller-Ineichen is a Swiss Certified Public Accountant. He</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8" w:name="page19"/>
    <w:bookmarkEnd w:id="18"/>
    <w:p>
      <w:pPr>
        <w:ind w:left="2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ind w:left="664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PROPOSAL ONE</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4203065</wp:posOffset>
            </wp:positionH>
            <wp:positionV relativeFrom="paragraph">
              <wp:posOffset>-181610</wp:posOffset>
            </wp:positionV>
            <wp:extent cx="840740" cy="1219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40740" cy="121920"/>
                    </a:xfrm>
                    <a:prstGeom prst="rect">
                      <a:avLst/>
                    </a:prstGeom>
                    <a:noFill/>
                  </pic:spPr>
                </pic:pic>
              </a:graphicData>
            </a:graphic>
          </wp:anchor>
        </w:drawing>
      </w:r>
    </w:p>
    <w:p>
      <w:pPr>
        <w:spacing w:after="0" w:line="97" w:lineRule="exact"/>
        <w:rPr>
          <w:sz w:val="20"/>
          <w:szCs w:val="20"/>
          <w:color w:val="auto"/>
        </w:rPr>
      </w:pPr>
    </w:p>
    <w:p>
      <w:pPr>
        <w:ind w:left="1060" w:right="1139"/>
        <w:spacing w:after="0" w:line="288" w:lineRule="auto"/>
        <w:rPr>
          <w:sz w:val="20"/>
          <w:szCs w:val="20"/>
          <w:color w:val="auto"/>
        </w:rPr>
      </w:pPr>
      <w:r>
        <w:rPr>
          <w:rFonts w:ascii="Arial" w:cs="Arial" w:eastAsia="Arial" w:hAnsi="Arial"/>
          <w:sz w:val="15"/>
          <w:szCs w:val="15"/>
          <w:color w:val="auto"/>
        </w:rPr>
        <w:t>completed a commercial and banking business apprenticeship with UBS in 1980. Mr. Müller-Ineichen holds a Business Commerce degree.</w:t>
      </w:r>
    </w:p>
    <w:p>
      <w:pPr>
        <w:spacing w:after="0" w:line="61" w:lineRule="exact"/>
        <w:rPr>
          <w:sz w:val="20"/>
          <w:szCs w:val="20"/>
          <w:color w:val="auto"/>
        </w:rPr>
      </w:pPr>
    </w:p>
    <w:p>
      <w:pPr>
        <w:ind w:left="1060" w:right="1379"/>
        <w:spacing w:after="0" w:line="259" w:lineRule="auto"/>
        <w:rPr>
          <w:sz w:val="20"/>
          <w:szCs w:val="20"/>
          <w:color w:val="auto"/>
        </w:rPr>
      </w:pPr>
      <w:r>
        <w:rPr>
          <w:rFonts w:ascii="Arial" w:cs="Arial" w:eastAsia="Arial" w:hAnsi="Arial"/>
          <w:sz w:val="15"/>
          <w:szCs w:val="15"/>
          <w:color w:val="auto"/>
        </w:rPr>
        <w:t>Mr. Müller -Ineichen’s past employment experience provides our Board with accounting expertise, and his experience in the financial services industry provides our Board with valuable audit and accounting as well as strategic and financial insights. Furthermore, Mr. Müller-Ineichen is financially literate and qualifies as an “audit committee financial expert” within the meaning of SEC regulations. With over fourteen years of service on our Board, Mr. Müller-Ineichen has a thorough understanding of our business and industry.</w:t>
      </w:r>
    </w:p>
    <w:p>
      <w:pPr>
        <w:spacing w:after="0" w:line="94" w:lineRule="exact"/>
        <w:rPr>
          <w:sz w:val="20"/>
          <w:szCs w:val="20"/>
          <w:color w:val="auto"/>
        </w:rPr>
      </w:pPr>
    </w:p>
    <w:p>
      <w:pPr>
        <w:ind w:left="1060" w:right="1179"/>
        <w:spacing w:after="0" w:line="255" w:lineRule="auto"/>
        <w:rPr>
          <w:sz w:val="20"/>
          <w:szCs w:val="20"/>
          <w:color w:val="auto"/>
        </w:rPr>
      </w:pPr>
      <w:r>
        <w:rPr>
          <w:rFonts w:ascii="Arial" w:cs="Arial" w:eastAsia="Arial" w:hAnsi="Arial"/>
          <w:sz w:val="15"/>
          <w:szCs w:val="15"/>
          <w:b w:val="1"/>
          <w:bCs w:val="1"/>
          <w:i w:val="1"/>
          <w:iCs w:val="1"/>
          <w:color w:val="auto"/>
        </w:rPr>
        <w:t>William B. Shepro</w:t>
      </w:r>
      <w:r>
        <w:rPr>
          <w:rFonts w:ascii="Arial" w:cs="Arial" w:eastAsia="Arial" w:hAnsi="Arial"/>
          <w:sz w:val="15"/>
          <w:szCs w:val="15"/>
          <w:color w:val="auto"/>
        </w:rPr>
        <w:t>. Mr. Shepro was appointed Chief Executive Officer and to our Board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July 2009. Mr. Shepro has served as Chairman of our Board since May 2019. Mr. Shepro previously served as the President and Chief Operating Officer of Ocwen Solutions, a business unit of Ocwen Financial Corporation (now Onity Group Inc.) (“Ocwen”). From 2003 to 2009, he served as President of Global Servicing Solutions, LLC, a joint venture between Ocwen and Merrill Lynch. Mr. Shepro also held the positions of Senior Vice President of Ocwen Recovery Group, and Senior Vice President, Director and Senior Manager of Commercial Servicing at Ocwen. He joined Ocwen in 1997. Mr. Shepro also serves on the Boards of Lenders One and Bungalow Living, Inc., and on the Board of Managers of Vested Communities Operating LLC. Mr. Shepro holds a Bachelor of Science in Business from Skidmore College and a Juris Doctor from the Florida State University College of Law.</w:t>
      </w:r>
    </w:p>
    <w:p>
      <w:pPr>
        <w:spacing w:after="0" w:line="283" w:lineRule="exact"/>
        <w:rPr>
          <w:sz w:val="20"/>
          <w:szCs w:val="20"/>
          <w:color w:val="auto"/>
        </w:rPr>
      </w:pPr>
    </w:p>
    <w:p>
      <w:pPr>
        <w:ind w:left="1060" w:right="1319"/>
        <w:spacing w:after="0" w:line="259" w:lineRule="auto"/>
        <w:rPr>
          <w:sz w:val="20"/>
          <w:szCs w:val="20"/>
          <w:color w:val="auto"/>
        </w:rPr>
      </w:pPr>
      <w:r>
        <w:rPr>
          <w:rFonts w:ascii="Arial" w:cs="Arial" w:eastAsia="Arial" w:hAnsi="Arial"/>
          <w:sz w:val="15"/>
          <w:szCs w:val="15"/>
          <w:color w:val="auto"/>
        </w:rPr>
        <w:t>Mr. Shepro’s day-to-day leadership and intimate knowledge of our industry, business, customers and operations provide our Board with Company -specific experience and expertise. Furthermore, Mr. Shepro’s legal background and operational experience in the financial technology and residential and commercial mortgage servicing and real estate industries provide our Board with valuable strategic, industry and operational insights and expertise.</w:t>
      </w:r>
    </w:p>
    <w:p>
      <w:pPr>
        <w:spacing w:after="0" w:line="268" w:lineRule="exact"/>
        <w:rPr>
          <w:sz w:val="20"/>
          <w:szCs w:val="20"/>
          <w:color w:val="auto"/>
        </w:rPr>
      </w:pPr>
    </w:p>
    <w:p>
      <w:pPr>
        <w:ind w:left="1060" w:right="1079"/>
        <w:spacing w:after="0" w:line="255" w:lineRule="auto"/>
        <w:rPr>
          <w:sz w:val="20"/>
          <w:szCs w:val="20"/>
          <w:color w:val="auto"/>
        </w:rPr>
      </w:pPr>
      <w:r>
        <w:rPr>
          <w:rFonts w:ascii="Arial" w:cs="Arial" w:eastAsia="Arial" w:hAnsi="Arial"/>
          <w:sz w:val="15"/>
          <w:szCs w:val="15"/>
          <w:b w:val="1"/>
          <w:bCs w:val="1"/>
          <w:color w:val="auto"/>
        </w:rPr>
        <w:t xml:space="preserve">Wesley G. Iseley. </w:t>
      </w:r>
      <w:r>
        <w:rPr>
          <w:rFonts w:ascii="Arial" w:cs="Arial" w:eastAsia="Arial" w:hAnsi="Arial"/>
          <w:sz w:val="15"/>
          <w:szCs w:val="15"/>
          <w:color w:val="auto"/>
        </w:rPr>
        <w:t>Mr. Iseley currently serves as Senior Managing Director at Carrington</w:t>
      </w:r>
      <w:r>
        <w:rPr>
          <w:rFonts w:ascii="Arial" w:cs="Arial" w:eastAsia="Arial" w:hAnsi="Arial"/>
          <w:sz w:val="15"/>
          <w:szCs w:val="15"/>
          <w:b w:val="1"/>
          <w:bCs w:val="1"/>
          <w:color w:val="auto"/>
        </w:rPr>
        <w:t xml:space="preserve"> </w:t>
      </w:r>
      <w:r>
        <w:rPr>
          <w:rFonts w:ascii="Arial" w:cs="Arial" w:eastAsia="Arial" w:hAnsi="Arial"/>
          <w:sz w:val="15"/>
          <w:szCs w:val="15"/>
          <w:color w:val="auto"/>
        </w:rPr>
        <w:t>Holding Company, a diversified real estate services firm specializing in single-family residential real estate transactions. He has served in this role since November 2018, overseeing the Vylla Companies and leading business development across all Carrington businesses. Prior to this role, he was Executive Vice President at Carrington Investment Services, where he managed investor relations and led business development for mortgage servicing rights (MSRs) and real estate investment vehicles. From 2008 to 2016, Mr. Iseley served as President of Carrington Mortgage Services, where he played a pivotal role in transforming the company into a leading mortgage servicing provider, expanding into both retail and wholesale lending channels. Earlier in his career, Mr. Iseley held senior leadership positions at Morgan Stanley, with a focus on mortgage servicing, third -party originations, and risk management. Mr. Iseley holds a Bachelor of Arts in Finance from the University of Kentucky.</w:t>
      </w:r>
    </w:p>
    <w:p>
      <w:pPr>
        <w:spacing w:after="0" w:line="200" w:lineRule="exact"/>
        <w:rPr>
          <w:sz w:val="20"/>
          <w:szCs w:val="20"/>
          <w:color w:val="auto"/>
        </w:rPr>
      </w:pPr>
    </w:p>
    <w:p>
      <w:pPr>
        <w:spacing w:after="0" w:line="261"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With extensive experience in financial services, asset management, and real estate,</w:t>
      </w:r>
    </w:p>
    <w:p>
      <w:pPr>
        <w:spacing w:after="0" w:line="23" w:lineRule="exact"/>
        <w:rPr>
          <w:sz w:val="20"/>
          <w:szCs w:val="20"/>
          <w:color w:val="auto"/>
        </w:rPr>
      </w:pPr>
    </w:p>
    <w:p>
      <w:pPr>
        <w:ind w:left="1060" w:right="1259"/>
        <w:spacing w:after="0" w:line="268" w:lineRule="auto"/>
        <w:rPr>
          <w:sz w:val="20"/>
          <w:szCs w:val="20"/>
          <w:color w:val="auto"/>
        </w:rPr>
      </w:pPr>
      <w:r>
        <w:rPr>
          <w:rFonts w:ascii="Arial" w:cs="Arial" w:eastAsia="Arial" w:hAnsi="Arial"/>
          <w:sz w:val="15"/>
          <w:szCs w:val="15"/>
          <w:color w:val="auto"/>
        </w:rPr>
        <w:t>Mr. Iseley’s expertise in business development, acquisitions, and strategic growth will be a valuable asset to our Board.</w:t>
      </w:r>
    </w:p>
    <w:p>
      <w:pPr>
        <w:spacing w:after="0" w:line="87" w:lineRule="exact"/>
        <w:rPr>
          <w:sz w:val="20"/>
          <w:szCs w:val="20"/>
          <w:color w:val="auto"/>
        </w:rPr>
      </w:pPr>
    </w:p>
    <w:p>
      <w:pPr>
        <w:ind w:left="1060" w:right="1099"/>
        <w:spacing w:after="0" w:line="255" w:lineRule="auto"/>
        <w:rPr>
          <w:sz w:val="20"/>
          <w:szCs w:val="20"/>
          <w:color w:val="auto"/>
        </w:rPr>
      </w:pPr>
      <w:r>
        <w:rPr>
          <w:rFonts w:ascii="Arial" w:cs="Arial" w:eastAsia="Arial" w:hAnsi="Arial"/>
          <w:sz w:val="15"/>
          <w:szCs w:val="15"/>
          <w:b w:val="1"/>
          <w:bCs w:val="1"/>
          <w:color w:val="auto"/>
        </w:rPr>
        <w:t xml:space="preserve">Matthew Winkler. </w:t>
      </w:r>
      <w:r>
        <w:rPr>
          <w:rFonts w:ascii="Arial" w:cs="Arial" w:eastAsia="Arial" w:hAnsi="Arial"/>
          <w:sz w:val="15"/>
          <w:szCs w:val="15"/>
          <w:color w:val="auto"/>
        </w:rPr>
        <w:t>Mr. Winkler is a Managing Director at Benefit Street Partners, LLC</w:t>
      </w:r>
      <w:r>
        <w:rPr>
          <w:rFonts w:ascii="Arial" w:cs="Arial" w:eastAsia="Arial" w:hAnsi="Arial"/>
          <w:sz w:val="15"/>
          <w:szCs w:val="15"/>
          <w:b w:val="1"/>
          <w:bCs w:val="1"/>
          <w:color w:val="auto"/>
        </w:rPr>
        <w:t xml:space="preserve"> </w:t>
      </w:r>
      <w:r>
        <w:rPr>
          <w:rFonts w:ascii="Arial" w:cs="Arial" w:eastAsia="Arial" w:hAnsi="Arial"/>
          <w:sz w:val="15"/>
          <w:szCs w:val="15"/>
          <w:color w:val="auto"/>
        </w:rPr>
        <w:t>(“BSP”), a leading credit-focused alternative asset management firm. He has been based in the New York office since joining the firm in July 2014. Prior to BSP, Mr. Winkler served as a Vice President at Goldman Sachs in the Special Assets Group. He has also held various analyst positions at Fridson Investment Advisors and Turnberry Capital Management, where he focused on special situations, distressed debt, and mergers and acquisitions. Mr. Winkler began his career in technology investment banking at SG Cowen. Mr. Winkler has served on the Board of Directors of Jakks Pacific since 2019, where he is the Chair of the Nominating and Governance Committee and a member of both the Audit and Compensation Committees. Additionally, he serves as a board observer for Tradesmen International. He holds a Bachelor of Arts in Public and Private Sector Organization from Brown University.</w:t>
      </w:r>
    </w:p>
    <w:p>
      <w:pPr>
        <w:spacing w:after="0" w:line="271" w:lineRule="exact"/>
        <w:rPr>
          <w:sz w:val="20"/>
          <w:szCs w:val="20"/>
          <w:color w:val="auto"/>
        </w:rPr>
      </w:pPr>
    </w:p>
    <w:p>
      <w:pPr>
        <w:jc w:val="both"/>
        <w:ind w:left="1060" w:right="1619"/>
        <w:spacing w:after="0" w:line="269" w:lineRule="auto"/>
        <w:rPr>
          <w:sz w:val="20"/>
          <w:szCs w:val="20"/>
          <w:color w:val="auto"/>
        </w:rPr>
      </w:pPr>
      <w:r>
        <w:rPr>
          <w:rFonts w:ascii="Arial" w:cs="Arial" w:eastAsia="Arial" w:hAnsi="Arial"/>
          <w:sz w:val="15"/>
          <w:szCs w:val="15"/>
          <w:color w:val="auto"/>
        </w:rPr>
        <w:t>His extensive experience in investment analysis, financial transactions, and corporate governance, along with his leadership in guiding strategic investments across various industries, will provide valuable insight to our Board.</w:t>
      </w:r>
    </w:p>
    <w:p>
      <w:pPr>
        <w:spacing w:after="0" w:line="87" w:lineRule="exact"/>
        <w:rPr>
          <w:sz w:val="20"/>
          <w:szCs w:val="20"/>
          <w:color w:val="auto"/>
        </w:rPr>
      </w:pPr>
    </w:p>
    <w:p>
      <w:pPr>
        <w:jc w:val="center"/>
        <w:ind w:left="2460" w:right="60"/>
        <w:spacing w:after="0" w:line="267" w:lineRule="auto"/>
        <w:rPr>
          <w:sz w:val="20"/>
          <w:szCs w:val="20"/>
          <w:color w:val="auto"/>
        </w:rPr>
      </w:pPr>
      <w:r>
        <w:rPr>
          <w:rFonts w:ascii="Arial" w:cs="Arial" w:eastAsia="Arial" w:hAnsi="Arial"/>
          <w:sz w:val="15"/>
          <w:szCs w:val="15"/>
          <w:b w:val="1"/>
          <w:bCs w:val="1"/>
          <w:color w:val="auto"/>
        </w:rPr>
        <w:t>OUR BOARD OF DIRECTORS UNANIMOUSLY RECOMMENDS THAT YOU VOTE “FOR” EACH OF THE NOMINEES FOR DIRECTOR TO SERVE UNTIL THE NEXT ANNUAL GENERAL MEETING OF SHAREHOLDERS OR UNTIL THEIR RESPECTIVE SUCCESSORS HAVE BEEN ELECTED AND QUALIFIED</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19" w:name="page20"/>
    <w:bookmarkEnd w:id="19"/>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41275</wp:posOffset>
            </wp:positionV>
            <wp:extent cx="436753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67530" cy="6985"/>
                    </a:xfrm>
                    <a:prstGeom prst="rect">
                      <a:avLst/>
                    </a:prstGeom>
                    <a:noFill/>
                  </pic:spPr>
                </pic:pic>
              </a:graphicData>
            </a:graphic>
          </wp:anchor>
        </w:drawing>
      </w:r>
    </w:p>
    <w:p>
      <w:pPr>
        <w:spacing w:after="0" w:line="173"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Meetings of our Board of Directors</w:t>
      </w:r>
    </w:p>
    <w:p>
      <w:pPr>
        <w:spacing w:after="0" w:line="92" w:lineRule="exact"/>
        <w:rPr>
          <w:sz w:val="20"/>
          <w:szCs w:val="20"/>
          <w:color w:val="auto"/>
        </w:rPr>
      </w:pPr>
    </w:p>
    <w:p>
      <w:pPr>
        <w:ind w:left="1060" w:right="1099"/>
        <w:spacing w:after="0" w:line="274" w:lineRule="auto"/>
        <w:rPr>
          <w:sz w:val="20"/>
          <w:szCs w:val="20"/>
          <w:color w:val="auto"/>
        </w:rPr>
      </w:pPr>
      <w:r>
        <w:rPr>
          <w:rFonts w:ascii="Arial" w:cs="Arial" w:eastAsia="Arial" w:hAnsi="Arial"/>
          <w:sz w:val="15"/>
          <w:szCs w:val="15"/>
          <w:color w:val="auto"/>
        </w:rPr>
        <w:t>Our Board plays an active role in overseeing the Company’s business and representing the interests of the Company and its shareholders. Directors generally attend all meetings of our Board and Committees on which they serve. Directors are also consulted for advice and counsel between formal meetings.</w:t>
      </w:r>
    </w:p>
    <w:p>
      <w:pPr>
        <w:spacing w:after="0" w:line="95"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Our Board met fourteen (14) times in 2024 and took no action pursuant to written consent.</w:t>
      </w:r>
    </w:p>
    <w:p>
      <w:pPr>
        <w:spacing w:after="0" w:line="122" w:lineRule="exact"/>
        <w:rPr>
          <w:sz w:val="20"/>
          <w:szCs w:val="20"/>
          <w:color w:val="auto"/>
        </w:rPr>
      </w:pPr>
    </w:p>
    <w:p>
      <w:pPr>
        <w:ind w:left="1060" w:right="1179"/>
        <w:spacing w:after="0" w:line="274" w:lineRule="auto"/>
        <w:rPr>
          <w:sz w:val="20"/>
          <w:szCs w:val="20"/>
          <w:color w:val="auto"/>
        </w:rPr>
      </w:pPr>
      <w:r>
        <w:rPr>
          <w:rFonts w:ascii="Arial" w:cs="Arial" w:eastAsia="Arial" w:hAnsi="Arial"/>
          <w:sz w:val="15"/>
          <w:szCs w:val="15"/>
          <w:color w:val="auto"/>
        </w:rPr>
        <w:t xml:space="preserve">In accordance with Luxembourg law and the Company’s Articles of Incorporation, our Board has appointed the Company’s Chief Executive Officer to serve as Managing Executive Officer </w:t>
      </w:r>
      <w:r>
        <w:rPr>
          <w:rFonts w:ascii="Arial" w:cs="Arial" w:eastAsia="Arial" w:hAnsi="Arial"/>
          <w:sz w:val="15"/>
          <w:szCs w:val="15"/>
          <w:i w:val="1"/>
          <w:iCs w:val="1"/>
          <w:color w:val="auto"/>
        </w:rPr>
        <w:t>(directeur général)</w:t>
      </w:r>
      <w:r>
        <w:rPr>
          <w:rFonts w:ascii="Arial" w:cs="Arial" w:eastAsia="Arial" w:hAnsi="Arial"/>
          <w:sz w:val="15"/>
          <w:szCs w:val="15"/>
          <w:color w:val="auto"/>
        </w:rPr>
        <w:t xml:space="preserve"> of the Company to conduct the daily management of the Company. The Managing Executive Officer took no action pursuant to written consent in 2024.</w:t>
      </w:r>
    </w:p>
    <w:p>
      <w:pPr>
        <w:spacing w:after="0" w:line="95" w:lineRule="exact"/>
        <w:rPr>
          <w:sz w:val="20"/>
          <w:szCs w:val="20"/>
          <w:color w:val="auto"/>
        </w:rPr>
      </w:pPr>
    </w:p>
    <w:p>
      <w:pPr>
        <w:ind w:left="1060" w:right="1479"/>
        <w:spacing w:after="0" w:line="290" w:lineRule="auto"/>
        <w:rPr>
          <w:sz w:val="20"/>
          <w:szCs w:val="20"/>
          <w:color w:val="auto"/>
        </w:rPr>
      </w:pPr>
      <w:r>
        <w:rPr>
          <w:rFonts w:ascii="Arial" w:cs="Arial" w:eastAsia="Arial" w:hAnsi="Arial"/>
          <w:sz w:val="15"/>
          <w:szCs w:val="15"/>
          <w:color w:val="auto"/>
        </w:rPr>
        <w:t>During 2024, each of our Directors attended at least seventy-five percent (75%) of the meetings of our Board and Committees on which they served, in each case, during their period of service.</w:t>
      </w:r>
    </w:p>
    <w:p>
      <w:pPr>
        <w:spacing w:after="0" w:line="262" w:lineRule="exact"/>
        <w:rPr>
          <w:sz w:val="20"/>
          <w:szCs w:val="20"/>
          <w:color w:val="auto"/>
        </w:rPr>
      </w:pPr>
    </w:p>
    <w:p>
      <w:pPr>
        <w:ind w:left="1060" w:right="1239"/>
        <w:spacing w:after="0" w:line="265" w:lineRule="auto"/>
        <w:rPr>
          <w:sz w:val="20"/>
          <w:szCs w:val="20"/>
          <w:color w:val="auto"/>
        </w:rPr>
      </w:pPr>
      <w:r>
        <w:rPr>
          <w:rFonts w:ascii="Arial" w:cs="Arial" w:eastAsia="Arial" w:hAnsi="Arial"/>
          <w:sz w:val="15"/>
          <w:szCs w:val="15"/>
          <w:color w:val="auto"/>
        </w:rPr>
        <w:t>During 2024, our Chairman and Chief Executive Officer declared a conflict of interest and abstained from voting during our Board’s approvals of the following transactions: (i) the ratification of the Compensation Committee’s approvals as they related to his 2023 Service Year Recommended Incentive Award, and his 2024 Annual Incentive Plan and Scorecard;</w:t>
      </w:r>
    </w:p>
    <w:p>
      <w:pPr>
        <w:spacing w:after="0" w:line="2" w:lineRule="exact"/>
        <w:rPr>
          <w:sz w:val="20"/>
          <w:szCs w:val="20"/>
          <w:color w:val="auto"/>
        </w:rPr>
      </w:pPr>
    </w:p>
    <w:p>
      <w:pPr>
        <w:ind w:left="1060" w:right="1239" w:firstLine="5"/>
        <w:spacing w:after="0" w:line="267" w:lineRule="auto"/>
        <w:tabs>
          <w:tab w:leader="none" w:pos="1307"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amendment and approval of Proposal Eight in our 2024 Proxy Statement which proposed to seek approval from shareholders to increase the number of shares of common stock reserved for issuance under the Company’s 2009 Equity Incentive Plan (as Chief Executive Officer of the Company, he may have been perceived to have had a conflict of interest, and therefore, abstained from the vote); and (iii) our Board’s approval of the grant of RSUs to the Named Executive Officers pursuant to the terms of the Transaction (as previously disclosed).</w:t>
      </w:r>
    </w:p>
    <w:p>
      <w:pPr>
        <w:spacing w:after="0" w:line="279" w:lineRule="exact"/>
        <w:rPr>
          <w:sz w:val="20"/>
          <w:szCs w:val="20"/>
          <w:color w:val="auto"/>
        </w:rPr>
      </w:pPr>
    </w:p>
    <w:p>
      <w:pPr>
        <w:ind w:left="1060" w:right="1079"/>
        <w:spacing w:after="0" w:line="277" w:lineRule="auto"/>
        <w:rPr>
          <w:sz w:val="20"/>
          <w:szCs w:val="20"/>
          <w:color w:val="auto"/>
        </w:rPr>
      </w:pPr>
      <w:r>
        <w:rPr>
          <w:rFonts w:ascii="Arial" w:cs="Arial" w:eastAsia="Arial" w:hAnsi="Arial"/>
          <w:sz w:val="15"/>
          <w:szCs w:val="15"/>
          <w:color w:val="auto"/>
        </w:rPr>
        <w:t>During 2024, Ms. Hickok was excused from and did not attend any Board meetings related to the Transaction due to her affiliation with Deer Park Road Management Co., L.P., a party to the Transaction.</w:t>
      </w:r>
    </w:p>
    <w:p>
      <w:pPr>
        <w:spacing w:after="0" w:line="93" w:lineRule="exact"/>
        <w:rPr>
          <w:sz w:val="20"/>
          <w:szCs w:val="20"/>
          <w:color w:val="auto"/>
        </w:rPr>
      </w:pPr>
    </w:p>
    <w:p>
      <w:pPr>
        <w:jc w:val="both"/>
        <w:ind w:left="1060" w:right="1479"/>
        <w:spacing w:after="0" w:line="290" w:lineRule="auto"/>
        <w:rPr>
          <w:sz w:val="20"/>
          <w:szCs w:val="20"/>
          <w:color w:val="auto"/>
        </w:rPr>
      </w:pPr>
      <w:r>
        <w:rPr>
          <w:rFonts w:ascii="Arial" w:cs="Arial" w:eastAsia="Arial" w:hAnsi="Arial"/>
          <w:sz w:val="15"/>
          <w:szCs w:val="15"/>
          <w:color w:val="auto"/>
        </w:rPr>
        <w:t>Generally, Directors attend the annual general meeting of shareholders, but we have no formal policy requiring such attendance. All Directors attended our 2024 annual general meeting.</w:t>
      </w:r>
    </w:p>
    <w:p>
      <w:pPr>
        <w:spacing w:after="0" w:line="32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Independence of Directors</w:t>
      </w:r>
    </w:p>
    <w:p>
      <w:pPr>
        <w:spacing w:after="0" w:line="92" w:lineRule="exact"/>
        <w:rPr>
          <w:sz w:val="20"/>
          <w:szCs w:val="20"/>
          <w:color w:val="auto"/>
        </w:rPr>
      </w:pPr>
    </w:p>
    <w:p>
      <w:pPr>
        <w:ind w:left="1060" w:right="1259"/>
        <w:spacing w:after="0" w:line="303" w:lineRule="auto"/>
        <w:rPr>
          <w:sz w:val="20"/>
          <w:szCs w:val="20"/>
          <w:color w:val="auto"/>
        </w:rPr>
      </w:pPr>
      <w:r>
        <w:rPr>
          <w:rFonts w:ascii="Arial" w:cs="Arial" w:eastAsia="Arial" w:hAnsi="Arial"/>
          <w:sz w:val="15"/>
          <w:szCs w:val="15"/>
          <w:color w:val="auto"/>
        </w:rPr>
        <w:t>Our Corporate Governance Guidelines provide that a majority of our Directors must qualify as independent Directors under the Nasdaq listing standards and applicable law.</w:t>
      </w:r>
    </w:p>
    <w:p>
      <w:pPr>
        <w:spacing w:after="0" w:line="62" w:lineRule="exact"/>
        <w:rPr>
          <w:sz w:val="20"/>
          <w:szCs w:val="20"/>
          <w:color w:val="auto"/>
        </w:rPr>
      </w:pPr>
    </w:p>
    <w:p>
      <w:pPr>
        <w:ind w:left="1060" w:right="1239"/>
        <w:spacing w:after="0" w:line="265" w:lineRule="auto"/>
        <w:rPr>
          <w:sz w:val="20"/>
          <w:szCs w:val="20"/>
          <w:color w:val="auto"/>
        </w:rPr>
      </w:pPr>
      <w:r>
        <w:rPr>
          <w:rFonts w:ascii="Arial" w:cs="Arial" w:eastAsia="Arial" w:hAnsi="Arial"/>
          <w:sz w:val="15"/>
          <w:szCs w:val="15"/>
          <w:color w:val="auto"/>
        </w:rPr>
        <w:t>Our Board annually reviews the direct and indirect relationships that the Company has with each Director. The purpose of this review is to determine whether any transactions or relationships are inconsistent with a determination that the Director is independent. Only those Directors who are determined by our Board to have no material relationship with Altisource are considered independent. This determination is based in part on the analysis of questionnaire responses that follow the independence standards and qualifications established by the Nasdaq and applicable law. Our Board also considers each Director’s beneficial ownership of our common stock in its independence analysis, as set forth under “Security Ownership of Certain Beneficial Owners and Management.” Our Board believes that stock ownership by Directors is positive in that it tends to further align a Director’s interests with those of our other shareholders. Please see “Minimum Stock Ownership Requirements” under the Board of Directors’ Compensation section for additional information.</w:t>
      </w:r>
    </w:p>
    <w:p>
      <w:pPr>
        <w:spacing w:after="0" w:line="282" w:lineRule="exact"/>
        <w:rPr>
          <w:sz w:val="20"/>
          <w:szCs w:val="20"/>
          <w:color w:val="auto"/>
        </w:rPr>
      </w:pPr>
    </w:p>
    <w:p>
      <w:pPr>
        <w:ind w:left="1060" w:right="1299"/>
        <w:spacing w:after="0" w:line="277" w:lineRule="auto"/>
        <w:rPr>
          <w:sz w:val="20"/>
          <w:szCs w:val="20"/>
          <w:color w:val="auto"/>
        </w:rPr>
      </w:pPr>
      <w:r>
        <w:rPr>
          <w:rFonts w:ascii="Arial" w:cs="Arial" w:eastAsia="Arial" w:hAnsi="Arial"/>
          <w:sz w:val="15"/>
          <w:szCs w:val="15"/>
          <w:color w:val="auto"/>
        </w:rPr>
        <w:t>Our Board has determined that all of our current Directors, other than Mr. Shepro, are independent under the Nasdaq listing standards. Our Board determined that Mr. Shepro is not independent because he also serves as Chief Executive Officer.</w:t>
      </w:r>
    </w:p>
    <w:p>
      <w:pPr>
        <w:spacing w:after="0" w:line="14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Executive Sessions of Independent Directors</w:t>
      </w:r>
    </w:p>
    <w:p>
      <w:pPr>
        <w:spacing w:after="0" w:line="92" w:lineRule="exact"/>
        <w:rPr>
          <w:sz w:val="20"/>
          <w:szCs w:val="20"/>
          <w:color w:val="auto"/>
        </w:rPr>
      </w:pPr>
    </w:p>
    <w:p>
      <w:pPr>
        <w:ind w:left="1060" w:right="1239"/>
        <w:spacing w:after="0" w:line="287" w:lineRule="auto"/>
        <w:rPr>
          <w:sz w:val="20"/>
          <w:szCs w:val="20"/>
          <w:color w:val="auto"/>
        </w:rPr>
      </w:pPr>
      <w:r>
        <w:rPr>
          <w:rFonts w:ascii="Arial" w:cs="Arial" w:eastAsia="Arial" w:hAnsi="Arial"/>
          <w:sz w:val="15"/>
          <w:szCs w:val="15"/>
          <w:color w:val="auto"/>
        </w:rPr>
        <w:t>Our independent Directors met in executive session of our Board without management four (4) times in 2024.</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0" w:name="page21"/>
    <w:bookmarkEnd w:id="20"/>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6" w:lineRule="exact"/>
        <w:rPr>
          <w:sz w:val="20"/>
          <w:szCs w:val="20"/>
          <w:color w:val="auto"/>
        </w:rPr>
      </w:pPr>
    </w:p>
    <w:p>
      <w:pPr>
        <w:jc w:val="right"/>
        <w:ind w:right="103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BOARD OF DIRECTORS AND CORPORATE GOVERNANCE</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-181610</wp:posOffset>
            </wp:positionV>
            <wp:extent cx="2543175" cy="1219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43175" cy="121920"/>
                    </a:xfrm>
                    <a:prstGeom prst="rect">
                      <a:avLst/>
                    </a:prstGeom>
                    <a:noFill/>
                  </pic:spPr>
                </pic:pic>
              </a:graphicData>
            </a:graphic>
          </wp:anchor>
        </w:drawing>
      </w:r>
    </w:p>
    <w:p>
      <w:pPr>
        <w:spacing w:after="0" w:line="93"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Board Leadership Structure</w:t>
      </w:r>
    </w:p>
    <w:p>
      <w:pPr>
        <w:spacing w:after="0" w:line="92" w:lineRule="exact"/>
        <w:rPr>
          <w:sz w:val="20"/>
          <w:szCs w:val="20"/>
          <w:color w:val="auto"/>
        </w:rPr>
      </w:pPr>
    </w:p>
    <w:p>
      <w:pPr>
        <w:ind w:left="1060" w:right="1819"/>
        <w:spacing w:after="0" w:line="261" w:lineRule="auto"/>
        <w:rPr>
          <w:sz w:val="20"/>
          <w:szCs w:val="20"/>
          <w:color w:val="auto"/>
        </w:rPr>
      </w:pPr>
      <w:r>
        <w:rPr>
          <w:rFonts w:ascii="Arial" w:cs="Arial" w:eastAsia="Arial" w:hAnsi="Arial"/>
          <w:sz w:val="15"/>
          <w:szCs w:val="15"/>
          <w:color w:val="auto"/>
        </w:rPr>
        <w:t>Our Corporate Governance Guidelines provide that our Board may appoint a Lead Independent Director unless the Chairman of our Board is an independent Director.</w:t>
      </w:r>
    </w:p>
    <w:p>
      <w:pPr>
        <w:spacing w:after="0" w:line="1" w:lineRule="exact"/>
        <w:rPr>
          <w:sz w:val="20"/>
          <w:szCs w:val="20"/>
          <w:color w:val="auto"/>
        </w:rPr>
      </w:pPr>
    </w:p>
    <w:p>
      <w:pPr>
        <w:ind w:left="1060" w:right="1139"/>
        <w:spacing w:after="0" w:line="254" w:lineRule="auto"/>
        <w:rPr>
          <w:sz w:val="20"/>
          <w:szCs w:val="20"/>
          <w:color w:val="auto"/>
        </w:rPr>
      </w:pPr>
      <w:r>
        <w:rPr>
          <w:rFonts w:ascii="Arial" w:cs="Arial" w:eastAsia="Arial" w:hAnsi="Arial"/>
          <w:sz w:val="15"/>
          <w:szCs w:val="15"/>
          <w:color w:val="auto"/>
        </w:rPr>
        <w:t>Mr. Shepro, our Chairman of our Board, is also our Chief Executive Officer, and, as a result, our Board believes that it is in the best interests of the Company and our shareholders to appoint a Lead Independent Director. Mr. Müller-Ineichen currently serves as Lead Independent Director. The Lead Independent Director, among other responsibilities, presides over periodic meetings at which only our independent Directors are present, serves as a liaison between the independent Directors and the Chairman and Chief Executive Officer, and performs such duties as our Board may otherwise determine from time to time.</w:t>
      </w:r>
    </w:p>
    <w:p>
      <w:pPr>
        <w:spacing w:after="0" w:line="100" w:lineRule="exact"/>
        <w:rPr>
          <w:sz w:val="20"/>
          <w:szCs w:val="20"/>
          <w:color w:val="auto"/>
        </w:rPr>
      </w:pPr>
    </w:p>
    <w:p>
      <w:pPr>
        <w:ind w:left="1060" w:right="1119"/>
        <w:spacing w:after="0" w:line="259" w:lineRule="auto"/>
        <w:rPr>
          <w:sz w:val="20"/>
          <w:szCs w:val="20"/>
          <w:color w:val="auto"/>
        </w:rPr>
      </w:pPr>
      <w:r>
        <w:rPr>
          <w:rFonts w:ascii="Arial" w:cs="Arial" w:eastAsia="Arial" w:hAnsi="Arial"/>
          <w:sz w:val="15"/>
          <w:szCs w:val="15"/>
          <w:color w:val="auto"/>
        </w:rPr>
        <w:t>Our Board appointed Mr. Shepro as Chairman of our Board in May 2019. Our Board believes that combining the positions of Chairman and Chief Executive Officer is appropriate due to Mr. Shepro’s critical role in our strategy, his experience with the Company and its customers across business cycles, and his longevity with the Company. Mr. Shepro is responsible for the design, in consultation with our Board, and execution of the Company’s strategic plan. Our Board believes that he is the appropriate person to serve as Chairman.</w:t>
      </w:r>
    </w:p>
    <w:p>
      <w:pPr>
        <w:spacing w:after="0" w:line="146"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Committees of our Board of Directors</w:t>
      </w:r>
    </w:p>
    <w:p>
      <w:pPr>
        <w:spacing w:after="0" w:line="92" w:lineRule="exact"/>
        <w:rPr>
          <w:sz w:val="20"/>
          <w:szCs w:val="20"/>
          <w:color w:val="auto"/>
        </w:rPr>
      </w:pPr>
    </w:p>
    <w:p>
      <w:pPr>
        <w:ind w:left="1060" w:right="1119"/>
        <w:spacing w:after="0" w:line="259" w:lineRule="auto"/>
        <w:rPr>
          <w:sz w:val="20"/>
          <w:szCs w:val="20"/>
          <w:color w:val="auto"/>
        </w:rPr>
      </w:pPr>
      <w:r>
        <w:rPr>
          <w:rFonts w:ascii="Arial" w:cs="Arial" w:eastAsia="Arial" w:hAnsi="Arial"/>
          <w:sz w:val="15"/>
          <w:szCs w:val="15"/>
          <w:color w:val="auto"/>
        </w:rPr>
        <w:t>Our Board has established an Audit Committee, a Compensation Committee, a Compliance Committee, a Nomination/Governance Committee and an Executive Committee. Except as otherwise required by applicable laws or rules, the Committees’ responsibilities and procedures are designed to remain flexible, so that they may be in a position to best react or respond to changing circumstances or conditions. A brief description of each committee is provided below.</w:t>
      </w:r>
    </w:p>
    <w:p>
      <w:pPr>
        <w:spacing w:after="0" w:line="280" w:lineRule="exact"/>
        <w:rPr>
          <w:sz w:val="20"/>
          <w:szCs w:val="20"/>
          <w:color w:val="auto"/>
        </w:rPr>
      </w:pPr>
    </w:p>
    <w:p>
      <w:pPr>
        <w:ind w:left="1060" w:right="1459"/>
        <w:spacing w:after="0" w:line="261" w:lineRule="auto"/>
        <w:rPr>
          <w:sz w:val="20"/>
          <w:szCs w:val="20"/>
          <w:color w:val="auto"/>
        </w:rPr>
      </w:pPr>
      <w:r>
        <w:rPr>
          <w:rFonts w:ascii="Arial" w:cs="Arial" w:eastAsia="Arial" w:hAnsi="Arial"/>
          <w:sz w:val="15"/>
          <w:szCs w:val="15"/>
          <w:b w:val="1"/>
          <w:bCs w:val="1"/>
          <w:i w:val="1"/>
          <w:iCs w:val="1"/>
          <w:color w:val="auto"/>
        </w:rPr>
        <w:t xml:space="preserve">Audit Committee. </w:t>
      </w:r>
      <w:r>
        <w:rPr>
          <w:rFonts w:ascii="Arial" w:cs="Arial" w:eastAsia="Arial" w:hAnsi="Arial"/>
          <w:sz w:val="15"/>
          <w:szCs w:val="15"/>
          <w:color w:val="auto"/>
        </w:rPr>
        <w:t>The Audit Committee of our Board: (i) oversees the Company’s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relationship with our independent registered public accounting firm and certified auditor;</w:t>
      </w:r>
    </w:p>
    <w:p>
      <w:pPr>
        <w:spacing w:after="0" w:line="1" w:lineRule="exact"/>
        <w:rPr>
          <w:sz w:val="20"/>
          <w:szCs w:val="20"/>
          <w:color w:val="auto"/>
        </w:rPr>
      </w:pPr>
    </w:p>
    <w:p>
      <w:pPr>
        <w:ind w:left="1060" w:right="1179" w:firstLine="5"/>
        <w:spacing w:after="0" w:line="253" w:lineRule="auto"/>
        <w:tabs>
          <w:tab w:leader="none" w:pos="1307" w:val="left"/>
        </w:tabs>
        <w:numPr>
          <w:ilvl w:val="0"/>
          <w:numId w:val="24"/>
        </w:numPr>
        <w:rPr>
          <w:rFonts w:ascii="Arial" w:cs="Arial" w:eastAsia="Arial" w:hAnsi="Arial"/>
          <w:sz w:val="15"/>
          <w:szCs w:val="15"/>
          <w:color w:val="auto"/>
        </w:rPr>
      </w:pPr>
      <w:r>
        <w:rPr>
          <w:rFonts w:ascii="Arial" w:cs="Arial" w:eastAsia="Arial" w:hAnsi="Arial"/>
          <w:sz w:val="15"/>
          <w:szCs w:val="15"/>
          <w:color w:val="auto"/>
        </w:rPr>
        <w:t>provides assistance to our Board with respect to matters involving accounting, auditing, financial reporting and internal control functions; (iii) establishes procedures for the receipt, retention and treatment of concerns, complaints and allegations received by the Company relating to the financial reporting process and our system of accounting, internal accounting controls, auditing and federal securities law matters; (iv) reviews and approves transactions in which a “Related Person” (as defined by SEC Regulation S-K and in accordance with the Company’s Related Person Transactions Policy) has a material interest; (v) reviews the scope and results of the annual audit conducted by our independent registered public accounting firm, including any significant matters regarding internal controls over financial reporting; and (vi) reviews the Company’s internal audit plan, internal audit budget and risk management report on an annual basis. The Audit Committee is also empowered to retain, at the Company’s expense, such independent counsel or other advisors as it deems necessary in connection with its responsibilities.</w:t>
      </w:r>
    </w:p>
    <w:p>
      <w:pPr>
        <w:spacing w:after="0" w:line="270" w:lineRule="exact"/>
        <w:rPr>
          <w:sz w:val="20"/>
          <w:szCs w:val="20"/>
          <w:color w:val="auto"/>
        </w:rPr>
      </w:pPr>
    </w:p>
    <w:p>
      <w:pPr>
        <w:ind w:left="1060" w:right="1099"/>
        <w:spacing w:after="0" w:line="255" w:lineRule="auto"/>
        <w:rPr>
          <w:sz w:val="20"/>
          <w:szCs w:val="20"/>
          <w:color w:val="auto"/>
        </w:rPr>
      </w:pPr>
      <w:r>
        <w:rPr>
          <w:rFonts w:ascii="Arial" w:cs="Arial" w:eastAsia="Arial" w:hAnsi="Arial"/>
          <w:sz w:val="15"/>
          <w:szCs w:val="15"/>
          <w:color w:val="auto"/>
        </w:rPr>
        <w:t>The members of our Audit Committee during 2024 were Messrs. Müller-Ineichen and Morettini and Ms. Hickok, with Mr. Müller-Ineichen serving as the Committee Chair. Each member of our Audit Committee is independent as defined in regulations adopted by the SEC and the Nasdaq listing standards. Our Board has determined that all members of our Audit Committee are financially literate, possess accounting or related financial management experience that results in the individual’s financial sophistication within the meaning of the Nasdaq listing standards, and qualify as “audit committee financial experts” as that term is defined in SEC rules. Pursuant to the Company’s Corporate Governance Guidelines, no Director may serve as a member of the Audit Committee if he or she serves on the audit committees of more than two other public companies, unless our Board determines that such simultaneous service would not impair the Director’s ability to serve effectively on the Audit Committee.</w:t>
      </w:r>
    </w:p>
    <w:p>
      <w:pPr>
        <w:spacing w:after="0" w:line="280" w:lineRule="exact"/>
        <w:rPr>
          <w:sz w:val="20"/>
          <w:szCs w:val="20"/>
          <w:color w:val="auto"/>
        </w:rPr>
      </w:pPr>
    </w:p>
    <w:p>
      <w:pPr>
        <w:ind w:left="1060" w:right="1219"/>
        <w:spacing w:after="0" w:line="254" w:lineRule="auto"/>
        <w:rPr>
          <w:sz w:val="20"/>
          <w:szCs w:val="20"/>
          <w:color w:val="auto"/>
        </w:rPr>
      </w:pPr>
      <w:r>
        <w:rPr>
          <w:rFonts w:ascii="Arial" w:cs="Arial" w:eastAsia="Arial" w:hAnsi="Arial"/>
          <w:sz w:val="15"/>
          <w:szCs w:val="15"/>
          <w:color w:val="auto"/>
        </w:rPr>
        <w:t xml:space="preserve">Our Audit Committee operates under a written charter approved by our Board, a copy of which is available on our website at </w:t>
      </w:r>
      <w:r>
        <w:rPr>
          <w:rFonts w:ascii="Arial" w:cs="Arial" w:eastAsia="Arial" w:hAnsi="Arial"/>
          <w:sz w:val="15"/>
          <w:szCs w:val="15"/>
          <w:u w:val="single" w:color="auto"/>
          <w:color w:val="auto"/>
        </w:rPr>
        <w:t>https://ir.altisource.com/corporate-governance</w:t>
      </w:r>
      <w:r>
        <w:rPr>
          <w:rFonts w:ascii="Arial" w:cs="Arial" w:eastAsia="Arial" w:hAnsi="Arial"/>
          <w:sz w:val="15"/>
          <w:szCs w:val="15"/>
          <w:color w:val="auto"/>
        </w:rPr>
        <w:t xml:space="preserve"> and is available in print to any shareholder who requests it. The Audit Committee reviews its charter annually and presents any recommendations for amendments to our Board. The Audit Committee also evaluates its performance under its charter and reports to our Board on the results of its evaluation, including an assessment of the charter’s adequacy. The Audit Committee last reviewed its Charter in December 2024. The Audit Committee met ten</w:t>
      </w:r>
    </w:p>
    <w:p>
      <w:pPr>
        <w:spacing w:after="0" w:line="3" w:lineRule="exact"/>
        <w:rPr>
          <w:sz w:val="20"/>
          <w:szCs w:val="20"/>
          <w:color w:val="auto"/>
        </w:rPr>
      </w:pPr>
    </w:p>
    <w:p>
      <w:pPr>
        <w:ind w:left="1060" w:right="1459" w:firstLine="5"/>
        <w:spacing w:after="0" w:line="260" w:lineRule="auto"/>
        <w:tabs>
          <w:tab w:leader="none" w:pos="1408" w:val="left"/>
        </w:tabs>
        <w:numPr>
          <w:ilvl w:val="0"/>
          <w:numId w:val="25"/>
        </w:numPr>
        <w:rPr>
          <w:rFonts w:ascii="Arial" w:cs="Arial" w:eastAsia="Arial" w:hAnsi="Arial"/>
          <w:sz w:val="15"/>
          <w:szCs w:val="15"/>
          <w:color w:val="auto"/>
        </w:rPr>
      </w:pPr>
      <w:r>
        <w:rPr>
          <w:rFonts w:ascii="Arial" w:cs="Arial" w:eastAsia="Arial" w:hAnsi="Arial"/>
          <w:sz w:val="15"/>
          <w:szCs w:val="15"/>
          <w:color w:val="auto"/>
        </w:rPr>
        <w:t>times in 2024. The Audit Committee met in executive session with the Company’s internal auditors four (4) times, with the Company’s external auditors four (4) times, and simultaneously with the internal and external auditors three (3) times.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1" w:name="page22"/>
    <w:bookmarkEnd w:id="21"/>
    <w:p>
      <w:pPr>
        <w:ind w:left="2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ind w:left="394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BOARD OF DIRECTORS AND CORPORATE GOVERNANCE</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-181610</wp:posOffset>
            </wp:positionV>
            <wp:extent cx="2543175" cy="1219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43175" cy="121920"/>
                    </a:xfrm>
                    <a:prstGeom prst="rect">
                      <a:avLst/>
                    </a:prstGeom>
                    <a:noFill/>
                  </pic:spPr>
                </pic:pic>
              </a:graphicData>
            </a:graphic>
          </wp:anchor>
        </w:drawing>
      </w:r>
    </w:p>
    <w:p>
      <w:pPr>
        <w:spacing w:after="0" w:line="97" w:lineRule="exact"/>
        <w:rPr>
          <w:sz w:val="20"/>
          <w:szCs w:val="20"/>
          <w:color w:val="auto"/>
        </w:rPr>
      </w:pPr>
    </w:p>
    <w:p>
      <w:pPr>
        <w:ind w:left="1060" w:right="1119"/>
        <w:spacing w:after="0" w:line="244" w:lineRule="auto"/>
        <w:rPr>
          <w:sz w:val="20"/>
          <w:szCs w:val="20"/>
          <w:color w:val="auto"/>
        </w:rPr>
      </w:pPr>
      <w:r>
        <w:rPr>
          <w:rFonts w:ascii="Arial" w:cs="Arial" w:eastAsia="Arial" w:hAnsi="Arial"/>
          <w:sz w:val="15"/>
          <w:szCs w:val="15"/>
          <w:b w:val="1"/>
          <w:bCs w:val="1"/>
          <w:i w:val="1"/>
          <w:iCs w:val="1"/>
          <w:color w:val="auto"/>
        </w:rPr>
        <w:t xml:space="preserve">Compensation Committee. </w:t>
      </w:r>
      <w:r>
        <w:rPr>
          <w:rFonts w:ascii="Arial" w:cs="Arial" w:eastAsia="Arial" w:hAnsi="Arial"/>
          <w:sz w:val="15"/>
          <w:szCs w:val="15"/>
          <w:color w:val="auto"/>
        </w:rPr>
        <w:t>The Compensation Committee of our Board oversees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compensation and employee benefit plans and practices. Our Compensation Committee also evaluates and makes recommendations to our Board for compensation and other human resources matters relating to our executive officers. The Compensation Committee reviews and subsequently approves all executive compensation programs, any severance or termination arrangements applicable to executive officers and any equity compensation plans that are not subject to shareholder approval. Our Compensation Committee also has the power to review our other compensation plans, including the goals and objectives thereof. The Compensation Committee is responsible for reviewing Director compensation and recommending changes, subject to the approval of our shareholders. Our Compensation Committee has the authority to administer awards under our 2009 Equity Incentive Plan.</w:t>
      </w:r>
    </w:p>
    <w:p>
      <w:pPr>
        <w:spacing w:after="0" w:line="271" w:lineRule="exact"/>
        <w:rPr>
          <w:sz w:val="20"/>
          <w:szCs w:val="20"/>
          <w:color w:val="auto"/>
        </w:rPr>
      </w:pPr>
    </w:p>
    <w:p>
      <w:pPr>
        <w:ind w:left="1060" w:right="1119"/>
        <w:spacing w:after="0" w:line="243" w:lineRule="auto"/>
        <w:rPr>
          <w:sz w:val="20"/>
          <w:szCs w:val="20"/>
          <w:color w:val="auto"/>
        </w:rPr>
      </w:pPr>
      <w:r>
        <w:rPr>
          <w:rFonts w:ascii="Arial" w:cs="Arial" w:eastAsia="Arial" w:hAnsi="Arial"/>
          <w:sz w:val="15"/>
          <w:szCs w:val="15"/>
          <w:color w:val="auto"/>
        </w:rPr>
        <w:t>The Compensation Committee may request that any of our Directors, executive officers, employees or others attend its meetings to provide advice, counsel or pertinent information as the Committee requests. Certain executives are involved in the design and implementation of our executive compensation program. Our Chief Executive Officer generally attends Compensation Committee meetings, except that he is not present during any voting or deliberations related to his own compensation. Our Chief Executive Officer actively participated in performance determinations and compensation discussions for other executive officers, including making recommendations to the Compensation Committee as to the amount and form of compensation. The Compensation Committee exercises its discretion in accepting, rejecting or modifying any such executive compensation recommendations. The Compensation Committee will generally delegate executive compensation matters (other than for Named Executive Officers) to the Chief Executive Officer for execution and, in limited circumstances, further development following approval by the Committee.</w:t>
      </w:r>
    </w:p>
    <w:p>
      <w:pPr>
        <w:spacing w:after="0" w:line="200" w:lineRule="exact"/>
        <w:rPr>
          <w:sz w:val="20"/>
          <w:szCs w:val="20"/>
          <w:color w:val="auto"/>
        </w:rPr>
      </w:pPr>
    </w:p>
    <w:p>
      <w:pPr>
        <w:spacing w:after="0" w:line="250" w:lineRule="exact"/>
        <w:rPr>
          <w:sz w:val="20"/>
          <w:szCs w:val="20"/>
          <w:color w:val="auto"/>
        </w:rPr>
      </w:pPr>
    </w:p>
    <w:p>
      <w:pPr>
        <w:ind w:left="1060" w:right="1319"/>
        <w:spacing w:after="0" w:line="247" w:lineRule="auto"/>
        <w:rPr>
          <w:sz w:val="20"/>
          <w:szCs w:val="20"/>
          <w:color w:val="auto"/>
        </w:rPr>
      </w:pPr>
      <w:r>
        <w:rPr>
          <w:rFonts w:ascii="Arial" w:cs="Arial" w:eastAsia="Arial" w:hAnsi="Arial"/>
          <w:sz w:val="15"/>
          <w:szCs w:val="15"/>
          <w:color w:val="auto"/>
        </w:rPr>
        <w:t>In addition, the Compensation Committee has delegated authority to the Chief Executive Officer to approve equity awards of up to 5,000 stock options per employee and/or up to 5,000 restricted shares (or similar equity instrument) per new hire and existing employees (other than Named Executive Officers), for an aggregate amount of up to 75,000 stock options and/or restricted shares (or similar equity instrument) per calendar year. Awards approved by the Chief Executive Officer pursuant to this delegation are reported to the Compensation Committee on a regular basis.</w:t>
      </w:r>
    </w:p>
    <w:p>
      <w:pPr>
        <w:spacing w:after="0" w:line="270" w:lineRule="exact"/>
        <w:rPr>
          <w:sz w:val="20"/>
          <w:szCs w:val="20"/>
          <w:color w:val="auto"/>
        </w:rPr>
      </w:pPr>
    </w:p>
    <w:p>
      <w:pPr>
        <w:ind w:left="1060" w:right="1119"/>
        <w:spacing w:after="0" w:line="249" w:lineRule="auto"/>
        <w:rPr>
          <w:sz w:val="20"/>
          <w:szCs w:val="20"/>
          <w:color w:val="auto"/>
        </w:rPr>
      </w:pPr>
      <w:r>
        <w:rPr>
          <w:rFonts w:ascii="Arial" w:cs="Arial" w:eastAsia="Arial" w:hAnsi="Arial"/>
          <w:sz w:val="15"/>
          <w:szCs w:val="15"/>
          <w:color w:val="auto"/>
        </w:rPr>
        <w:t>The Compensation Committee is also empowered to retain independent compensation consultants, counsel or other advisors as it deems necessary in connection with its responsibilities at the Company’s expense. In determining whether a compensation consultant, counsel or other advisor is independent, the Compensation Committee considers all factors set forth in SEC rules and the Nasdaq listing standards with respect to advisor independence, as well as any other factors the Compensation Committee deems relevant.</w:t>
      </w:r>
    </w:p>
    <w:p>
      <w:pPr>
        <w:spacing w:after="0" w:line="91" w:lineRule="exact"/>
        <w:rPr>
          <w:sz w:val="20"/>
          <w:szCs w:val="20"/>
          <w:color w:val="auto"/>
        </w:rPr>
      </w:pPr>
    </w:p>
    <w:p>
      <w:pPr>
        <w:ind w:left="1060" w:right="1159"/>
        <w:spacing w:after="0" w:line="272" w:lineRule="auto"/>
        <w:rPr>
          <w:sz w:val="20"/>
          <w:szCs w:val="20"/>
          <w:color w:val="auto"/>
        </w:rPr>
      </w:pPr>
      <w:r>
        <w:rPr>
          <w:rFonts w:ascii="Arial" w:cs="Arial" w:eastAsia="Arial" w:hAnsi="Arial"/>
          <w:sz w:val="15"/>
          <w:szCs w:val="15"/>
          <w:color w:val="auto"/>
        </w:rPr>
        <w:t>The members of the Compensation Committee during 2024 were Ms. Hickok and Mr. Müller-Ineichen, with Ms. Hickok serving as the Committee Chair.</w:t>
      </w:r>
    </w:p>
    <w:p>
      <w:pPr>
        <w:spacing w:after="0" w:line="73" w:lineRule="exact"/>
        <w:rPr>
          <w:sz w:val="20"/>
          <w:szCs w:val="20"/>
          <w:color w:val="auto"/>
        </w:rPr>
      </w:pPr>
    </w:p>
    <w:p>
      <w:pPr>
        <w:ind w:left="1060" w:right="1439"/>
        <w:spacing w:after="0" w:line="262" w:lineRule="auto"/>
        <w:rPr>
          <w:sz w:val="20"/>
          <w:szCs w:val="20"/>
          <w:color w:val="auto"/>
        </w:rPr>
      </w:pPr>
      <w:r>
        <w:rPr>
          <w:rFonts w:ascii="Arial" w:cs="Arial" w:eastAsia="Arial" w:hAnsi="Arial"/>
          <w:sz w:val="15"/>
          <w:szCs w:val="15"/>
          <w:color w:val="auto"/>
        </w:rPr>
        <w:t>Each member of the Compensation Committee is independent as defined by the Nasdaq listing standards, as revised in 2013. We believe that their collective achievements and knowledge provide us with extensive diversity in experience, culture and viewpoints.</w:t>
      </w:r>
    </w:p>
    <w:p>
      <w:pPr>
        <w:spacing w:after="0" w:line="80" w:lineRule="exact"/>
        <w:rPr>
          <w:sz w:val="20"/>
          <w:szCs w:val="20"/>
          <w:color w:val="auto"/>
        </w:rPr>
      </w:pPr>
    </w:p>
    <w:p>
      <w:pPr>
        <w:ind w:left="1060" w:right="1099"/>
        <w:spacing w:after="0" w:line="245" w:lineRule="auto"/>
        <w:rPr>
          <w:sz w:val="20"/>
          <w:szCs w:val="20"/>
          <w:color w:val="auto"/>
        </w:rPr>
      </w:pPr>
      <w:r>
        <w:rPr>
          <w:rFonts w:ascii="Arial" w:cs="Arial" w:eastAsia="Arial" w:hAnsi="Arial"/>
          <w:sz w:val="15"/>
          <w:szCs w:val="15"/>
          <w:color w:val="auto"/>
        </w:rPr>
        <w:t xml:space="preserve">Our Compensation Committee operates under a written charter approved by our Board, a copy of which is available on our website at </w:t>
      </w:r>
      <w:r>
        <w:rPr>
          <w:rFonts w:ascii="Arial" w:cs="Arial" w:eastAsia="Arial" w:hAnsi="Arial"/>
          <w:sz w:val="15"/>
          <w:szCs w:val="15"/>
          <w:u w:val="single" w:color="auto"/>
          <w:color w:val="auto"/>
        </w:rPr>
        <w:t>https://ir.altisource.com/corporate-governance</w:t>
      </w:r>
      <w:r>
        <w:rPr>
          <w:rFonts w:ascii="Arial" w:cs="Arial" w:eastAsia="Arial" w:hAnsi="Arial"/>
          <w:sz w:val="15"/>
          <w:szCs w:val="15"/>
          <w:color w:val="auto"/>
        </w:rPr>
        <w:t xml:space="preserve"> and is available in print to any shareholder who requests it. The Compensation Committee reviews its charter annually and presents any recommendations for amendments to our Board. The Compensation Committee also evaluates its performance under its charter and reports to our Board on the results of its evaluation, including an assessment of the charter’s adequacy. The Compensation Committee last reviewed its charter in December 2024. The Compensation Committee met eight (8) times in 2024.</w:t>
      </w:r>
    </w:p>
    <w:p>
      <w:pPr>
        <w:spacing w:after="0" w:line="272" w:lineRule="exact"/>
        <w:rPr>
          <w:sz w:val="20"/>
          <w:szCs w:val="20"/>
          <w:color w:val="auto"/>
        </w:rPr>
      </w:pPr>
    </w:p>
    <w:p>
      <w:pPr>
        <w:ind w:left="1060" w:right="1139"/>
        <w:spacing w:after="0" w:line="249" w:lineRule="auto"/>
        <w:rPr>
          <w:sz w:val="20"/>
          <w:szCs w:val="20"/>
          <w:color w:val="auto"/>
        </w:rPr>
      </w:pPr>
      <w:r>
        <w:rPr>
          <w:rFonts w:ascii="Arial" w:cs="Arial" w:eastAsia="Arial" w:hAnsi="Arial"/>
          <w:sz w:val="15"/>
          <w:szCs w:val="15"/>
          <w:b w:val="1"/>
          <w:bCs w:val="1"/>
          <w:i w:val="1"/>
          <w:iCs w:val="1"/>
          <w:color w:val="auto"/>
        </w:rPr>
        <w:t xml:space="preserve">Compliance Committee. </w:t>
      </w:r>
      <w:r>
        <w:rPr>
          <w:rFonts w:ascii="Arial" w:cs="Arial" w:eastAsia="Arial" w:hAnsi="Arial"/>
          <w:sz w:val="15"/>
          <w:szCs w:val="15"/>
          <w:color w:val="auto"/>
        </w:rPr>
        <w:t>The Compliance Committee of our Board assists our Board with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developing, monitoring and evaluating the Company’s compliance function, including its compliance management system, and the Company’s compliance with applicable laws, rules and regulations governing its businesses. The Compliance Committee performs such other duties as may be prescribed pursuant to its charter.</w:t>
      </w:r>
    </w:p>
    <w:p>
      <w:pPr>
        <w:spacing w:after="0" w:line="89" w:lineRule="exact"/>
        <w:rPr>
          <w:sz w:val="20"/>
          <w:szCs w:val="20"/>
          <w:color w:val="auto"/>
        </w:rPr>
      </w:pPr>
    </w:p>
    <w:p>
      <w:pPr>
        <w:ind w:left="1060" w:right="1119"/>
        <w:spacing w:after="0" w:line="287" w:lineRule="auto"/>
        <w:rPr>
          <w:sz w:val="20"/>
          <w:szCs w:val="20"/>
          <w:color w:val="auto"/>
        </w:rPr>
      </w:pPr>
      <w:r>
        <w:rPr>
          <w:rFonts w:ascii="Arial" w:cs="Arial" w:eastAsia="Arial" w:hAnsi="Arial"/>
          <w:sz w:val="15"/>
          <w:szCs w:val="15"/>
          <w:color w:val="auto"/>
        </w:rPr>
        <w:t>The members of the Compliance Committee during 2024 were Messrs. Aldridge and Shepro, with Mr. Aldridge serving as Chair.</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2" w:name="page23"/>
    <w:bookmarkEnd w:id="22"/>
    <w:p>
      <w:pPr>
        <w:ind w:left="2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ind w:left="394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BOARD OF DIRECTORS AND CORPORATE GOVERNANCE</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-181610</wp:posOffset>
            </wp:positionV>
            <wp:extent cx="2543175" cy="1219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43175" cy="121920"/>
                    </a:xfrm>
                    <a:prstGeom prst="rect">
                      <a:avLst/>
                    </a:prstGeom>
                    <a:noFill/>
                  </pic:spPr>
                </pic:pic>
              </a:graphicData>
            </a:graphic>
          </wp:anchor>
        </w:drawing>
      </w:r>
    </w:p>
    <w:p>
      <w:pPr>
        <w:spacing w:after="0" w:line="97" w:lineRule="exact"/>
        <w:rPr>
          <w:sz w:val="20"/>
          <w:szCs w:val="20"/>
          <w:color w:val="auto"/>
        </w:rPr>
      </w:pPr>
    </w:p>
    <w:p>
      <w:pPr>
        <w:ind w:left="1060" w:right="1139"/>
        <w:spacing w:after="0" w:line="245" w:lineRule="auto"/>
        <w:rPr>
          <w:sz w:val="20"/>
          <w:szCs w:val="20"/>
          <w:color w:val="auto"/>
        </w:rPr>
      </w:pPr>
      <w:r>
        <w:rPr>
          <w:rFonts w:ascii="Arial" w:cs="Arial" w:eastAsia="Arial" w:hAnsi="Arial"/>
          <w:sz w:val="15"/>
          <w:szCs w:val="15"/>
          <w:color w:val="auto"/>
        </w:rPr>
        <w:t xml:space="preserve">Our Compliance Committee operates under a written charter approved by our Board, a copy of which is available on our website at </w:t>
      </w:r>
      <w:r>
        <w:rPr>
          <w:rFonts w:ascii="Arial" w:cs="Arial" w:eastAsia="Arial" w:hAnsi="Arial"/>
          <w:sz w:val="15"/>
          <w:szCs w:val="15"/>
          <w:u w:val="single" w:color="auto"/>
          <w:color w:val="auto"/>
        </w:rPr>
        <w:t>https://ir.altisource.com/corporate-governance</w:t>
      </w:r>
      <w:r>
        <w:rPr>
          <w:rFonts w:ascii="Arial" w:cs="Arial" w:eastAsia="Arial" w:hAnsi="Arial"/>
          <w:sz w:val="15"/>
          <w:szCs w:val="15"/>
          <w:color w:val="auto"/>
        </w:rPr>
        <w:t xml:space="preserve"> and is available in print to any shareholder who requests it. The Compliance Committee reviews its charter annually and presents any recommendations for amendments to our Board. The Compliance Committee also evaluates its performance under its charter and reports to our Board on the results of its evaluation, including an assessment of the charter’s adequacy. The Compliance Committee most recently reviewed its charter in December 2024. The Compliance Committee met four (4) times in 2024.</w:t>
      </w:r>
    </w:p>
    <w:p>
      <w:pPr>
        <w:spacing w:after="0" w:line="272" w:lineRule="exact"/>
        <w:rPr>
          <w:sz w:val="20"/>
          <w:szCs w:val="20"/>
          <w:color w:val="auto"/>
        </w:rPr>
      </w:pPr>
    </w:p>
    <w:p>
      <w:pPr>
        <w:ind w:left="1060" w:right="1139"/>
        <w:spacing w:after="0" w:line="249" w:lineRule="auto"/>
        <w:rPr>
          <w:sz w:val="20"/>
          <w:szCs w:val="20"/>
          <w:color w:val="auto"/>
        </w:rPr>
      </w:pPr>
      <w:r>
        <w:rPr>
          <w:rFonts w:ascii="Arial" w:cs="Arial" w:eastAsia="Arial" w:hAnsi="Arial"/>
          <w:sz w:val="15"/>
          <w:szCs w:val="15"/>
          <w:b w:val="1"/>
          <w:bCs w:val="1"/>
          <w:i w:val="1"/>
          <w:iCs w:val="1"/>
          <w:color w:val="auto"/>
        </w:rPr>
        <w:t xml:space="preserve">Nomination/Governance Committee. </w:t>
      </w:r>
      <w:r>
        <w:rPr>
          <w:rFonts w:ascii="Arial" w:cs="Arial" w:eastAsia="Arial" w:hAnsi="Arial"/>
          <w:sz w:val="15"/>
          <w:szCs w:val="15"/>
          <w:color w:val="auto"/>
        </w:rPr>
        <w:t>The Nomination/Governance Committee of our Board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has provided our Board with a set of corporate governance guidelines, oversees the evaluation of our Board and recommends to our Board individuals qualified to serve as Directors and committee members. It also advises our Board with respect to its composition, procedures and committees. The Nomination/Governance Committee may retain, at the Company’s expense, such independent counsel or other advisors as it deems necessary.</w:t>
      </w:r>
    </w:p>
    <w:p>
      <w:pPr>
        <w:spacing w:after="0" w:line="91" w:lineRule="exact"/>
        <w:rPr>
          <w:sz w:val="20"/>
          <w:szCs w:val="20"/>
          <w:color w:val="auto"/>
        </w:rPr>
      </w:pPr>
    </w:p>
    <w:p>
      <w:pPr>
        <w:ind w:left="1060" w:right="1139"/>
        <w:spacing w:after="0" w:line="255" w:lineRule="auto"/>
        <w:rPr>
          <w:sz w:val="20"/>
          <w:szCs w:val="20"/>
          <w:color w:val="auto"/>
        </w:rPr>
      </w:pPr>
      <w:r>
        <w:rPr>
          <w:rFonts w:ascii="Arial" w:cs="Arial" w:eastAsia="Arial" w:hAnsi="Arial"/>
          <w:sz w:val="15"/>
          <w:szCs w:val="15"/>
          <w:color w:val="auto"/>
        </w:rPr>
        <w:t>The members of the Nomination/Governance Committee during 2024 were Messrs. Morettini and Müller-Ineichen, with Mr. Morettini serving as the Committee Chair. Each member of the Nomination/Governance Committee is independent as defined by the Nasdaq listing standards.</w:t>
      </w:r>
    </w:p>
    <w:p>
      <w:pPr>
        <w:spacing w:after="0" w:line="265" w:lineRule="exact"/>
        <w:rPr>
          <w:sz w:val="20"/>
          <w:szCs w:val="20"/>
          <w:color w:val="auto"/>
        </w:rPr>
      </w:pPr>
    </w:p>
    <w:p>
      <w:pPr>
        <w:ind w:left="1060" w:right="1079"/>
        <w:spacing w:after="0" w:line="244" w:lineRule="auto"/>
        <w:rPr>
          <w:sz w:val="20"/>
          <w:szCs w:val="20"/>
          <w:color w:val="auto"/>
        </w:rPr>
      </w:pPr>
      <w:r>
        <w:rPr>
          <w:rFonts w:ascii="Arial" w:cs="Arial" w:eastAsia="Arial" w:hAnsi="Arial"/>
          <w:sz w:val="15"/>
          <w:szCs w:val="15"/>
          <w:color w:val="auto"/>
        </w:rPr>
        <w:t xml:space="preserve">Our Nomination/Governance Committee operates under a written charter approved by our Board, a copy of which is available on our website at </w:t>
      </w:r>
      <w:r>
        <w:rPr>
          <w:rFonts w:ascii="Arial" w:cs="Arial" w:eastAsia="Arial" w:hAnsi="Arial"/>
          <w:sz w:val="15"/>
          <w:szCs w:val="15"/>
          <w:u w:val="single" w:color="auto"/>
          <w:color w:val="auto"/>
        </w:rPr>
        <w:t>https://ir.altisource.com/corporate-governance</w:t>
      </w:r>
      <w:r>
        <w:rPr>
          <w:rFonts w:ascii="Arial" w:cs="Arial" w:eastAsia="Arial" w:hAnsi="Arial"/>
          <w:sz w:val="15"/>
          <w:szCs w:val="15"/>
          <w:color w:val="auto"/>
        </w:rPr>
        <w:t xml:space="preserve"> and is available in print to any shareholder who requests it. The Nomination/Governance Committee reviews its charter annually and presents any recommendations for amendments to our Board. The Nomination/Governance Committee also evaluates its performance under its charter and reports to our Board on the results of its evaluation, including an assessment of the charter’s adequacy. The Nomination/Governance Committee last reviewed its charter in December 2024. The Nomination/Governance Committee met four (4) times in 2024.</w:t>
      </w:r>
    </w:p>
    <w:p>
      <w:pPr>
        <w:spacing w:after="0" w:line="271" w:lineRule="exact"/>
        <w:rPr>
          <w:sz w:val="20"/>
          <w:szCs w:val="20"/>
          <w:color w:val="auto"/>
        </w:rPr>
      </w:pPr>
    </w:p>
    <w:p>
      <w:pPr>
        <w:ind w:left="1060" w:right="1279"/>
        <w:spacing w:after="0" w:line="253" w:lineRule="auto"/>
        <w:rPr>
          <w:sz w:val="20"/>
          <w:szCs w:val="20"/>
          <w:color w:val="auto"/>
        </w:rPr>
      </w:pPr>
      <w:r>
        <w:rPr>
          <w:rFonts w:ascii="Arial" w:cs="Arial" w:eastAsia="Arial" w:hAnsi="Arial"/>
          <w:sz w:val="15"/>
          <w:szCs w:val="15"/>
          <w:color w:val="auto"/>
        </w:rPr>
        <w:t>The Nomination/Governance Committee regularly evaluates the appropriate size of our Board. When a vacancy is anticipated, the Nomination/Governance Committee selects several candidates for Director. Candidates may be recommended to the Nomination/Governance Committee by current members of our Board, professional search firms, shareholders or industry sources.</w:t>
      </w:r>
    </w:p>
    <w:p>
      <w:pPr>
        <w:spacing w:after="0" w:line="257" w:lineRule="exact"/>
        <w:rPr>
          <w:sz w:val="20"/>
          <w:szCs w:val="20"/>
          <w:color w:val="auto"/>
        </w:rPr>
      </w:pPr>
    </w:p>
    <w:p>
      <w:pPr>
        <w:ind w:left="1060" w:right="1099"/>
        <w:spacing w:after="0" w:line="245" w:lineRule="auto"/>
        <w:rPr>
          <w:sz w:val="20"/>
          <w:szCs w:val="20"/>
          <w:color w:val="auto"/>
        </w:rPr>
      </w:pPr>
      <w:r>
        <w:rPr>
          <w:rFonts w:ascii="Arial" w:cs="Arial" w:eastAsia="Arial" w:hAnsi="Arial"/>
          <w:sz w:val="15"/>
          <w:szCs w:val="15"/>
          <w:color w:val="auto"/>
        </w:rPr>
        <w:t xml:space="preserve">When recommending nominees to our Board, the Nomination/Governance Committee considers candidates based on merit, against objective criteria relating to the candidate’s knowledge, experience, skills and expertise, with due regard for the benefits of diversity on our Board. In considering diversity, the Nomination/​Governance Committee considers differences that relate to gender, age, ethnicity, race, national origin, cultural background, disability, religion and other relevant personal distinctions. The Nomination/ Governance Committee assesses the effectiveness of the Company’s Board Diversity Policy as part of its annual review of the composition of our Board and considers the results of this assessment when evaluating Director nominees. Our Board Diversity Policy is available on our website at </w:t>
      </w:r>
      <w:r>
        <w:rPr>
          <w:rFonts w:ascii="Arial" w:cs="Arial" w:eastAsia="Arial" w:hAnsi="Arial"/>
          <w:sz w:val="15"/>
          <w:szCs w:val="15"/>
          <w:u w:val="single" w:color="auto"/>
          <w:color w:val="auto"/>
        </w:rPr>
        <w:t>https://ir.altisource.com/corporate-governance</w:t>
      </w:r>
      <w:r>
        <w:rPr>
          <w:rFonts w:ascii="Arial" w:cs="Arial" w:eastAsia="Arial" w:hAnsi="Arial"/>
          <w:sz w:val="15"/>
          <w:szCs w:val="15"/>
          <w:color w:val="auto"/>
        </w:rPr>
        <w:t>.</w:t>
      </w:r>
    </w:p>
    <w:p>
      <w:pPr>
        <w:spacing w:after="0" w:line="271" w:lineRule="exact"/>
        <w:rPr>
          <w:sz w:val="20"/>
          <w:szCs w:val="20"/>
          <w:color w:val="auto"/>
        </w:rPr>
      </w:pPr>
    </w:p>
    <w:p>
      <w:pPr>
        <w:ind w:left="1060" w:right="1199"/>
        <w:spacing w:after="0" w:line="247" w:lineRule="auto"/>
        <w:rPr>
          <w:sz w:val="20"/>
          <w:szCs w:val="20"/>
          <w:color w:val="auto"/>
        </w:rPr>
      </w:pPr>
      <w:r>
        <w:rPr>
          <w:rFonts w:ascii="Arial" w:cs="Arial" w:eastAsia="Arial" w:hAnsi="Arial"/>
          <w:sz w:val="15"/>
          <w:szCs w:val="15"/>
          <w:color w:val="auto"/>
        </w:rPr>
        <w:t>In evaluating a particular candidate, the Nomination/Governance Committee will also consider factors other than the candidate’s qualifications and background, including: (i) the current composition of our Board and the interplay between the candidate’s experience and the backgrounds of the current members of our Board; (ii) whether the candidate meets the independence standards set forth under applicable laws, regulations and Nasdaq listing standards; (iii) the balance of management and independent Directors; (iv) the need for Audit Committee expertise; and (v) the evaluation of other prospective nominees.</w:t>
      </w:r>
    </w:p>
    <w:p>
      <w:pPr>
        <w:spacing w:after="0" w:line="92" w:lineRule="exact"/>
        <w:rPr>
          <w:sz w:val="20"/>
          <w:szCs w:val="20"/>
          <w:color w:val="auto"/>
        </w:rPr>
      </w:pPr>
    </w:p>
    <w:p>
      <w:pPr>
        <w:ind w:left="1060" w:right="1199"/>
        <w:spacing w:after="0" w:line="249" w:lineRule="auto"/>
        <w:rPr>
          <w:sz w:val="20"/>
          <w:szCs w:val="20"/>
          <w:color w:val="auto"/>
        </w:rPr>
      </w:pPr>
      <w:r>
        <w:rPr>
          <w:rFonts w:ascii="Arial" w:cs="Arial" w:eastAsia="Arial" w:hAnsi="Arial"/>
          <w:sz w:val="15"/>
          <w:szCs w:val="15"/>
          <w:color w:val="auto"/>
        </w:rPr>
        <w:t>As part of this evaluation, prospective nominees will be interviewed by one or more members of the Nomination/ Governance Committee, and others as appropriate. After completing the evaluation and interviews, the Nomination/Governance Committee recommends individuals for nomination to our full Board of Directors. After considering the Nomination/Governance Committee’s recommendation and report, our Board decides which candidates will be nominated and presented to the shareholders for election.</w:t>
      </w:r>
    </w:p>
    <w:p>
      <w:pPr>
        <w:spacing w:after="0" w:line="91" w:lineRule="exact"/>
        <w:rPr>
          <w:sz w:val="20"/>
          <w:szCs w:val="20"/>
          <w:color w:val="auto"/>
        </w:rPr>
      </w:pPr>
    </w:p>
    <w:p>
      <w:pPr>
        <w:ind w:left="1060" w:right="1139"/>
        <w:spacing w:after="0" w:line="247" w:lineRule="auto"/>
        <w:rPr>
          <w:sz w:val="20"/>
          <w:szCs w:val="20"/>
          <w:color w:val="auto"/>
        </w:rPr>
      </w:pPr>
      <w:r>
        <w:rPr>
          <w:rFonts w:ascii="Arial" w:cs="Arial" w:eastAsia="Arial" w:hAnsi="Arial"/>
          <w:sz w:val="15"/>
          <w:szCs w:val="15"/>
          <w:color w:val="auto"/>
        </w:rPr>
        <w:t>The Nomination/Governance Committee considers Director candidates recommended by shareholders. If you would like to recommend persons for consideration by our Nomination/Governance Committee as nominees for election to our Board, you can do so by writing to our Corporate Secretary at Altisource Portfolio Solutions S.A., 33, Boulevard Prince Henri, L-1724 Luxembourg City, Grand Duchy of Luxembourg. If you recommend a qualified candidate for Director, our Nomination/Governance Committee will evaluate that candidate in the same way that</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3" w:name="page24"/>
    <w:bookmarkEnd w:id="23"/>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6" w:lineRule="exact"/>
        <w:rPr>
          <w:sz w:val="20"/>
          <w:szCs w:val="20"/>
          <w:color w:val="auto"/>
        </w:rPr>
      </w:pPr>
    </w:p>
    <w:p>
      <w:pPr>
        <w:ind w:left="394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BOARD OF DIRECTORS AND CORPORATE GOVERNANCE</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-181610</wp:posOffset>
            </wp:positionV>
            <wp:extent cx="2543175" cy="1219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43175" cy="121920"/>
                    </a:xfrm>
                    <a:prstGeom prst="rect">
                      <a:avLst/>
                    </a:prstGeom>
                    <a:noFill/>
                  </pic:spPr>
                </pic:pic>
              </a:graphicData>
            </a:graphic>
          </wp:anchor>
        </w:drawing>
      </w:r>
    </w:p>
    <w:p>
      <w:pPr>
        <w:spacing w:after="0" w:line="97" w:lineRule="exact"/>
        <w:rPr>
          <w:sz w:val="20"/>
          <w:szCs w:val="20"/>
          <w:color w:val="auto"/>
        </w:rPr>
      </w:pPr>
    </w:p>
    <w:p>
      <w:pPr>
        <w:ind w:left="1060" w:right="1139"/>
        <w:spacing w:after="0" w:line="245" w:lineRule="auto"/>
        <w:rPr>
          <w:sz w:val="20"/>
          <w:szCs w:val="20"/>
          <w:color w:val="auto"/>
        </w:rPr>
      </w:pPr>
      <w:r>
        <w:rPr>
          <w:rFonts w:ascii="Arial" w:cs="Arial" w:eastAsia="Arial" w:hAnsi="Arial"/>
          <w:sz w:val="15"/>
          <w:szCs w:val="15"/>
          <w:color w:val="auto"/>
        </w:rPr>
        <w:t>it would evaluate any other candidate. You should provide each proposed nominee’s name, biographical information, qualifications and expertise. Your recommendation should also include a written statement from the proposed nominee consenting to be named as a nominee and, if nominated and elected, to serve as a Director. Any recommendation that a shareholder wishes to have included in our proxy materials for our 2026 annual general meeting of shareholders must be received at our registered office no later than December 1, 2025. Please see the “Shareholder Rights” and “Shareholder Proposals” sections for additional information regarding shareholder proposals.</w:t>
      </w:r>
    </w:p>
    <w:p>
      <w:pPr>
        <w:spacing w:after="0" w:line="272" w:lineRule="exact"/>
        <w:rPr>
          <w:sz w:val="20"/>
          <w:szCs w:val="20"/>
          <w:color w:val="auto"/>
        </w:rPr>
      </w:pPr>
    </w:p>
    <w:p>
      <w:pPr>
        <w:ind w:left="1060" w:right="1159"/>
        <w:spacing w:after="0" w:line="249" w:lineRule="auto"/>
        <w:rPr>
          <w:sz w:val="20"/>
          <w:szCs w:val="20"/>
          <w:color w:val="auto"/>
        </w:rPr>
      </w:pPr>
      <w:r>
        <w:rPr>
          <w:rFonts w:ascii="Arial" w:cs="Arial" w:eastAsia="Arial" w:hAnsi="Arial"/>
          <w:sz w:val="15"/>
          <w:szCs w:val="15"/>
          <w:b w:val="1"/>
          <w:bCs w:val="1"/>
          <w:i w:val="1"/>
          <w:iCs w:val="1"/>
          <w:color w:val="auto"/>
        </w:rPr>
        <w:t xml:space="preserve">Executive Committee. </w:t>
      </w:r>
      <w:r>
        <w:rPr>
          <w:rFonts w:ascii="Arial" w:cs="Arial" w:eastAsia="Arial" w:hAnsi="Arial"/>
          <w:sz w:val="15"/>
          <w:szCs w:val="15"/>
          <w:color w:val="auto"/>
        </w:rPr>
        <w:t>Our Executive Committee acts on behalf of our Board between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meetings and otherwise assists our Board in handling matters that, in the opinion of the Chairman of our Board, should not be postponed until the next scheduled meeting of our Board. The members of our Executive Committee during 2024 were Messrs. Müller-Ineichen and Shepro, with Mr. Müller-Ineichen serving as the Committee Chair.</w:t>
      </w:r>
    </w:p>
    <w:p>
      <w:pPr>
        <w:spacing w:after="0" w:line="89" w:lineRule="exact"/>
        <w:rPr>
          <w:sz w:val="20"/>
          <w:szCs w:val="20"/>
          <w:color w:val="auto"/>
        </w:rPr>
      </w:pPr>
    </w:p>
    <w:p>
      <w:pPr>
        <w:ind w:left="1060" w:right="1079"/>
        <w:spacing w:after="0" w:line="246" w:lineRule="auto"/>
        <w:rPr>
          <w:sz w:val="20"/>
          <w:szCs w:val="20"/>
          <w:color w:val="auto"/>
        </w:rPr>
      </w:pPr>
      <w:r>
        <w:rPr>
          <w:rFonts w:ascii="Arial" w:cs="Arial" w:eastAsia="Arial" w:hAnsi="Arial"/>
          <w:sz w:val="15"/>
          <w:szCs w:val="15"/>
          <w:color w:val="auto"/>
        </w:rPr>
        <w:t xml:space="preserve">Our Executive Committee operates under a written charter approved by our Board, a copy of which is available on our website at </w:t>
      </w:r>
      <w:r>
        <w:rPr>
          <w:rFonts w:ascii="Arial" w:cs="Arial" w:eastAsia="Arial" w:hAnsi="Arial"/>
          <w:sz w:val="15"/>
          <w:szCs w:val="15"/>
          <w:u w:val="single" w:color="auto"/>
          <w:color w:val="auto"/>
        </w:rPr>
        <w:t>https://ir.altisource.com/corporate-governance</w:t>
      </w:r>
      <w:r>
        <w:rPr>
          <w:rFonts w:ascii="Arial" w:cs="Arial" w:eastAsia="Arial" w:hAnsi="Arial"/>
          <w:sz w:val="15"/>
          <w:szCs w:val="15"/>
          <w:color w:val="auto"/>
        </w:rPr>
        <w:t xml:space="preserve"> and is available in print to any shareholder who requests it. The Executive Committee reviews its charter annually and presents any recommendations for amendments to our Board. The Executive Committee also evaluates its performance under its charter and reports to our Board on the results of its evaluation, provided that such performance evaluation shall not be necessary where minimal action was taken during the year. The Executive Committee last reviewed its charter in December 2024. The Executive Committee took one action by written consent in 2024.</w:t>
      </w:r>
    </w:p>
    <w:p>
      <w:pPr>
        <w:spacing w:after="0" w:line="323"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Corporate Governance Guidelines</w:t>
      </w:r>
    </w:p>
    <w:p>
      <w:pPr>
        <w:spacing w:after="0" w:line="103" w:lineRule="exact"/>
        <w:rPr>
          <w:sz w:val="20"/>
          <w:szCs w:val="20"/>
          <w:color w:val="auto"/>
        </w:rPr>
      </w:pPr>
    </w:p>
    <w:p>
      <w:pPr>
        <w:ind w:left="1060" w:right="1139"/>
        <w:spacing w:after="0" w:line="245" w:lineRule="auto"/>
        <w:rPr>
          <w:sz w:val="20"/>
          <w:szCs w:val="20"/>
          <w:color w:val="auto"/>
        </w:rPr>
      </w:pPr>
      <w:r>
        <w:rPr>
          <w:rFonts w:ascii="Arial" w:cs="Arial" w:eastAsia="Arial" w:hAnsi="Arial"/>
          <w:sz w:val="15"/>
          <w:szCs w:val="15"/>
          <w:color w:val="auto"/>
        </w:rPr>
        <w:t>The Corporate Governance Guidelines adopted by our Board provide guidelines for effective corporate governance and to promote the effective functioning of our Board and its Committees. The Corporate Governance Guidelines cover topics such as Director qualification standards, Board and committee composition, Director responsibilities, minimum stock ownership requirements for our non-management Directors and our Chief Executive Officer, anti-hedging and anti-pledging policies, Director access to management and independent advisors, Director compensation, Director orientation and continuing education, management succession, and annual performance reviews of our Board.</w:t>
      </w:r>
    </w:p>
    <w:p>
      <w:pPr>
        <w:spacing w:after="0" w:line="272" w:lineRule="exact"/>
        <w:rPr>
          <w:sz w:val="20"/>
          <w:szCs w:val="20"/>
          <w:color w:val="auto"/>
        </w:rPr>
      </w:pPr>
    </w:p>
    <w:p>
      <w:pPr>
        <w:ind w:left="1060" w:right="1239"/>
        <w:spacing w:after="0" w:line="249" w:lineRule="auto"/>
        <w:rPr>
          <w:sz w:val="20"/>
          <w:szCs w:val="20"/>
          <w:color w:val="auto"/>
        </w:rPr>
      </w:pPr>
      <w:r>
        <w:rPr>
          <w:rFonts w:ascii="Arial" w:cs="Arial" w:eastAsia="Arial" w:hAnsi="Arial"/>
          <w:sz w:val="15"/>
          <w:szCs w:val="15"/>
          <w:color w:val="auto"/>
        </w:rPr>
        <w:t xml:space="preserve">Our Nomination/Governance Committee reviews our Corporate Governance Guidelines at least once a year and, if necessary, presents any recommendations for amendments to our Board. The Nomination/ Governance Committee last reviewed our Corporate Governance Guidelines in December 2024. Our Corporate Governance Guidelines are available on our website at </w:t>
      </w:r>
      <w:r>
        <w:rPr>
          <w:rFonts w:ascii="Arial" w:cs="Arial" w:eastAsia="Arial" w:hAnsi="Arial"/>
          <w:sz w:val="15"/>
          <w:szCs w:val="15"/>
          <w:u w:val="single" w:color="auto"/>
          <w:color w:val="auto"/>
        </w:rPr>
        <w:t>https://ir.altisource.com/corporate-governance</w:t>
      </w:r>
      <w:r>
        <w:rPr>
          <w:rFonts w:ascii="Arial" w:cs="Arial" w:eastAsia="Arial" w:hAnsi="Arial"/>
          <w:sz w:val="15"/>
          <w:szCs w:val="15"/>
          <w:color w:val="auto"/>
        </w:rPr>
        <w:t>.</w:t>
      </w:r>
    </w:p>
    <w:p>
      <w:pPr>
        <w:spacing w:after="0" w:line="142"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Shareholder Rights</w:t>
      </w:r>
    </w:p>
    <w:p>
      <w:pPr>
        <w:spacing w:after="0" w:line="103" w:lineRule="exact"/>
        <w:rPr>
          <w:sz w:val="20"/>
          <w:szCs w:val="20"/>
          <w:color w:val="auto"/>
        </w:rPr>
      </w:pPr>
    </w:p>
    <w:p>
      <w:pPr>
        <w:jc w:val="both"/>
        <w:ind w:left="1060" w:right="1619"/>
        <w:spacing w:after="0" w:line="254" w:lineRule="auto"/>
        <w:rPr>
          <w:sz w:val="20"/>
          <w:szCs w:val="20"/>
          <w:color w:val="auto"/>
        </w:rPr>
      </w:pPr>
      <w:r>
        <w:rPr>
          <w:rFonts w:ascii="Arial" w:cs="Arial" w:eastAsia="Arial" w:hAnsi="Arial"/>
          <w:sz w:val="15"/>
          <w:szCs w:val="15"/>
          <w:color w:val="auto"/>
        </w:rPr>
        <w:t>We are committed to governance policies and practices that serve the interests of the Company and its shareholders in accordance with Luxembourg law. The following is a summary of our policies and practices that provide rights to our shareholders:</w:t>
      </w:r>
    </w:p>
    <w:p>
      <w:pPr>
        <w:spacing w:after="0" w:line="86" w:lineRule="exact"/>
        <w:rPr>
          <w:sz w:val="20"/>
          <w:szCs w:val="20"/>
          <w:color w:val="auto"/>
        </w:rPr>
      </w:pPr>
    </w:p>
    <w:p>
      <w:pPr>
        <w:ind w:left="1660" w:hanging="293"/>
        <w:spacing w:after="0"/>
        <w:tabs>
          <w:tab w:leader="none" w:pos="1660" w:val="left"/>
        </w:tabs>
        <w:numPr>
          <w:ilvl w:val="0"/>
          <w:numId w:val="26"/>
        </w:numPr>
        <w:rPr>
          <w:rFonts w:ascii="Arial" w:cs="Arial" w:eastAsia="Arial" w:hAnsi="Arial"/>
          <w:sz w:val="15"/>
          <w:szCs w:val="15"/>
          <w:b w:val="1"/>
          <w:bCs w:val="1"/>
          <w:color w:val="auto"/>
        </w:rPr>
      </w:pPr>
      <w:r>
        <w:rPr>
          <w:rFonts w:ascii="Arial" w:cs="Arial" w:eastAsia="Arial" w:hAnsi="Arial"/>
          <w:sz w:val="15"/>
          <w:szCs w:val="15"/>
          <w:i w:val="1"/>
          <w:iCs w:val="1"/>
          <w:color w:val="auto"/>
        </w:rPr>
        <w:t xml:space="preserve">Majority Voting:  </w:t>
      </w:r>
      <w:r>
        <w:rPr>
          <w:rFonts w:ascii="Arial" w:cs="Arial" w:eastAsia="Arial" w:hAnsi="Arial"/>
          <w:sz w:val="15"/>
          <w:szCs w:val="15"/>
          <w:color w:val="auto"/>
        </w:rPr>
        <w:t>Directors are elected by the majority of votes cast</w:t>
      </w:r>
    </w:p>
    <w:p>
      <w:pPr>
        <w:spacing w:after="0" w:line="132" w:lineRule="exact"/>
        <w:rPr>
          <w:rFonts w:ascii="Arial" w:cs="Arial" w:eastAsia="Arial" w:hAnsi="Arial"/>
          <w:sz w:val="15"/>
          <w:szCs w:val="15"/>
          <w:b w:val="1"/>
          <w:bCs w:val="1"/>
          <w:color w:val="auto"/>
        </w:rPr>
      </w:pPr>
    </w:p>
    <w:p>
      <w:pPr>
        <w:ind w:left="1660" w:right="1419" w:hanging="293"/>
        <w:spacing w:after="0" w:line="263" w:lineRule="auto"/>
        <w:tabs>
          <w:tab w:leader="none" w:pos="1660" w:val="left"/>
        </w:tabs>
        <w:numPr>
          <w:ilvl w:val="0"/>
          <w:numId w:val="26"/>
        </w:numPr>
        <w:rPr>
          <w:rFonts w:ascii="Arial" w:cs="Arial" w:eastAsia="Arial" w:hAnsi="Arial"/>
          <w:sz w:val="15"/>
          <w:szCs w:val="15"/>
          <w:b w:val="1"/>
          <w:bCs w:val="1"/>
          <w:color w:val="auto"/>
        </w:rPr>
      </w:pPr>
      <w:r>
        <w:rPr>
          <w:rFonts w:ascii="Arial" w:cs="Arial" w:eastAsia="Arial" w:hAnsi="Arial"/>
          <w:sz w:val="15"/>
          <w:szCs w:val="15"/>
          <w:i w:val="1"/>
          <w:iCs w:val="1"/>
          <w:color w:val="auto"/>
        </w:rPr>
        <w:t xml:space="preserve">Annual Elections: </w:t>
      </w:r>
      <w:r>
        <w:rPr>
          <w:rFonts w:ascii="Arial" w:cs="Arial" w:eastAsia="Arial" w:hAnsi="Arial"/>
          <w:sz w:val="15"/>
          <w:szCs w:val="15"/>
          <w:color w:val="auto"/>
        </w:rPr>
        <w:t>All Directors are elected annually. We do not have a staggered</w:t>
      </w:r>
      <w:r>
        <w:rPr>
          <w:rFonts w:ascii="Arial" w:cs="Arial" w:eastAsia="Arial" w:hAnsi="Arial"/>
          <w:sz w:val="15"/>
          <w:szCs w:val="15"/>
          <w:i w:val="1"/>
          <w:iCs w:val="1"/>
          <w:color w:val="auto"/>
        </w:rPr>
        <w:t xml:space="preserve"> </w:t>
      </w:r>
      <w:r>
        <w:rPr>
          <w:rFonts w:ascii="Arial" w:cs="Arial" w:eastAsia="Arial" w:hAnsi="Arial"/>
          <w:sz w:val="15"/>
          <w:szCs w:val="15"/>
          <w:color w:val="auto"/>
        </w:rPr>
        <w:t>Board</w:t>
      </w:r>
    </w:p>
    <w:p>
      <w:pPr>
        <w:spacing w:after="0" w:line="286" w:lineRule="exact"/>
        <w:rPr>
          <w:rFonts w:ascii="Arial" w:cs="Arial" w:eastAsia="Arial" w:hAnsi="Arial"/>
          <w:sz w:val="15"/>
          <w:szCs w:val="15"/>
          <w:b w:val="1"/>
          <w:bCs w:val="1"/>
          <w:color w:val="auto"/>
        </w:rPr>
      </w:pPr>
    </w:p>
    <w:p>
      <w:pPr>
        <w:ind w:left="1660" w:right="1139" w:hanging="293"/>
        <w:spacing w:after="0" w:line="262" w:lineRule="auto"/>
        <w:tabs>
          <w:tab w:leader="none" w:pos="1660" w:val="left"/>
        </w:tabs>
        <w:numPr>
          <w:ilvl w:val="0"/>
          <w:numId w:val="26"/>
        </w:numPr>
        <w:rPr>
          <w:rFonts w:ascii="Arial" w:cs="Arial" w:eastAsia="Arial" w:hAnsi="Arial"/>
          <w:sz w:val="15"/>
          <w:szCs w:val="15"/>
          <w:b w:val="1"/>
          <w:bCs w:val="1"/>
          <w:color w:val="auto"/>
        </w:rPr>
      </w:pPr>
      <w:r>
        <w:rPr>
          <w:rFonts w:ascii="Arial" w:cs="Arial" w:eastAsia="Arial" w:hAnsi="Arial"/>
          <w:sz w:val="15"/>
          <w:szCs w:val="15"/>
          <w:i w:val="1"/>
          <w:iCs w:val="1"/>
          <w:color w:val="auto"/>
        </w:rPr>
        <w:t xml:space="preserve">Shareholder Proposals: </w:t>
      </w:r>
      <w:r>
        <w:rPr>
          <w:rFonts w:ascii="Arial" w:cs="Arial" w:eastAsia="Arial" w:hAnsi="Arial"/>
          <w:sz w:val="15"/>
          <w:szCs w:val="15"/>
          <w:color w:val="auto"/>
        </w:rPr>
        <w:t>Shareholders representing individually or jointly at least</w:t>
      </w:r>
      <w:r>
        <w:rPr>
          <w:rFonts w:ascii="Arial" w:cs="Arial" w:eastAsia="Arial" w:hAnsi="Arial"/>
          <w:sz w:val="15"/>
          <w:szCs w:val="15"/>
          <w:i w:val="1"/>
          <w:iCs w:val="1"/>
          <w:color w:val="auto"/>
        </w:rPr>
        <w:t xml:space="preserve"> </w:t>
      </w:r>
      <w:r>
        <w:rPr>
          <w:rFonts w:ascii="Arial" w:cs="Arial" w:eastAsia="Arial" w:hAnsi="Arial"/>
          <w:sz w:val="15"/>
          <w:szCs w:val="15"/>
          <w:color w:val="auto"/>
        </w:rPr>
        <w:t>ten percent (10%) of the Company’s share capital may nominate candidates for election to our Board and make other proposals for inclusion in the proxy statement, subject to completing certain formalities. Please see the “Shareholder Proposals” section for additional information</w:t>
      </w:r>
    </w:p>
    <w:p>
      <w:pPr>
        <w:spacing w:after="0" w:line="276" w:lineRule="exact"/>
        <w:rPr>
          <w:rFonts w:ascii="Arial" w:cs="Arial" w:eastAsia="Arial" w:hAnsi="Arial"/>
          <w:sz w:val="15"/>
          <w:szCs w:val="15"/>
          <w:b w:val="1"/>
          <w:bCs w:val="1"/>
          <w:color w:val="auto"/>
        </w:rPr>
      </w:pPr>
    </w:p>
    <w:p>
      <w:pPr>
        <w:ind w:left="1660" w:right="1199" w:hanging="293"/>
        <w:spacing w:after="0" w:line="288" w:lineRule="auto"/>
        <w:tabs>
          <w:tab w:leader="none" w:pos="1660" w:val="left"/>
        </w:tabs>
        <w:numPr>
          <w:ilvl w:val="0"/>
          <w:numId w:val="26"/>
        </w:numPr>
        <w:rPr>
          <w:rFonts w:ascii="Arial" w:cs="Arial" w:eastAsia="Arial" w:hAnsi="Arial"/>
          <w:sz w:val="15"/>
          <w:szCs w:val="15"/>
          <w:b w:val="1"/>
          <w:bCs w:val="1"/>
          <w:color w:val="auto"/>
        </w:rPr>
      </w:pPr>
      <w:r>
        <w:rPr>
          <w:rFonts w:ascii="Arial" w:cs="Arial" w:eastAsia="Arial" w:hAnsi="Arial"/>
          <w:sz w:val="15"/>
          <w:szCs w:val="15"/>
          <w:i w:val="1"/>
          <w:iCs w:val="1"/>
          <w:color w:val="auto"/>
        </w:rPr>
        <w:t xml:space="preserve">Shareholder Meetings: </w:t>
      </w:r>
      <w:r>
        <w:rPr>
          <w:rFonts w:ascii="Arial" w:cs="Arial" w:eastAsia="Arial" w:hAnsi="Arial"/>
          <w:sz w:val="15"/>
          <w:szCs w:val="15"/>
          <w:color w:val="auto"/>
        </w:rPr>
        <w:t>A general meeting of shareholders may be called at any time</w:t>
      </w:r>
      <w:r>
        <w:rPr>
          <w:rFonts w:ascii="Arial" w:cs="Arial" w:eastAsia="Arial" w:hAnsi="Arial"/>
          <w:sz w:val="15"/>
          <w:szCs w:val="15"/>
          <w:i w:val="1"/>
          <w:iCs w:val="1"/>
          <w:color w:val="auto"/>
        </w:rPr>
        <w:t xml:space="preserve"> </w:t>
      </w:r>
      <w:r>
        <w:rPr>
          <w:rFonts w:ascii="Arial" w:cs="Arial" w:eastAsia="Arial" w:hAnsi="Arial"/>
          <w:sz w:val="15"/>
          <w:szCs w:val="15"/>
          <w:color w:val="auto"/>
        </w:rPr>
        <w:t>by the holders of at least ten percent (10%) of our subscribed share capital</w:t>
      </w:r>
    </w:p>
    <w:p>
      <w:pPr>
        <w:spacing w:after="0" w:line="61" w:lineRule="exact"/>
        <w:rPr>
          <w:rFonts w:ascii="Arial" w:cs="Arial" w:eastAsia="Arial" w:hAnsi="Arial"/>
          <w:sz w:val="15"/>
          <w:szCs w:val="15"/>
          <w:b w:val="1"/>
          <w:bCs w:val="1"/>
          <w:color w:val="auto"/>
        </w:rPr>
      </w:pPr>
    </w:p>
    <w:p>
      <w:pPr>
        <w:ind w:left="1660" w:right="1979" w:hanging="293"/>
        <w:spacing w:after="0" w:line="287" w:lineRule="auto"/>
        <w:tabs>
          <w:tab w:leader="none" w:pos="1660" w:val="left"/>
        </w:tabs>
        <w:numPr>
          <w:ilvl w:val="0"/>
          <w:numId w:val="26"/>
        </w:numPr>
        <w:rPr>
          <w:rFonts w:ascii="Arial" w:cs="Arial" w:eastAsia="Arial" w:hAnsi="Arial"/>
          <w:sz w:val="15"/>
          <w:szCs w:val="15"/>
          <w:b w:val="1"/>
          <w:bCs w:val="1"/>
          <w:color w:val="auto"/>
        </w:rPr>
      </w:pPr>
      <w:r>
        <w:rPr>
          <w:rFonts w:ascii="Arial" w:cs="Arial" w:eastAsia="Arial" w:hAnsi="Arial"/>
          <w:sz w:val="15"/>
          <w:szCs w:val="15"/>
          <w:i w:val="1"/>
          <w:iCs w:val="1"/>
          <w:color w:val="auto"/>
        </w:rPr>
        <w:t xml:space="preserve">No Shareholder Rights Plan: </w:t>
      </w:r>
      <w:r>
        <w:rPr>
          <w:rFonts w:ascii="Arial" w:cs="Arial" w:eastAsia="Arial" w:hAnsi="Arial"/>
          <w:sz w:val="15"/>
          <w:szCs w:val="15"/>
          <w:color w:val="auto"/>
        </w:rPr>
        <w:t>We do not maintain a shareholder rights plan</w:t>
      </w:r>
      <w:r>
        <w:rPr>
          <w:rFonts w:ascii="Arial" w:cs="Arial" w:eastAsia="Arial" w:hAnsi="Arial"/>
          <w:sz w:val="15"/>
          <w:szCs w:val="15"/>
          <w:i w:val="1"/>
          <w:iCs w:val="1"/>
          <w:color w:val="auto"/>
        </w:rPr>
        <w:t xml:space="preserve"> </w:t>
      </w:r>
      <w:r>
        <w:rPr>
          <w:rFonts w:ascii="Arial" w:cs="Arial" w:eastAsia="Arial" w:hAnsi="Arial"/>
          <w:sz w:val="15"/>
          <w:szCs w:val="15"/>
          <w:color w:val="auto"/>
        </w:rPr>
        <w:t>(sometimes called a “poison pill”)</w:t>
      </w:r>
    </w:p>
    <w:p>
      <w:pPr>
        <w:spacing w:after="0" w:line="74" w:lineRule="exact"/>
        <w:rPr>
          <w:sz w:val="20"/>
          <w:szCs w:val="20"/>
          <w:color w:val="auto"/>
        </w:rPr>
      </w:pPr>
    </w:p>
    <w:p>
      <w:pPr>
        <w:ind w:left="1060" w:right="1119"/>
        <w:spacing w:after="0" w:line="272" w:lineRule="auto"/>
        <w:rPr>
          <w:sz w:val="20"/>
          <w:szCs w:val="20"/>
          <w:color w:val="auto"/>
        </w:rPr>
      </w:pPr>
      <w:r>
        <w:rPr>
          <w:rFonts w:ascii="Arial" w:cs="Arial" w:eastAsia="Arial" w:hAnsi="Arial"/>
          <w:sz w:val="15"/>
          <w:szCs w:val="15"/>
          <w:color w:val="auto"/>
        </w:rPr>
        <w:t>Our Board and its Committees monitor developments in governance best practices to assure that our Board continues to meet its commitment to represent shareholder interests.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4" w:name="page25"/>
    <w:bookmarkEnd w:id="24"/>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6" w:lineRule="exact"/>
        <w:rPr>
          <w:sz w:val="20"/>
          <w:szCs w:val="20"/>
          <w:color w:val="auto"/>
        </w:rPr>
      </w:pPr>
    </w:p>
    <w:p>
      <w:pPr>
        <w:jc w:val="right"/>
        <w:ind w:right="103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BOARD OF DIRECTORS AND CORPORATE GOVERNANCE</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-181610</wp:posOffset>
            </wp:positionV>
            <wp:extent cx="2543175" cy="1219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43175" cy="121920"/>
                    </a:xfrm>
                    <a:prstGeom prst="rect">
                      <a:avLst/>
                    </a:prstGeom>
                    <a:noFill/>
                  </pic:spPr>
                </pic:pic>
              </a:graphicData>
            </a:graphic>
          </wp:anchor>
        </w:drawing>
      </w:r>
    </w:p>
    <w:p>
      <w:pPr>
        <w:spacing w:after="0" w:line="93"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Shareholder Engagement</w:t>
      </w:r>
    </w:p>
    <w:p>
      <w:pPr>
        <w:spacing w:after="0" w:line="92" w:lineRule="exact"/>
        <w:rPr>
          <w:sz w:val="20"/>
          <w:szCs w:val="20"/>
          <w:color w:val="auto"/>
        </w:rPr>
      </w:pPr>
    </w:p>
    <w:p>
      <w:pPr>
        <w:ind w:left="1060" w:right="1219"/>
        <w:spacing w:after="0" w:line="257" w:lineRule="auto"/>
        <w:rPr>
          <w:sz w:val="20"/>
          <w:szCs w:val="20"/>
          <w:color w:val="auto"/>
        </w:rPr>
      </w:pPr>
      <w:r>
        <w:rPr>
          <w:rFonts w:ascii="Arial" w:cs="Arial" w:eastAsia="Arial" w:hAnsi="Arial"/>
          <w:sz w:val="15"/>
          <w:szCs w:val="15"/>
          <w:color w:val="auto"/>
        </w:rPr>
        <w:t>Engagement with our shareholders helps us gain useful feedback on a wide variety of relevant topics, which may include corporate governance, compensation practices, Board diversity, capital structure, business performance, and the strategy of the Company. If such feedback is received, it is shared regularly with the Company’s management and our Board and may be considered in setting the governance practices and strategic direction for the Company. Shareholder feedback may also help us to better tailor the public information we provide to address the interests and inquiries of our shareholders and other interested parties.</w:t>
      </w:r>
    </w:p>
    <w:p>
      <w:pPr>
        <w:spacing w:after="0" w:line="279" w:lineRule="exact"/>
        <w:rPr>
          <w:sz w:val="20"/>
          <w:szCs w:val="20"/>
          <w:color w:val="auto"/>
        </w:rPr>
      </w:pPr>
    </w:p>
    <w:p>
      <w:pPr>
        <w:ind w:left="1060" w:right="1139"/>
        <w:spacing w:after="0" w:line="258" w:lineRule="auto"/>
        <w:rPr>
          <w:sz w:val="20"/>
          <w:szCs w:val="20"/>
          <w:color w:val="auto"/>
        </w:rPr>
      </w:pPr>
      <w:r>
        <w:rPr>
          <w:rFonts w:ascii="Arial" w:cs="Arial" w:eastAsia="Arial" w:hAnsi="Arial"/>
          <w:sz w:val="15"/>
          <w:szCs w:val="15"/>
          <w:color w:val="auto"/>
        </w:rPr>
        <w:t>Altisource from time to time interacts and communicates with shareholders in a number of forums, including quarterly earnings presentations, SEC filings, investor conferences and meetings, and press releases. In furtherance of the Company’s commitment to constructive communication and engagement with shareholders, the Company’s policy regarding communications by shareholders and other interested parties with our Board is designed to promote effective engagement with shareholders and clearly outline the parameters for such engagement.</w:t>
      </w:r>
    </w:p>
    <w:p>
      <w:pPr>
        <w:spacing w:after="0" w:line="268" w:lineRule="exact"/>
        <w:rPr>
          <w:sz w:val="20"/>
          <w:szCs w:val="20"/>
          <w:color w:val="auto"/>
        </w:rPr>
      </w:pPr>
    </w:p>
    <w:p>
      <w:pPr>
        <w:ind w:left="1060" w:right="1219"/>
        <w:spacing w:after="0" w:line="258" w:lineRule="auto"/>
        <w:rPr>
          <w:sz w:val="20"/>
          <w:szCs w:val="20"/>
          <w:color w:val="auto"/>
        </w:rPr>
      </w:pPr>
      <w:r>
        <w:rPr>
          <w:rFonts w:ascii="Arial" w:cs="Arial" w:eastAsia="Arial" w:hAnsi="Arial"/>
          <w:sz w:val="15"/>
          <w:szCs w:val="15"/>
          <w:color w:val="auto"/>
        </w:rPr>
        <w:t xml:space="preserve">Shareholders who wish to contact our Board or any individual Director regarding Altisource may do so by mail addressed to our Corporate Secretary at Altisource Portfolio Solutions S.A., 33, Boulevard Prince Henri, L-1724 Luxembourg City, Grand Duchy of Luxembourg or by email to the Office of the Corporate Secretary at </w:t>
      </w:r>
      <w:r>
        <w:rPr>
          <w:rFonts w:ascii="Arial" w:cs="Arial" w:eastAsia="Arial" w:hAnsi="Arial"/>
          <w:sz w:val="15"/>
          <w:szCs w:val="15"/>
          <w:u w:val="single" w:color="auto"/>
          <w:color w:val="auto"/>
        </w:rPr>
        <w:t>CorporateSecretary@altisource.com</w:t>
      </w:r>
      <w:r>
        <w:rPr>
          <w:rFonts w:ascii="Arial" w:cs="Arial" w:eastAsia="Arial" w:hAnsi="Arial"/>
          <w:sz w:val="15"/>
          <w:szCs w:val="15"/>
          <w:color w:val="auto"/>
        </w:rPr>
        <w:t>. Relevant communications received in writing are distributed to our Board or to individual Directors, as appropriate, depending on the facts and circumstances outlined in the communication received.</w:t>
      </w:r>
    </w:p>
    <w:p>
      <w:pPr>
        <w:spacing w:after="0" w:line="331"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Code of Ethics</w:t>
      </w:r>
    </w:p>
    <w:p>
      <w:pPr>
        <w:spacing w:after="0" w:line="103" w:lineRule="exact"/>
        <w:rPr>
          <w:sz w:val="20"/>
          <w:szCs w:val="20"/>
          <w:color w:val="auto"/>
        </w:rPr>
      </w:pPr>
    </w:p>
    <w:p>
      <w:pPr>
        <w:ind w:left="1060" w:right="1079"/>
        <w:spacing w:after="0" w:line="254" w:lineRule="auto"/>
        <w:rPr>
          <w:sz w:val="20"/>
          <w:szCs w:val="20"/>
          <w:color w:val="auto"/>
        </w:rPr>
      </w:pPr>
      <w:r>
        <w:rPr>
          <w:rFonts w:ascii="Arial" w:cs="Arial" w:eastAsia="Arial" w:hAnsi="Arial"/>
          <w:sz w:val="15"/>
          <w:szCs w:val="15"/>
          <w:color w:val="auto"/>
        </w:rPr>
        <w:t xml:space="preserve">We have a Code of Business Conduct and Ethics that applies to our Directors, officers and other employees as required by the Nasdaq listing standards. We also have a Code of Ethics for Senior Financial Officers that applies to our Chief Executive Officer, Chief Financial Officer and the members of the Chief Financial Officer’s financial leadership team. The Code of Business Conduct and Ethics and the Code of Ethics for Senior Financial Officers are available on our website at </w:t>
      </w:r>
      <w:r>
        <w:rPr>
          <w:rFonts w:ascii="Arial" w:cs="Arial" w:eastAsia="Arial" w:hAnsi="Arial"/>
          <w:sz w:val="15"/>
          <w:szCs w:val="15"/>
          <w:u w:val="single" w:color="auto"/>
          <w:color w:val="auto"/>
        </w:rPr>
        <w:t>https://ir.altisource.com/corporate -governance</w:t>
      </w:r>
      <w:r>
        <w:rPr>
          <w:rFonts w:ascii="Arial" w:cs="Arial" w:eastAsia="Arial" w:hAnsi="Arial"/>
          <w:sz w:val="15"/>
          <w:szCs w:val="15"/>
          <w:color w:val="auto"/>
        </w:rPr>
        <w:t xml:space="preserve">. On an annual basis, our Board reviews and approves the Code of Business Conduct and Ethics and the Code of Ethics for Senior Financial Officers. Our Board last reviewed the Code of Business Conduct and Ethics and the Code of Ethics for Senior Financial Officers in December 2024. Any amendments to the Code of Business Conduct and Ethics or the Code of Ethics for Senior Financial Officers, as well as any waivers that are required to be disclosed under SEC rules or the Nasdaq listing standards, must be approved by our Board or the Audit Committee and will be posted on our website at </w:t>
      </w:r>
      <w:r>
        <w:rPr>
          <w:rFonts w:ascii="Arial" w:cs="Arial" w:eastAsia="Arial" w:hAnsi="Arial"/>
          <w:sz w:val="15"/>
          <w:szCs w:val="15"/>
          <w:u w:val="single" w:color="auto"/>
          <w:color w:val="auto"/>
        </w:rPr>
        <w:t>https://ir.altisource.com/corporate-governance</w:t>
      </w:r>
      <w:r>
        <w:rPr>
          <w:rFonts w:ascii="Arial" w:cs="Arial" w:eastAsia="Arial" w:hAnsi="Arial"/>
          <w:sz w:val="15"/>
          <w:szCs w:val="15"/>
          <w:color w:val="auto"/>
        </w:rPr>
        <w:t xml:space="preserve"> or otherwise disclosed in accordance with such rules.</w:t>
      </w:r>
    </w:p>
    <w:p>
      <w:pPr>
        <w:spacing w:after="0" w:line="338"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Risk Management and Oversight Process</w:t>
      </w:r>
    </w:p>
    <w:p>
      <w:pPr>
        <w:spacing w:after="0" w:line="92" w:lineRule="exact"/>
        <w:rPr>
          <w:sz w:val="20"/>
          <w:szCs w:val="20"/>
          <w:color w:val="auto"/>
        </w:rPr>
      </w:pPr>
    </w:p>
    <w:p>
      <w:pPr>
        <w:ind w:left="1060" w:right="1739"/>
        <w:spacing w:after="0" w:line="288" w:lineRule="auto"/>
        <w:rPr>
          <w:sz w:val="20"/>
          <w:szCs w:val="20"/>
          <w:color w:val="auto"/>
        </w:rPr>
      </w:pPr>
      <w:r>
        <w:rPr>
          <w:rFonts w:ascii="Arial" w:cs="Arial" w:eastAsia="Arial" w:hAnsi="Arial"/>
          <w:sz w:val="15"/>
          <w:szCs w:val="15"/>
          <w:color w:val="auto"/>
        </w:rPr>
        <w:t>Our Board and its Committees play a key role in the oversight of the Company’s risk management.</w:t>
      </w:r>
    </w:p>
    <w:p>
      <w:pPr>
        <w:spacing w:after="0" w:line="72" w:lineRule="exact"/>
        <w:rPr>
          <w:sz w:val="20"/>
          <w:szCs w:val="20"/>
          <w:color w:val="auto"/>
        </w:rPr>
      </w:pPr>
    </w:p>
    <w:p>
      <w:pPr>
        <w:ind w:left="1060" w:right="1119"/>
        <w:spacing w:after="0" w:line="256" w:lineRule="auto"/>
        <w:rPr>
          <w:sz w:val="20"/>
          <w:szCs w:val="20"/>
          <w:color w:val="auto"/>
        </w:rPr>
      </w:pPr>
      <w:r>
        <w:rPr>
          <w:rFonts w:ascii="Arial" w:cs="Arial" w:eastAsia="Arial" w:hAnsi="Arial"/>
          <w:sz w:val="15"/>
          <w:szCs w:val="15"/>
          <w:color w:val="auto"/>
        </w:rPr>
        <w:t>Through regular reviews with management and internal and external auditors, our Board and Audit Committee monitor Altisource’s enterprise risks, including credit risk, liquidity risk, operational risk and legal and regulatory risk. In its periodic meetings with internal and external auditors, the Audit Committee discusses the scope and plan for the internal audit department and, in conjunction with management, considers whether accounting and financial controls are aligned with business risks. In its periodic meetings with the external auditors, the Audit Committee reviews the external audit scope, the external auditors’ responsibilities and independence under the Standards of the Public Company Accounting Oversight Board (“PCAOB”), accounting policies and practices and other required communications.</w:t>
      </w:r>
    </w:p>
    <w:p>
      <w:pPr>
        <w:spacing w:after="0" w:line="267" w:lineRule="exact"/>
        <w:rPr>
          <w:sz w:val="20"/>
          <w:szCs w:val="20"/>
          <w:color w:val="auto"/>
        </w:rPr>
      </w:pPr>
    </w:p>
    <w:p>
      <w:pPr>
        <w:ind w:left="1060" w:right="1279"/>
        <w:spacing w:after="0" w:line="255" w:lineRule="auto"/>
        <w:rPr>
          <w:sz w:val="20"/>
          <w:szCs w:val="20"/>
          <w:color w:val="auto"/>
        </w:rPr>
      </w:pPr>
      <w:r>
        <w:rPr>
          <w:rFonts w:ascii="Arial" w:cs="Arial" w:eastAsia="Arial" w:hAnsi="Arial"/>
          <w:sz w:val="15"/>
          <w:szCs w:val="15"/>
          <w:color w:val="auto"/>
        </w:rPr>
        <w:t>Our Audit Committee periodically performs, and reports to our Board on, an enterprise risk assessment with management to review the principal risks that could adversely affect our business, and to monitor the steps management is taking to map and mitigate these risks. This enterprise risk assessment generally reviews: (i) strategic risks; (ii) financial risks; (iii) sales and marketing risks; (iv) operational risks; (v) legal and compliance risks;</w:t>
      </w:r>
    </w:p>
    <w:p>
      <w:pPr>
        <w:spacing w:after="0" w:line="3" w:lineRule="exact"/>
        <w:rPr>
          <w:sz w:val="20"/>
          <w:szCs w:val="20"/>
          <w:color w:val="auto"/>
        </w:rPr>
      </w:pPr>
    </w:p>
    <w:p>
      <w:pPr>
        <w:ind w:left="1060" w:right="1119" w:firstLine="5"/>
        <w:spacing w:after="0" w:line="268" w:lineRule="auto"/>
        <w:tabs>
          <w:tab w:leader="none" w:pos="1349" w:val="left"/>
        </w:tabs>
        <w:numPr>
          <w:ilvl w:val="0"/>
          <w:numId w:val="27"/>
        </w:numPr>
        <w:rPr>
          <w:rFonts w:ascii="Arial" w:cs="Arial" w:eastAsia="Arial" w:hAnsi="Arial"/>
          <w:sz w:val="15"/>
          <w:szCs w:val="15"/>
          <w:color w:val="auto"/>
        </w:rPr>
      </w:pPr>
      <w:r>
        <w:rPr>
          <w:rFonts w:ascii="Arial" w:cs="Arial" w:eastAsia="Arial" w:hAnsi="Arial"/>
          <w:sz w:val="15"/>
          <w:szCs w:val="15"/>
          <w:color w:val="auto"/>
        </w:rPr>
        <w:t>technology risks including data privacy risks and cybersecurity risks; and (vii) other risks that could adversely affect our business.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5" w:name="page26"/>
    <w:bookmarkEnd w:id="25"/>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6" w:lineRule="exact"/>
        <w:rPr>
          <w:sz w:val="20"/>
          <w:szCs w:val="20"/>
          <w:color w:val="auto"/>
        </w:rPr>
      </w:pPr>
    </w:p>
    <w:p>
      <w:pPr>
        <w:ind w:left="394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BOARD OF DIRECTORS AND CORPORATE GOVERNANCE</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-181610</wp:posOffset>
            </wp:positionV>
            <wp:extent cx="2543175" cy="1219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43175" cy="121920"/>
                    </a:xfrm>
                    <a:prstGeom prst="rect">
                      <a:avLst/>
                    </a:prstGeom>
                    <a:noFill/>
                  </pic:spPr>
                </pic:pic>
              </a:graphicData>
            </a:graphic>
          </wp:anchor>
        </w:drawing>
      </w:r>
    </w:p>
    <w:p>
      <w:pPr>
        <w:spacing w:after="0" w:line="97" w:lineRule="exact"/>
        <w:rPr>
          <w:sz w:val="20"/>
          <w:szCs w:val="20"/>
          <w:color w:val="auto"/>
        </w:rPr>
      </w:pPr>
    </w:p>
    <w:p>
      <w:pPr>
        <w:ind w:left="1060" w:right="1099"/>
        <w:spacing w:after="0" w:line="260" w:lineRule="auto"/>
        <w:rPr>
          <w:sz w:val="20"/>
          <w:szCs w:val="20"/>
          <w:color w:val="auto"/>
        </w:rPr>
      </w:pPr>
      <w:r>
        <w:rPr>
          <w:rFonts w:ascii="Arial" w:cs="Arial" w:eastAsia="Arial" w:hAnsi="Arial"/>
          <w:sz w:val="15"/>
          <w:szCs w:val="15"/>
          <w:color w:val="auto"/>
        </w:rPr>
        <w:t>Our Board and Compliance Committee monitor the overall compliance function, including the compliance management system, and compliance with legal and regulatory requirements and related risks, through regular reviews with management. At least quarterly, our Compliance Committee reviews and discusses with management the Company’s compliance with legal and regulatory requirements and compliance programs.</w:t>
      </w:r>
    </w:p>
    <w:p>
      <w:pPr>
        <w:spacing w:after="0" w:line="84" w:lineRule="exact"/>
        <w:rPr>
          <w:sz w:val="20"/>
          <w:szCs w:val="20"/>
          <w:color w:val="auto"/>
        </w:rPr>
      </w:pPr>
    </w:p>
    <w:p>
      <w:pPr>
        <w:ind w:left="1060" w:right="1339"/>
        <w:spacing w:after="0" w:line="266" w:lineRule="auto"/>
        <w:rPr>
          <w:sz w:val="20"/>
          <w:szCs w:val="20"/>
          <w:color w:val="auto"/>
        </w:rPr>
      </w:pPr>
      <w:r>
        <w:rPr>
          <w:rFonts w:ascii="Arial" w:cs="Arial" w:eastAsia="Arial" w:hAnsi="Arial"/>
          <w:sz w:val="15"/>
          <w:szCs w:val="15"/>
          <w:color w:val="auto"/>
        </w:rPr>
        <w:t>In addition, working closely with management, our Nomination/Governance Committee assists our Board in monitoring the Company’s governance and succession risks, and our Compensation Committee assists our Board in monitoring the Company’s compensation policies and related risks.</w:t>
      </w:r>
    </w:p>
    <w:p>
      <w:pPr>
        <w:spacing w:after="0" w:line="275" w:lineRule="exact"/>
        <w:rPr>
          <w:sz w:val="20"/>
          <w:szCs w:val="20"/>
          <w:color w:val="auto"/>
        </w:rPr>
      </w:pPr>
    </w:p>
    <w:p>
      <w:pPr>
        <w:ind w:left="1060" w:right="1099"/>
        <w:spacing w:after="0" w:line="263" w:lineRule="auto"/>
        <w:rPr>
          <w:sz w:val="20"/>
          <w:szCs w:val="20"/>
          <w:color w:val="auto"/>
        </w:rPr>
      </w:pPr>
      <w:r>
        <w:rPr>
          <w:rFonts w:ascii="Arial" w:cs="Arial" w:eastAsia="Arial" w:hAnsi="Arial"/>
          <w:sz w:val="15"/>
          <w:szCs w:val="15"/>
          <w:color w:val="auto"/>
        </w:rPr>
        <w:t>The role of our Board in risk oversight is consistent with the Company’s leadership structure, with the Chief Executive Officer and other members of management having responsibility for assessing and managing the Company’s risk exposure, and our Board and its Committees providing oversight of the management of these risks.</w:t>
      </w:r>
    </w:p>
    <w:p>
      <w:pPr>
        <w:spacing w:after="0" w:line="14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Share Hedging, Margin Lending, Share Pledging</w:t>
      </w:r>
    </w:p>
    <w:p>
      <w:pPr>
        <w:spacing w:after="0" w:line="92" w:lineRule="exact"/>
        <w:rPr>
          <w:sz w:val="20"/>
          <w:szCs w:val="20"/>
          <w:color w:val="auto"/>
        </w:rPr>
      </w:pPr>
    </w:p>
    <w:p>
      <w:pPr>
        <w:ind w:left="1060" w:right="1199"/>
        <w:spacing w:after="0" w:line="258" w:lineRule="auto"/>
        <w:rPr>
          <w:sz w:val="20"/>
          <w:szCs w:val="20"/>
          <w:color w:val="auto"/>
        </w:rPr>
      </w:pPr>
      <w:r>
        <w:rPr>
          <w:rFonts w:ascii="Arial" w:cs="Arial" w:eastAsia="Arial" w:hAnsi="Arial"/>
          <w:sz w:val="15"/>
          <w:szCs w:val="15"/>
          <w:color w:val="auto"/>
        </w:rPr>
        <w:t>Our Corporate Governance Guidelines prohibit our executive officers from pledging or otherwise encumbering shares of the Company’s common stock as collateral for indebtedness and from entering into any transaction that is designed to hedge or offset any decrease in the market value of the Company’s common stock. We also maintain a Management Directive (Management Directive No. 5: Prevention of Insider Trading and Other Prohibitions) detailing our trading window period policy and our insider trading policy, which contains similar prohibitions.</w:t>
      </w:r>
    </w:p>
    <w:p>
      <w:pPr>
        <w:spacing w:after="0" w:line="331"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Corporate Responsibility, Sustainability and Human Rights</w:t>
      </w:r>
    </w:p>
    <w:p>
      <w:pPr>
        <w:spacing w:after="0" w:line="103" w:lineRule="exact"/>
        <w:rPr>
          <w:sz w:val="20"/>
          <w:szCs w:val="20"/>
          <w:color w:val="auto"/>
        </w:rPr>
      </w:pPr>
    </w:p>
    <w:p>
      <w:pPr>
        <w:ind w:left="1060" w:right="1099"/>
        <w:spacing w:after="0" w:line="259" w:lineRule="auto"/>
        <w:rPr>
          <w:sz w:val="20"/>
          <w:szCs w:val="20"/>
          <w:color w:val="auto"/>
        </w:rPr>
      </w:pPr>
      <w:r>
        <w:rPr>
          <w:rFonts w:ascii="Arial" w:cs="Arial" w:eastAsia="Arial" w:hAnsi="Arial"/>
          <w:sz w:val="15"/>
          <w:szCs w:val="15"/>
          <w:color w:val="auto"/>
        </w:rPr>
        <w:t>Altisource’s Corporate Responsibility Management Committee oversees the policies, procedures and strategies regarding corporate responsibility, sustainability and environment. The Committee typically meets quarterly and includes our Chief Legal and Compliance Officer, Chief Financial Officer and other key operational executives. Our Board oversees the Corporate Responsibility Management Committee and receives regular updates on the effectiveness of our corporate responsibility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6" w:name="page27"/>
    <w:bookmarkEnd w:id="26"/>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Board of 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27305</wp:posOffset>
            </wp:positionV>
            <wp:extent cx="436753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367530" cy="6985"/>
                    </a:xfrm>
                    <a:prstGeom prst="rect">
                      <a:avLst/>
                    </a:prstGeom>
                    <a:noFill/>
                  </pic:spPr>
                </pic:pic>
              </a:graphicData>
            </a:graphic>
          </wp:anchor>
        </w:drawing>
      </w:r>
    </w:p>
    <w:p>
      <w:pPr>
        <w:spacing w:after="0" w:line="151"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Compensation Arrangements for Non-Management Directors</w:t>
      </w:r>
    </w:p>
    <w:p>
      <w:pPr>
        <w:spacing w:after="0" w:line="103" w:lineRule="exact"/>
        <w:rPr>
          <w:sz w:val="20"/>
          <w:szCs w:val="20"/>
          <w:color w:val="auto"/>
        </w:rPr>
      </w:pPr>
    </w:p>
    <w:p>
      <w:pPr>
        <w:ind w:left="1060" w:right="1159"/>
        <w:spacing w:after="0" w:line="249" w:lineRule="auto"/>
        <w:rPr>
          <w:sz w:val="20"/>
          <w:szCs w:val="20"/>
          <w:color w:val="auto"/>
        </w:rPr>
      </w:pPr>
      <w:r>
        <w:rPr>
          <w:rFonts w:ascii="Arial" w:cs="Arial" w:eastAsia="Arial" w:hAnsi="Arial"/>
          <w:sz w:val="15"/>
          <w:szCs w:val="15"/>
          <w:color w:val="auto"/>
        </w:rPr>
        <w:t>Altisource’s Director compensation program is designed to attract and retain highly qualified non-management Directors. Our Compensation Committee believes that compensation for non-management Directors should consist of both equity and cash to compensate members for their service on our Board and its committees and to align their interests with our shareholders.</w:t>
      </w:r>
    </w:p>
    <w:p>
      <w:pPr>
        <w:spacing w:after="0" w:line="268" w:lineRule="exact"/>
        <w:rPr>
          <w:sz w:val="20"/>
          <w:szCs w:val="20"/>
          <w:color w:val="auto"/>
        </w:rPr>
      </w:pPr>
    </w:p>
    <w:p>
      <w:pPr>
        <w:ind w:left="1060" w:right="1099"/>
        <w:spacing w:after="0" w:line="245" w:lineRule="auto"/>
        <w:rPr>
          <w:sz w:val="20"/>
          <w:szCs w:val="20"/>
          <w:color w:val="auto"/>
        </w:rPr>
      </w:pPr>
      <w:r>
        <w:rPr>
          <w:rFonts w:ascii="Arial" w:cs="Arial" w:eastAsia="Arial" w:hAnsi="Arial"/>
          <w:sz w:val="15"/>
          <w:szCs w:val="15"/>
          <w:color w:val="auto"/>
        </w:rPr>
        <w:t>In line with our philosophy that the interests of our Directors should align with the interests of our shareholders, and to encourage active membership, each non-management Director will receive an RSU award (each, a “Director RSU Award” and collectively, the “Director RSU Awards”) which will vest at the end of the applicable service year if the Director attends at least 75% of all meetings of our Board and Committees on which that Director serves. We determine the number of RSUs to be granted by dividing the award value by the average of the high and low prices of our common stock as reported on the Nasdaq Global Select Market on the first day of the service year.</w:t>
      </w:r>
    </w:p>
    <w:p>
      <w:pPr>
        <w:spacing w:after="0" w:line="272" w:lineRule="exact"/>
        <w:rPr>
          <w:sz w:val="20"/>
          <w:szCs w:val="20"/>
          <w:color w:val="auto"/>
        </w:rPr>
      </w:pPr>
    </w:p>
    <w:p>
      <w:pPr>
        <w:ind w:left="1060" w:right="1179"/>
        <w:spacing w:after="0" w:line="250" w:lineRule="auto"/>
        <w:rPr>
          <w:sz w:val="20"/>
          <w:szCs w:val="20"/>
          <w:color w:val="auto"/>
        </w:rPr>
      </w:pPr>
      <w:r>
        <w:rPr>
          <w:rFonts w:ascii="Arial" w:cs="Arial" w:eastAsia="Arial" w:hAnsi="Arial"/>
          <w:sz w:val="15"/>
          <w:szCs w:val="15"/>
          <w:color w:val="auto"/>
        </w:rPr>
        <w:t>For the 2023 to 2024 service year, each non- management Director who attended at least seventy-five percent (75%) of all meetings of our Board and Committees on which they served received 28,037 shares of common stock, calculated by dividing an award value of $120,000 by the average of the high and low prices of the common stock as reported on the Nasdaq Global Select Market on May 17, 2023 (the first day of the 2023 to 2024 service year).</w:t>
      </w:r>
    </w:p>
    <w:p>
      <w:pPr>
        <w:spacing w:after="0" w:line="267" w:lineRule="exact"/>
        <w:rPr>
          <w:sz w:val="20"/>
          <w:szCs w:val="20"/>
          <w:color w:val="auto"/>
        </w:rPr>
      </w:pPr>
    </w:p>
    <w:p>
      <w:pPr>
        <w:ind w:left="1060" w:right="1139"/>
        <w:spacing w:after="0" w:line="247" w:lineRule="auto"/>
        <w:rPr>
          <w:sz w:val="20"/>
          <w:szCs w:val="20"/>
          <w:color w:val="auto"/>
        </w:rPr>
      </w:pPr>
      <w:r>
        <w:rPr>
          <w:rFonts w:ascii="Arial" w:cs="Arial" w:eastAsia="Arial" w:hAnsi="Arial"/>
          <w:sz w:val="15"/>
          <w:szCs w:val="15"/>
          <w:color w:val="auto"/>
        </w:rPr>
        <w:t>For the 2024 to 2025 service year, each non-management Director who, as of the end of the service year, has attended at least seventy -five percent (75%) of all meetings of our Board and Committees on which they served, will be entitled to receive 65,574 shares of common stock (as a result of the Director RSU Award vesting) as of the end of the service year, calculated by dividing an award value of $120,000 by the average of the high and low prices of the common stock as reported on the Nasdaq Global Select Market on May 31, 2024 (the first day of the 2024 to 2025 service year), which was $1.83.</w:t>
      </w:r>
    </w:p>
    <w:p>
      <w:pPr>
        <w:spacing w:after="0" w:line="92" w:lineRule="exact"/>
        <w:rPr>
          <w:sz w:val="20"/>
          <w:szCs w:val="20"/>
          <w:color w:val="auto"/>
        </w:rPr>
      </w:pPr>
    </w:p>
    <w:p>
      <w:pPr>
        <w:ind w:left="1060" w:right="1299"/>
        <w:spacing w:after="0" w:line="247" w:lineRule="auto"/>
        <w:rPr>
          <w:sz w:val="20"/>
          <w:szCs w:val="20"/>
          <w:color w:val="auto"/>
        </w:rPr>
      </w:pPr>
      <w:r>
        <w:rPr>
          <w:rFonts w:ascii="Arial" w:cs="Arial" w:eastAsia="Arial" w:hAnsi="Arial"/>
          <w:sz w:val="15"/>
          <w:szCs w:val="15"/>
          <w:color w:val="auto"/>
        </w:rPr>
        <w:t>In addition, in line with our philosophy that the interests of our Directors should be aligned with those of our shareholders, new non-management Directors are granted a one-time award of 500 restricted shares of common stock, which are scheduled to vest in four</w:t>
      </w:r>
    </w:p>
    <w:p>
      <w:pPr>
        <w:spacing w:after="0" w:line="2" w:lineRule="exact"/>
        <w:rPr>
          <w:sz w:val="20"/>
          <w:szCs w:val="20"/>
          <w:color w:val="auto"/>
        </w:rPr>
      </w:pPr>
    </w:p>
    <w:p>
      <w:pPr>
        <w:ind w:left="1060" w:right="1139" w:firstLine="5"/>
        <w:spacing w:after="0" w:line="256" w:lineRule="auto"/>
        <w:tabs>
          <w:tab w:leader="none" w:pos="1316" w:val="left"/>
        </w:tabs>
        <w:numPr>
          <w:ilvl w:val="0"/>
          <w:numId w:val="28"/>
        </w:numPr>
        <w:rPr>
          <w:rFonts w:ascii="Arial" w:cs="Arial" w:eastAsia="Arial" w:hAnsi="Arial"/>
          <w:sz w:val="15"/>
          <w:szCs w:val="15"/>
          <w:color w:val="auto"/>
        </w:rPr>
      </w:pPr>
      <w:r>
        <w:rPr>
          <w:rFonts w:ascii="Arial" w:cs="Arial" w:eastAsia="Arial" w:hAnsi="Arial"/>
          <w:sz w:val="15"/>
          <w:szCs w:val="15"/>
          <w:color w:val="auto"/>
        </w:rPr>
        <w:t>equal installments, with the initial portion vesting on the date of the annual general meeting following the award and vesting continuing on the dates of the next three (3) annual general meetings.</w:t>
      </w:r>
    </w:p>
    <w:p>
      <w:pPr>
        <w:spacing w:after="0" w:line="263" w:lineRule="exact"/>
        <w:rPr>
          <w:sz w:val="20"/>
          <w:szCs w:val="20"/>
          <w:color w:val="auto"/>
        </w:rPr>
      </w:pPr>
    </w:p>
    <w:p>
      <w:pPr>
        <w:ind w:left="1060" w:right="1119"/>
        <w:spacing w:after="0" w:line="254" w:lineRule="auto"/>
        <w:rPr>
          <w:sz w:val="20"/>
          <w:szCs w:val="20"/>
          <w:color w:val="auto"/>
        </w:rPr>
      </w:pPr>
      <w:r>
        <w:rPr>
          <w:rFonts w:ascii="Arial" w:cs="Arial" w:eastAsia="Arial" w:hAnsi="Arial"/>
          <w:sz w:val="15"/>
          <w:szCs w:val="15"/>
          <w:color w:val="auto"/>
        </w:rPr>
        <w:t>As approved by our shareholders at our 2016 Annual General Meeting of shareholders, each non-management member of our Board also receives the following annual cash compensation, in quarterly installments:</w:t>
      </w:r>
    </w:p>
    <w:p>
      <w:pPr>
        <w:spacing w:after="0" w:line="52" w:lineRule="exact"/>
        <w:rPr>
          <w:sz w:val="20"/>
          <w:szCs w:val="20"/>
          <w:color w:val="auto"/>
        </w:rPr>
      </w:pPr>
    </w:p>
    <w:p>
      <w:pPr>
        <w:ind w:left="1520" w:hanging="153"/>
        <w:spacing w:after="0"/>
        <w:tabs>
          <w:tab w:leader="none" w:pos="1520" w:val="left"/>
        </w:tabs>
        <w:numPr>
          <w:ilvl w:val="1"/>
          <w:numId w:val="29"/>
        </w:numPr>
        <w:rPr>
          <w:rFonts w:ascii="Arial" w:cs="Arial" w:eastAsia="Arial" w:hAnsi="Arial"/>
          <w:sz w:val="15"/>
          <w:szCs w:val="15"/>
          <w:color w:val="auto"/>
        </w:rPr>
      </w:pPr>
      <w:r>
        <w:rPr>
          <w:rFonts w:ascii="Arial" w:cs="Arial" w:eastAsia="Arial" w:hAnsi="Arial"/>
          <w:sz w:val="15"/>
          <w:szCs w:val="15"/>
          <w:color w:val="auto"/>
        </w:rPr>
        <w:t>a retainer of $54,000;</w:t>
      </w:r>
    </w:p>
    <w:p>
      <w:pPr>
        <w:spacing w:after="0" w:line="87" w:lineRule="exact"/>
        <w:rPr>
          <w:rFonts w:ascii="Arial" w:cs="Arial" w:eastAsia="Arial" w:hAnsi="Arial"/>
          <w:sz w:val="15"/>
          <w:szCs w:val="15"/>
          <w:color w:val="auto"/>
        </w:rPr>
      </w:pPr>
    </w:p>
    <w:p>
      <w:pPr>
        <w:ind w:left="1520" w:right="1879" w:hanging="153"/>
        <w:spacing w:after="0" w:line="262" w:lineRule="auto"/>
        <w:tabs>
          <w:tab w:leader="none" w:pos="1520" w:val="left"/>
        </w:tabs>
        <w:numPr>
          <w:ilvl w:val="1"/>
          <w:numId w:val="29"/>
        </w:numPr>
        <w:rPr>
          <w:rFonts w:ascii="Arial" w:cs="Arial" w:eastAsia="Arial" w:hAnsi="Arial"/>
          <w:sz w:val="15"/>
          <w:szCs w:val="15"/>
          <w:color w:val="auto"/>
        </w:rPr>
      </w:pPr>
      <w:r>
        <w:rPr>
          <w:rFonts w:ascii="Arial" w:cs="Arial" w:eastAsia="Arial" w:hAnsi="Arial"/>
          <w:sz w:val="15"/>
          <w:szCs w:val="15"/>
          <w:color w:val="auto"/>
        </w:rPr>
        <w:t>an additional $100,000 to the Chairman of our Board, if not a member of the Company’s management</w:t>
      </w:r>
      <w:r>
        <w:rPr>
          <w:rFonts w:ascii="Arial" w:cs="Arial" w:eastAsia="Arial" w:hAnsi="Arial"/>
          <w:sz w:val="22"/>
          <w:szCs w:val="22"/>
          <w:color w:val="auto"/>
          <w:vertAlign w:val="superscript"/>
        </w:rPr>
        <w:t>(1)</w:t>
      </w:r>
      <w:r>
        <w:rPr>
          <w:rFonts w:ascii="Arial" w:cs="Arial" w:eastAsia="Arial" w:hAnsi="Arial"/>
          <w:sz w:val="15"/>
          <w:szCs w:val="15"/>
          <w:color w:val="auto"/>
        </w:rPr>
        <w:t>;</w:t>
      </w:r>
    </w:p>
    <w:p>
      <w:pPr>
        <w:ind w:left="1520" w:hanging="153"/>
        <w:spacing w:after="0"/>
        <w:tabs>
          <w:tab w:leader="none" w:pos="1520" w:val="left"/>
        </w:tabs>
        <w:numPr>
          <w:ilvl w:val="1"/>
          <w:numId w:val="29"/>
        </w:numPr>
        <w:rPr>
          <w:rFonts w:ascii="Arial" w:cs="Arial" w:eastAsia="Arial" w:hAnsi="Arial"/>
          <w:sz w:val="15"/>
          <w:szCs w:val="15"/>
          <w:color w:val="auto"/>
        </w:rPr>
      </w:pPr>
      <w:r>
        <w:rPr>
          <w:rFonts w:ascii="Arial" w:cs="Arial" w:eastAsia="Arial" w:hAnsi="Arial"/>
          <w:sz w:val="15"/>
          <w:szCs w:val="15"/>
          <w:color w:val="auto"/>
        </w:rPr>
        <w:t>an additional $25,000 to the Audit Committee Chair;</w:t>
      </w:r>
    </w:p>
    <w:p>
      <w:pPr>
        <w:spacing w:after="0" w:line="87" w:lineRule="exact"/>
        <w:rPr>
          <w:rFonts w:ascii="Arial" w:cs="Arial" w:eastAsia="Arial" w:hAnsi="Arial"/>
          <w:sz w:val="15"/>
          <w:szCs w:val="15"/>
          <w:color w:val="auto"/>
        </w:rPr>
      </w:pPr>
    </w:p>
    <w:p>
      <w:pPr>
        <w:ind w:left="1520" w:hanging="153"/>
        <w:spacing w:after="0"/>
        <w:tabs>
          <w:tab w:leader="none" w:pos="1520" w:val="left"/>
        </w:tabs>
        <w:numPr>
          <w:ilvl w:val="1"/>
          <w:numId w:val="29"/>
        </w:numPr>
        <w:rPr>
          <w:rFonts w:ascii="Arial" w:cs="Arial" w:eastAsia="Arial" w:hAnsi="Arial"/>
          <w:sz w:val="15"/>
          <w:szCs w:val="15"/>
          <w:color w:val="auto"/>
        </w:rPr>
      </w:pPr>
      <w:r>
        <w:rPr>
          <w:rFonts w:ascii="Arial" w:cs="Arial" w:eastAsia="Arial" w:hAnsi="Arial"/>
          <w:sz w:val="15"/>
          <w:szCs w:val="15"/>
          <w:color w:val="auto"/>
        </w:rPr>
        <w:t>an additional $17,500 to the Compliance Committee Chair;</w:t>
      </w:r>
    </w:p>
    <w:p>
      <w:pPr>
        <w:spacing w:after="0" w:line="87" w:lineRule="exact"/>
        <w:rPr>
          <w:rFonts w:ascii="Arial" w:cs="Arial" w:eastAsia="Arial" w:hAnsi="Arial"/>
          <w:sz w:val="15"/>
          <w:szCs w:val="15"/>
          <w:color w:val="auto"/>
        </w:rPr>
      </w:pPr>
    </w:p>
    <w:p>
      <w:pPr>
        <w:ind w:left="1520" w:hanging="153"/>
        <w:spacing w:after="0"/>
        <w:tabs>
          <w:tab w:leader="none" w:pos="1520" w:val="left"/>
        </w:tabs>
        <w:numPr>
          <w:ilvl w:val="1"/>
          <w:numId w:val="29"/>
        </w:numPr>
        <w:rPr>
          <w:rFonts w:ascii="Arial" w:cs="Arial" w:eastAsia="Arial" w:hAnsi="Arial"/>
          <w:sz w:val="15"/>
          <w:szCs w:val="15"/>
          <w:color w:val="auto"/>
        </w:rPr>
      </w:pPr>
      <w:r>
        <w:rPr>
          <w:rFonts w:ascii="Arial" w:cs="Arial" w:eastAsia="Arial" w:hAnsi="Arial"/>
          <w:sz w:val="15"/>
          <w:szCs w:val="15"/>
          <w:color w:val="auto"/>
        </w:rPr>
        <w:t>an additional $15,000 to the Compensation Committee Chair;</w:t>
      </w:r>
    </w:p>
    <w:p>
      <w:pPr>
        <w:spacing w:after="0" w:line="99" w:lineRule="exact"/>
        <w:rPr>
          <w:rFonts w:ascii="Arial" w:cs="Arial" w:eastAsia="Arial" w:hAnsi="Arial"/>
          <w:sz w:val="15"/>
          <w:szCs w:val="15"/>
          <w:color w:val="auto"/>
        </w:rPr>
      </w:pPr>
    </w:p>
    <w:p>
      <w:pPr>
        <w:ind w:left="1520" w:hanging="153"/>
        <w:spacing w:after="0"/>
        <w:tabs>
          <w:tab w:leader="none" w:pos="1520" w:val="left"/>
        </w:tabs>
        <w:numPr>
          <w:ilvl w:val="1"/>
          <w:numId w:val="29"/>
        </w:numPr>
        <w:rPr>
          <w:rFonts w:ascii="Arial" w:cs="Arial" w:eastAsia="Arial" w:hAnsi="Arial"/>
          <w:sz w:val="15"/>
          <w:szCs w:val="15"/>
          <w:color w:val="auto"/>
        </w:rPr>
      </w:pPr>
      <w:r>
        <w:rPr>
          <w:rFonts w:ascii="Arial" w:cs="Arial" w:eastAsia="Arial" w:hAnsi="Arial"/>
          <w:sz w:val="15"/>
          <w:szCs w:val="15"/>
          <w:color w:val="auto"/>
        </w:rPr>
        <w:t>an additional $12,500 to the Nomination/Governance Committee Chair;</w:t>
      </w:r>
    </w:p>
    <w:p>
      <w:pPr>
        <w:spacing w:after="0" w:line="87" w:lineRule="exact"/>
        <w:rPr>
          <w:rFonts w:ascii="Arial" w:cs="Arial" w:eastAsia="Arial" w:hAnsi="Arial"/>
          <w:sz w:val="15"/>
          <w:szCs w:val="15"/>
          <w:color w:val="auto"/>
        </w:rPr>
      </w:pPr>
    </w:p>
    <w:p>
      <w:pPr>
        <w:ind w:left="1520" w:right="1919" w:hanging="153"/>
        <w:spacing w:after="0" w:line="287" w:lineRule="auto"/>
        <w:tabs>
          <w:tab w:leader="none" w:pos="1520" w:val="left"/>
        </w:tabs>
        <w:numPr>
          <w:ilvl w:val="1"/>
          <w:numId w:val="29"/>
        </w:numPr>
        <w:rPr>
          <w:rFonts w:ascii="Arial" w:cs="Arial" w:eastAsia="Arial" w:hAnsi="Arial"/>
          <w:sz w:val="15"/>
          <w:szCs w:val="15"/>
          <w:color w:val="auto"/>
        </w:rPr>
      </w:pPr>
      <w:r>
        <w:rPr>
          <w:rFonts w:ascii="Arial" w:cs="Arial" w:eastAsia="Arial" w:hAnsi="Arial"/>
          <w:sz w:val="15"/>
          <w:szCs w:val="15"/>
          <w:color w:val="auto"/>
        </w:rPr>
        <w:t>an additional $10,000 to all Audit Committee members (other than the Audit Committee Chair);</w:t>
      </w:r>
    </w:p>
    <w:p>
      <w:pPr>
        <w:spacing w:after="0" w:line="28" w:lineRule="exact"/>
        <w:rPr>
          <w:rFonts w:ascii="Arial" w:cs="Arial" w:eastAsia="Arial" w:hAnsi="Arial"/>
          <w:sz w:val="15"/>
          <w:szCs w:val="15"/>
          <w:color w:val="auto"/>
        </w:rPr>
      </w:pPr>
    </w:p>
    <w:p>
      <w:pPr>
        <w:ind w:left="1520" w:right="1499" w:hanging="153"/>
        <w:spacing w:after="0" w:line="262" w:lineRule="auto"/>
        <w:tabs>
          <w:tab w:leader="none" w:pos="1520" w:val="left"/>
        </w:tabs>
        <w:numPr>
          <w:ilvl w:val="1"/>
          <w:numId w:val="29"/>
        </w:numPr>
        <w:rPr>
          <w:rFonts w:ascii="Arial" w:cs="Arial" w:eastAsia="Arial" w:hAnsi="Arial"/>
          <w:sz w:val="15"/>
          <w:szCs w:val="15"/>
          <w:color w:val="auto"/>
        </w:rPr>
      </w:pPr>
      <w:r>
        <w:rPr>
          <w:rFonts w:ascii="Arial" w:cs="Arial" w:eastAsia="Arial" w:hAnsi="Arial"/>
          <w:sz w:val="15"/>
          <w:szCs w:val="15"/>
          <w:color w:val="auto"/>
        </w:rPr>
        <w:t>an additional $10,000 to all Compliance Committee members (other than the Compliance Committee Chair), if not a member of the Company’s management</w:t>
      </w:r>
      <w:r>
        <w:rPr>
          <w:rFonts w:ascii="Arial" w:cs="Arial" w:eastAsia="Arial" w:hAnsi="Arial"/>
          <w:sz w:val="22"/>
          <w:szCs w:val="22"/>
          <w:color w:val="auto"/>
          <w:vertAlign w:val="superscript"/>
        </w:rPr>
        <w:t>(1)</w:t>
      </w:r>
      <w:r>
        <w:rPr>
          <w:rFonts w:ascii="Arial" w:cs="Arial" w:eastAsia="Arial" w:hAnsi="Arial"/>
          <w:sz w:val="15"/>
          <w:szCs w:val="15"/>
          <w:color w:val="auto"/>
        </w:rPr>
        <w:t>;</w:t>
      </w:r>
    </w:p>
    <w:p>
      <w:pPr>
        <w:ind w:left="1520" w:right="1759" w:hanging="153"/>
        <w:spacing w:after="0" w:line="287" w:lineRule="auto"/>
        <w:tabs>
          <w:tab w:leader="none" w:pos="1520" w:val="left"/>
        </w:tabs>
        <w:numPr>
          <w:ilvl w:val="1"/>
          <w:numId w:val="29"/>
        </w:numPr>
        <w:rPr>
          <w:rFonts w:ascii="Arial" w:cs="Arial" w:eastAsia="Arial" w:hAnsi="Arial"/>
          <w:sz w:val="15"/>
          <w:szCs w:val="15"/>
          <w:color w:val="auto"/>
        </w:rPr>
      </w:pPr>
      <w:r>
        <w:rPr>
          <w:rFonts w:ascii="Arial" w:cs="Arial" w:eastAsia="Arial" w:hAnsi="Arial"/>
          <w:sz w:val="15"/>
          <w:szCs w:val="15"/>
          <w:color w:val="auto"/>
        </w:rPr>
        <w:t>an additional $7,500 to all Compensation Committee members (other than the Compensation Committee Chair); and</w:t>
      </w:r>
    </w:p>
    <w:p>
      <w:pPr>
        <w:spacing w:after="0" w:line="27" w:lineRule="exact"/>
        <w:rPr>
          <w:rFonts w:ascii="Arial" w:cs="Arial" w:eastAsia="Arial" w:hAnsi="Arial"/>
          <w:sz w:val="15"/>
          <w:szCs w:val="15"/>
          <w:color w:val="auto"/>
        </w:rPr>
      </w:pPr>
    </w:p>
    <w:p>
      <w:pPr>
        <w:ind w:left="1520" w:right="1319" w:hanging="153"/>
        <w:spacing w:after="0" w:line="287" w:lineRule="auto"/>
        <w:tabs>
          <w:tab w:leader="none" w:pos="1520" w:val="left"/>
        </w:tabs>
        <w:numPr>
          <w:ilvl w:val="1"/>
          <w:numId w:val="29"/>
        </w:numPr>
        <w:rPr>
          <w:rFonts w:ascii="Arial" w:cs="Arial" w:eastAsia="Arial" w:hAnsi="Arial"/>
          <w:sz w:val="15"/>
          <w:szCs w:val="15"/>
          <w:color w:val="auto"/>
        </w:rPr>
      </w:pPr>
      <w:r>
        <w:rPr>
          <w:rFonts w:ascii="Arial" w:cs="Arial" w:eastAsia="Arial" w:hAnsi="Arial"/>
          <w:sz w:val="15"/>
          <w:szCs w:val="15"/>
          <w:color w:val="auto"/>
        </w:rPr>
        <w:t>an additional $5,000 to all Nomination/Governance Committee members (other than the Nomination/ Governance Committee Chair).</w:t>
      </w:r>
    </w:p>
    <w:p>
      <w:pPr>
        <w:spacing w:after="0" w:line="168" w:lineRule="exact"/>
        <w:rPr>
          <w:rFonts w:ascii="Arial" w:cs="Arial" w:eastAsia="Arial" w:hAnsi="Arial"/>
          <w:sz w:val="15"/>
          <w:szCs w:val="15"/>
          <w:color w:val="auto"/>
        </w:rPr>
      </w:pPr>
    </w:p>
    <w:p>
      <w:pPr>
        <w:ind w:left="1360" w:right="1099" w:hanging="295"/>
        <w:spacing w:after="0" w:line="199" w:lineRule="auto"/>
        <w:tabs>
          <w:tab w:leader="none" w:pos="1360" w:val="left"/>
        </w:tabs>
        <w:numPr>
          <w:ilvl w:val="0"/>
          <w:numId w:val="29"/>
        </w:numPr>
        <w:rPr>
          <w:rFonts w:ascii="Arial" w:cs="Arial" w:eastAsia="Arial" w:hAnsi="Arial"/>
          <w:sz w:val="21"/>
          <w:szCs w:val="21"/>
          <w:color w:val="auto"/>
          <w:vertAlign w:val="superscript"/>
        </w:rPr>
      </w:pPr>
      <w:r>
        <w:rPr>
          <w:rFonts w:ascii="Arial" w:cs="Arial" w:eastAsia="Arial" w:hAnsi="Arial"/>
          <w:sz w:val="14"/>
          <w:szCs w:val="14"/>
          <w:color w:val="auto"/>
        </w:rPr>
        <w:t>As a management Director, our current Chairman of our Board does not receive an annual retainer or any other additional compensation for his service on our Board or any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-283845</wp:posOffset>
            </wp:positionV>
            <wp:extent cx="103441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34415" cy="6985"/>
                    </a:xfrm>
                    <a:prstGeom prst="rect">
                      <a:avLst/>
                    </a:prstGeom>
                    <a:noFill/>
                  </pic:spPr>
                </pic:pic>
              </a:graphicData>
            </a:graphic>
          </wp:anchor>
        </w:drawing>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7" w:name="page28"/>
    <w:bookmarkEnd w:id="27"/>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6" w:lineRule="exact"/>
        <w:rPr>
          <w:sz w:val="20"/>
          <w:szCs w:val="20"/>
          <w:color w:val="auto"/>
        </w:rPr>
      </w:pPr>
    </w:p>
    <w:p>
      <w:pPr>
        <w:ind w:left="500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BOARD OF DIRECTORS’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-181610</wp:posOffset>
            </wp:positionV>
            <wp:extent cx="1874520" cy="1219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74520" cy="121920"/>
                    </a:xfrm>
                    <a:prstGeom prst="rect">
                      <a:avLst/>
                    </a:prstGeom>
                    <a:noFill/>
                  </pic:spPr>
                </pic:pic>
              </a:graphicData>
            </a:graphic>
          </wp:anchor>
        </w:drawing>
      </w:r>
    </w:p>
    <w:p>
      <w:pPr>
        <w:spacing w:after="0" w:line="97" w:lineRule="exact"/>
        <w:rPr>
          <w:sz w:val="20"/>
          <w:szCs w:val="20"/>
          <w:color w:val="auto"/>
        </w:rPr>
      </w:pPr>
    </w:p>
    <w:p>
      <w:pPr>
        <w:ind w:left="1060" w:right="1099"/>
        <w:spacing w:after="0" w:line="254" w:lineRule="auto"/>
        <w:rPr>
          <w:sz w:val="20"/>
          <w:szCs w:val="20"/>
          <w:color w:val="auto"/>
        </w:rPr>
      </w:pPr>
      <w:r>
        <w:rPr>
          <w:rFonts w:ascii="Arial" w:cs="Arial" w:eastAsia="Arial" w:hAnsi="Arial"/>
          <w:sz w:val="15"/>
          <w:szCs w:val="15"/>
          <w:color w:val="auto"/>
        </w:rPr>
        <w:t>The Company also pays or reimburses Directors for reasonable travel, lodging, food, and other expenses incurred while attending Board, Committee or shareholder meetings, or other corporate functions.</w:t>
      </w:r>
    </w:p>
    <w:p>
      <w:pPr>
        <w:spacing w:after="0" w:line="86" w:lineRule="exact"/>
        <w:rPr>
          <w:sz w:val="20"/>
          <w:szCs w:val="20"/>
          <w:color w:val="auto"/>
        </w:rPr>
      </w:pPr>
    </w:p>
    <w:p>
      <w:pPr>
        <w:ind w:left="1060" w:right="1239"/>
        <w:spacing w:after="0" w:line="253" w:lineRule="auto"/>
        <w:rPr>
          <w:sz w:val="20"/>
          <w:szCs w:val="20"/>
          <w:color w:val="auto"/>
        </w:rPr>
      </w:pPr>
      <w:r>
        <w:rPr>
          <w:rFonts w:ascii="Arial" w:cs="Arial" w:eastAsia="Arial" w:hAnsi="Arial"/>
          <w:sz w:val="15"/>
          <w:szCs w:val="15"/>
          <w:color w:val="auto"/>
        </w:rPr>
        <w:t>Certain Directors are required to file Luxembourg tax returns in connection with their compensation as Altisource Directors. To comply with this requirement, as approved by our shareholders at the 2018 Annual General Meeting, the Company covers the cost of tax preparation services for any Luxembourg tax returns that non-resident Directors must file due to their membership on our Board.</w:t>
      </w:r>
    </w:p>
    <w:p>
      <w:pPr>
        <w:spacing w:after="0" w:line="320"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Non-Management Director Compensation for 2024</w:t>
      </w:r>
    </w:p>
    <w:p>
      <w:pPr>
        <w:spacing w:after="0" w:line="92" w:lineRule="exact"/>
        <w:rPr>
          <w:sz w:val="20"/>
          <w:szCs w:val="20"/>
          <w:color w:val="auto"/>
        </w:rPr>
      </w:pPr>
    </w:p>
    <w:p>
      <w:pPr>
        <w:ind w:left="1060" w:right="1139"/>
        <w:spacing w:after="0" w:line="249" w:lineRule="auto"/>
        <w:rPr>
          <w:sz w:val="20"/>
          <w:szCs w:val="20"/>
          <w:color w:val="auto"/>
        </w:rPr>
      </w:pPr>
      <w:r>
        <w:rPr>
          <w:rFonts w:ascii="Arial" w:cs="Arial" w:eastAsia="Arial" w:hAnsi="Arial"/>
          <w:sz w:val="15"/>
          <w:szCs w:val="15"/>
          <w:color w:val="auto"/>
        </w:rPr>
        <w:t>The following table summarizes: (i) cash compensation earned in 2024 by each non-management member of our Board who served as a Director during 2024; (ii) stock awards made to our non-management Directors in 2024 for their service in the 2023 to 2024 service year; and (iii) any other compensation received from the Company in 2024. Mr. Shepro, as a member of the Company’s management, does not receive an annual retainer or any other additional compensation for his service on our Board.</w:t>
      </w:r>
    </w:p>
    <w:p>
      <w:pPr>
        <w:spacing w:after="0" w:line="57" w:lineRule="exact"/>
        <w:rPr>
          <w:sz w:val="20"/>
          <w:szCs w:val="20"/>
          <w:color w:val="auto"/>
        </w:rPr>
      </w:pPr>
    </w:p>
    <w:tbl>
      <w:tblPr>
        <w:tblLayout w:type="fixed"/>
        <w:tblInd w:w="1060" w:type="dxa"/>
        <w:tblCellMar>
          <w:top w:w="0" w:type="dxa"/>
          <w:left w:w="0" w:type="dxa"/>
          <w:bottom w:w="0" w:type="dxa"/>
          <w:right w:w="0" w:type="dxa"/>
        </w:tblCellMar>
      </w:tblPr>
      <w:tr>
        <w:trPr>
          <w:trHeight w:val="218"/>
        </w:trPr>
        <w:tc>
          <w:tcPr>
            <w:tcW w:w="2740" w:type="dxa"/>
            <w:vAlign w:val="bottom"/>
            <w:vMerge w:val="restart"/>
          </w:tcPr>
          <w:p>
            <w:pPr>
              <w:ind w:left="1160"/>
              <w:spacing w:after="0"/>
              <w:rPr>
                <w:sz w:val="20"/>
                <w:szCs w:val="20"/>
                <w:color w:val="auto"/>
              </w:rPr>
            </w:pPr>
            <w:r>
              <w:rPr>
                <w:rFonts w:ascii="Arial" w:cs="Arial" w:eastAsia="Arial" w:hAnsi="Arial"/>
                <w:sz w:val="15"/>
                <w:szCs w:val="15"/>
                <w:b w:val="1"/>
                <w:bCs w:val="1"/>
                <w:color w:val="auto"/>
              </w:rPr>
              <w:t>Name</w:t>
            </w:r>
          </w:p>
        </w:tc>
        <w:tc>
          <w:tcPr>
            <w:tcW w:w="120" w:type="dxa"/>
            <w:vAlign w:val="bottom"/>
            <w:vMerge w:val="restart"/>
          </w:tcPr>
          <w:p>
            <w:pPr>
              <w:spacing w:after="0"/>
              <w:rPr>
                <w:sz w:val="18"/>
                <w:szCs w:val="18"/>
                <w:color w:val="auto"/>
              </w:rPr>
            </w:pPr>
          </w:p>
        </w:tc>
        <w:tc>
          <w:tcPr>
            <w:tcW w:w="1100" w:type="dxa"/>
            <w:vAlign w:val="bottom"/>
          </w:tcPr>
          <w:p>
            <w:pPr>
              <w:jc w:val="center"/>
              <w:ind w:left="5"/>
              <w:spacing w:after="0"/>
              <w:rPr>
                <w:sz w:val="20"/>
                <w:szCs w:val="20"/>
                <w:color w:val="auto"/>
              </w:rPr>
            </w:pPr>
            <w:r>
              <w:rPr>
                <w:rFonts w:ascii="Arial" w:cs="Arial" w:eastAsia="Arial" w:hAnsi="Arial"/>
                <w:sz w:val="15"/>
                <w:szCs w:val="15"/>
                <w:b w:val="1"/>
                <w:bCs w:val="1"/>
                <w:color w:val="auto"/>
              </w:rPr>
              <w:t>Fees Earned</w:t>
            </w:r>
          </w:p>
        </w:tc>
        <w:tc>
          <w:tcPr>
            <w:tcW w:w="120" w:type="dxa"/>
            <w:vAlign w:val="bottom"/>
          </w:tcPr>
          <w:p>
            <w:pPr>
              <w:spacing w:after="0"/>
              <w:rPr>
                <w:sz w:val="20"/>
                <w:szCs w:val="20"/>
                <w:color w:val="auto"/>
              </w:rPr>
            </w:pPr>
            <w:r>
              <w:rPr>
                <w:rFonts w:ascii="Arial" w:cs="Arial" w:eastAsia="Arial" w:hAnsi="Arial"/>
                <w:sz w:val="10"/>
                <w:szCs w:val="10"/>
                <w:b w:val="1"/>
                <w:bCs w:val="1"/>
                <w:color w:val="auto"/>
                <w:w w:val="81"/>
              </w:rPr>
              <w:t>(1)</w:t>
            </w:r>
          </w:p>
        </w:tc>
        <w:tc>
          <w:tcPr>
            <w:tcW w:w="140" w:type="dxa"/>
            <w:vAlign w:val="bottom"/>
          </w:tcPr>
          <w:p>
            <w:pPr>
              <w:spacing w:after="0"/>
              <w:rPr>
                <w:sz w:val="18"/>
                <w:szCs w:val="18"/>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89"/>
              </w:rPr>
              <w:t xml:space="preserve">Stock </w:t>
            </w:r>
            <w:r>
              <w:rPr>
                <w:rFonts w:ascii="Arial" w:cs="Arial" w:eastAsia="Arial" w:hAnsi="Arial"/>
                <w:sz w:val="19"/>
                <w:szCs w:val="19"/>
                <w:b w:val="1"/>
                <w:bCs w:val="1"/>
                <w:color w:val="auto"/>
                <w:w w:val="89"/>
                <w:vertAlign w:val="subscript"/>
              </w:rPr>
              <w:t>(2)</w:t>
            </w:r>
          </w:p>
        </w:tc>
        <w:tc>
          <w:tcPr>
            <w:tcW w:w="940" w:type="dxa"/>
            <w:vAlign w:val="bottom"/>
          </w:tcPr>
          <w:p>
            <w:pPr>
              <w:ind w:left="200"/>
              <w:spacing w:after="0"/>
              <w:rPr>
                <w:sz w:val="20"/>
                <w:szCs w:val="20"/>
                <w:color w:val="auto"/>
              </w:rPr>
            </w:pPr>
            <w:r>
              <w:rPr>
                <w:rFonts w:ascii="Arial" w:cs="Arial" w:eastAsia="Arial" w:hAnsi="Arial"/>
                <w:sz w:val="15"/>
                <w:szCs w:val="15"/>
                <w:b w:val="1"/>
                <w:bCs w:val="1"/>
                <w:color w:val="auto"/>
              </w:rPr>
              <w:t>All Other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Total</w:t>
            </w: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7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8"/>
              </w:rPr>
              <w:t>or Paid in Cash</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Awards</w:t>
            </w: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9"/>
              </w:rPr>
              <w:t>Compensation</w:t>
            </w:r>
          </w:p>
        </w:tc>
        <w:tc>
          <w:tcPr>
            <w:tcW w:w="1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spacing w:after="0" w:line="183" w:lineRule="exact"/>
              <w:rPr>
                <w:sz w:val="20"/>
                <w:szCs w:val="20"/>
                <w:color w:val="auto"/>
              </w:rPr>
            </w:pPr>
            <w:r>
              <w:rPr>
                <w:rFonts w:ascii="Arial" w:cs="Arial" w:eastAsia="Arial" w:hAnsi="Arial"/>
                <w:sz w:val="15"/>
                <w:szCs w:val="15"/>
                <w:color w:val="auto"/>
              </w:rPr>
              <w:t>John G. Aldridge, Jr.</w:t>
            </w:r>
            <w:r>
              <w:rPr>
                <w:rFonts w:ascii="Arial" w:cs="Arial" w:eastAsia="Arial" w:hAnsi="Arial"/>
                <w:sz w:val="19"/>
                <w:szCs w:val="19"/>
                <w:color w:val="auto"/>
                <w:vertAlign w:val="superscript"/>
              </w:rPr>
              <w:t>(3)</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center"/>
              <w:ind w:left="45"/>
              <w:spacing w:after="0"/>
              <w:rPr>
                <w:sz w:val="20"/>
                <w:szCs w:val="20"/>
                <w:color w:val="auto"/>
              </w:rPr>
            </w:pPr>
            <w:r>
              <w:rPr>
                <w:rFonts w:ascii="Arial" w:cs="Arial" w:eastAsia="Arial" w:hAnsi="Arial"/>
                <w:sz w:val="15"/>
                <w:szCs w:val="15"/>
                <w:color w:val="auto"/>
              </w:rPr>
              <w:t>​$ 71,500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center"/>
              <w:ind w:right="40"/>
              <w:spacing w:after="0"/>
              <w:rPr>
                <w:sz w:val="20"/>
                <w:szCs w:val="20"/>
                <w:color w:val="auto"/>
              </w:rPr>
            </w:pPr>
            <w:r>
              <w:rPr>
                <w:rFonts w:ascii="Arial" w:cs="Arial" w:eastAsia="Arial" w:hAnsi="Arial"/>
                <w:sz w:val="15"/>
                <w:szCs w:val="15"/>
                <w:color w:val="auto"/>
              </w:rPr>
              <w:t>$48,395 ​</w:t>
            </w:r>
          </w:p>
        </w:tc>
        <w:tc>
          <w:tcPr>
            <w:tcW w:w="940" w:type="dxa"/>
            <w:vAlign w:val="bottom"/>
            <w:shd w:val="clear" w:color="auto" w:fill="CCEEFF"/>
          </w:tcPr>
          <w:p>
            <w:pPr>
              <w:jc w:val="center"/>
              <w:ind w:left="65"/>
              <w:spacing w:after="0"/>
              <w:rPr>
                <w:sz w:val="20"/>
                <w:szCs w:val="20"/>
                <w:color w:val="auto"/>
              </w:rPr>
            </w:pPr>
            <w:r>
              <w:rPr>
                <w:rFonts w:ascii="Arial" w:cs="Arial" w:eastAsia="Arial" w:hAnsi="Arial"/>
                <w:sz w:val="15"/>
                <w:szCs w:val="15"/>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spacing w:after="0"/>
              <w:rPr>
                <w:sz w:val="20"/>
                <w:szCs w:val="20"/>
                <w:color w:val="auto"/>
              </w:rPr>
            </w:pPr>
            <w:r>
              <w:rPr>
                <w:rFonts w:ascii="Arial" w:cs="Arial" w:eastAsia="Arial" w:hAnsi="Arial"/>
                <w:sz w:val="15"/>
                <w:szCs w:val="15"/>
                <w:color w:val="auto"/>
                <w:w w:val="95"/>
              </w:rPr>
              <w:t>​$ 119,895​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860" w:type="dxa"/>
            <w:vAlign w:val="bottom"/>
            <w:gridSpan w:val="2"/>
          </w:tcPr>
          <w:p>
            <w:pPr>
              <w:spacing w:after="0" w:line="193" w:lineRule="exact"/>
              <w:rPr>
                <w:sz w:val="20"/>
                <w:szCs w:val="20"/>
                <w:color w:val="auto"/>
              </w:rPr>
            </w:pPr>
            <w:r>
              <w:rPr>
                <w:rFonts w:ascii="Arial" w:cs="Arial" w:eastAsia="Arial" w:hAnsi="Arial"/>
                <w:sz w:val="15"/>
                <w:szCs w:val="15"/>
                <w:color w:val="auto"/>
              </w:rPr>
              <w:t>Mary C. Hickok</w:t>
            </w:r>
            <w:r>
              <w:rPr>
                <w:rFonts w:ascii="Arial" w:cs="Arial" w:eastAsia="Arial" w:hAnsi="Arial"/>
                <w:sz w:val="19"/>
                <w:szCs w:val="19"/>
                <w:color w:val="auto"/>
                <w:vertAlign w:val="superscript"/>
              </w:rPr>
              <w:t>(4)</w:t>
            </w:r>
          </w:p>
        </w:tc>
        <w:tc>
          <w:tcPr>
            <w:tcW w:w="1100" w:type="dxa"/>
            <w:vAlign w:val="bottom"/>
          </w:tcPr>
          <w:p>
            <w:pPr>
              <w:jc w:val="center"/>
              <w:ind w:left="45"/>
              <w:spacing w:after="0"/>
              <w:rPr>
                <w:sz w:val="20"/>
                <w:szCs w:val="20"/>
                <w:color w:val="auto"/>
              </w:rPr>
            </w:pPr>
            <w:r>
              <w:rPr>
                <w:rFonts w:ascii="Arial" w:cs="Arial" w:eastAsia="Arial" w:hAnsi="Arial"/>
                <w:sz w:val="15"/>
                <w:szCs w:val="15"/>
                <w:color w:val="auto"/>
              </w:rPr>
              <w:t>​$ 79,000</w:t>
            </w:r>
          </w:p>
        </w:tc>
        <w:tc>
          <w:tcPr>
            <w:tcW w:w="26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center"/>
              <w:ind w:right="40"/>
              <w:spacing w:after="0"/>
              <w:rPr>
                <w:sz w:val="20"/>
                <w:szCs w:val="20"/>
                <w:color w:val="auto"/>
              </w:rPr>
            </w:pPr>
            <w:r>
              <w:rPr>
                <w:rFonts w:ascii="Arial" w:cs="Arial" w:eastAsia="Arial" w:hAnsi="Arial"/>
                <w:sz w:val="15"/>
                <w:szCs w:val="15"/>
                <w:color w:val="auto"/>
              </w:rPr>
              <w:t>$48,395 ​</w:t>
            </w:r>
          </w:p>
        </w:tc>
        <w:tc>
          <w:tcPr>
            <w:tcW w:w="940" w:type="dxa"/>
            <w:vAlign w:val="bottom"/>
          </w:tcPr>
          <w:p>
            <w:pPr>
              <w:jc w:val="center"/>
              <w:ind w:left="65"/>
              <w:spacing w:after="0"/>
              <w:rPr>
                <w:sz w:val="20"/>
                <w:szCs w:val="20"/>
                <w:color w:val="auto"/>
              </w:rPr>
            </w:pPr>
            <w:r>
              <w:rPr>
                <w:rFonts w:ascii="Arial" w:cs="Arial" w:eastAsia="Arial" w:hAnsi="Arial"/>
                <w:sz w:val="15"/>
                <w:szCs w:val="15"/>
                <w:color w:val="auto"/>
              </w:rPr>
              <w:t>—</w:t>
            </w:r>
          </w:p>
        </w:tc>
        <w:tc>
          <w:tcPr>
            <w:tcW w:w="26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700" w:type="dxa"/>
            <w:vAlign w:val="bottom"/>
            <w:gridSpan w:val="2"/>
          </w:tcPr>
          <w:p>
            <w:pPr>
              <w:spacing w:after="0"/>
              <w:rPr>
                <w:sz w:val="20"/>
                <w:szCs w:val="20"/>
                <w:color w:val="auto"/>
              </w:rPr>
            </w:pPr>
            <w:r>
              <w:rPr>
                <w:rFonts w:ascii="Arial" w:cs="Arial" w:eastAsia="Arial" w:hAnsi="Arial"/>
                <w:sz w:val="15"/>
                <w:szCs w:val="15"/>
                <w:color w:val="auto"/>
              </w:rPr>
              <w:t>​$127,395​</w:t>
            </w:r>
          </w:p>
        </w:tc>
        <w:tc>
          <w:tcPr>
            <w:tcW w:w="0" w:type="dxa"/>
            <w:vAlign w:val="bottom"/>
          </w:tcPr>
          <w:p>
            <w:pPr>
              <w:spacing w:after="0"/>
              <w:rPr>
                <w:sz w:val="1"/>
                <w:szCs w:val="1"/>
                <w:color w:val="auto"/>
              </w:rPr>
            </w:pPr>
          </w:p>
        </w:tc>
      </w:tr>
      <w:tr>
        <w:trPr>
          <w:trHeight w:val="170"/>
        </w:trPr>
        <w:tc>
          <w:tcPr>
            <w:tcW w:w="2860" w:type="dxa"/>
            <w:vAlign w:val="bottom"/>
            <w:gridSpan w:val="2"/>
            <w:shd w:val="clear" w:color="auto" w:fill="CCEEFF"/>
          </w:tcPr>
          <w:p>
            <w:pPr>
              <w:spacing w:after="0" w:line="170" w:lineRule="exact"/>
              <w:rPr>
                <w:sz w:val="20"/>
                <w:szCs w:val="20"/>
                <w:color w:val="auto"/>
              </w:rPr>
            </w:pPr>
            <w:r>
              <w:rPr>
                <w:rFonts w:ascii="Arial" w:cs="Arial" w:eastAsia="Arial" w:hAnsi="Arial"/>
                <w:sz w:val="15"/>
                <w:szCs w:val="15"/>
                <w:color w:val="auto"/>
              </w:rPr>
              <w:t>Joseph L. Morettini</w:t>
            </w:r>
          </w:p>
        </w:tc>
        <w:tc>
          <w:tcPr>
            <w:tcW w:w="1100" w:type="dxa"/>
            <w:vAlign w:val="bottom"/>
            <w:shd w:val="clear" w:color="auto" w:fill="CCEEFF"/>
          </w:tcPr>
          <w:p>
            <w:pPr>
              <w:jc w:val="center"/>
              <w:ind w:left="45"/>
              <w:spacing w:after="0" w:line="170" w:lineRule="exact"/>
              <w:rPr>
                <w:sz w:val="20"/>
                <w:szCs w:val="20"/>
                <w:color w:val="auto"/>
              </w:rPr>
            </w:pPr>
            <w:r>
              <w:rPr>
                <w:rFonts w:ascii="Arial" w:cs="Arial" w:eastAsia="Arial" w:hAnsi="Arial"/>
                <w:sz w:val="15"/>
                <w:szCs w:val="15"/>
                <w:color w:val="auto"/>
              </w:rPr>
              <w:t>​$ 76,500</w:t>
            </w:r>
          </w:p>
        </w:tc>
        <w:tc>
          <w:tcPr>
            <w:tcW w:w="260" w:type="dxa"/>
            <w:vAlign w:val="bottom"/>
            <w:gridSpan w:val="2"/>
            <w:shd w:val="clear" w:color="auto" w:fill="CCEEFF"/>
          </w:tcPr>
          <w:p>
            <w:pPr>
              <w:ind w:left="120"/>
              <w:spacing w:after="0" w:line="170"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center"/>
              <w:ind w:right="40"/>
              <w:spacing w:after="0" w:line="170" w:lineRule="exact"/>
              <w:rPr>
                <w:sz w:val="20"/>
                <w:szCs w:val="20"/>
                <w:color w:val="auto"/>
              </w:rPr>
            </w:pPr>
            <w:r>
              <w:rPr>
                <w:rFonts w:ascii="Arial" w:cs="Arial" w:eastAsia="Arial" w:hAnsi="Arial"/>
                <w:sz w:val="15"/>
                <w:szCs w:val="15"/>
                <w:color w:val="auto"/>
              </w:rPr>
              <w:t>$48,180 ​</w:t>
            </w:r>
          </w:p>
        </w:tc>
        <w:tc>
          <w:tcPr>
            <w:tcW w:w="940" w:type="dxa"/>
            <w:vAlign w:val="bottom"/>
            <w:shd w:val="clear" w:color="auto" w:fill="CCEEFF"/>
          </w:tcPr>
          <w:p>
            <w:pPr>
              <w:jc w:val="center"/>
              <w:ind w:left="65"/>
              <w:spacing w:after="0" w:line="170" w:lineRule="exact"/>
              <w:rPr>
                <w:sz w:val="20"/>
                <w:szCs w:val="20"/>
                <w:color w:val="auto"/>
              </w:rPr>
            </w:pPr>
            <w:r>
              <w:rPr>
                <w:rFonts w:ascii="Arial" w:cs="Arial" w:eastAsia="Arial" w:hAnsi="Arial"/>
                <w:sz w:val="15"/>
                <w:szCs w:val="15"/>
                <w:color w:val="auto"/>
              </w:rPr>
              <w:t>—</w:t>
            </w:r>
          </w:p>
        </w:tc>
        <w:tc>
          <w:tcPr>
            <w:tcW w:w="260" w:type="dxa"/>
            <w:vAlign w:val="bottom"/>
            <w:gridSpan w:val="2"/>
            <w:shd w:val="clear" w:color="auto" w:fill="CCEEFF"/>
          </w:tcPr>
          <w:p>
            <w:pPr>
              <w:ind w:left="100"/>
              <w:spacing w:after="0" w:line="170"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​$124,680​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860" w:type="dxa"/>
            <w:vAlign w:val="bottom"/>
            <w:gridSpan w:val="2"/>
          </w:tcPr>
          <w:p>
            <w:pPr>
              <w:spacing w:after="0"/>
              <w:rPr>
                <w:sz w:val="20"/>
                <w:szCs w:val="20"/>
                <w:color w:val="auto"/>
              </w:rPr>
            </w:pPr>
            <w:r>
              <w:rPr>
                <w:rFonts w:ascii="Arial" w:cs="Arial" w:eastAsia="Arial" w:hAnsi="Arial"/>
                <w:sz w:val="15"/>
                <w:szCs w:val="15"/>
                <w:color w:val="auto"/>
              </w:rPr>
              <w:t>Roland Müller-Ineichen</w:t>
            </w:r>
            <w:r>
              <w:rPr>
                <w:rFonts w:ascii="Arial" w:cs="Arial" w:eastAsia="Arial" w:hAnsi="Arial"/>
                <w:sz w:val="19"/>
                <w:szCs w:val="19"/>
                <w:color w:val="auto"/>
                <w:vertAlign w:val="superscript"/>
              </w:rPr>
              <w:t>(5)</w:t>
            </w:r>
          </w:p>
        </w:tc>
        <w:tc>
          <w:tcPr>
            <w:tcW w:w="1100" w:type="dxa"/>
            <w:vAlign w:val="bottom"/>
          </w:tcPr>
          <w:p>
            <w:pPr>
              <w:jc w:val="center"/>
              <w:ind w:left="45"/>
              <w:spacing w:after="0"/>
              <w:rPr>
                <w:sz w:val="20"/>
                <w:szCs w:val="20"/>
                <w:color w:val="auto"/>
              </w:rPr>
            </w:pPr>
            <w:r>
              <w:rPr>
                <w:rFonts w:ascii="Arial" w:cs="Arial" w:eastAsia="Arial" w:hAnsi="Arial"/>
                <w:sz w:val="15"/>
                <w:szCs w:val="15"/>
                <w:color w:val="auto"/>
              </w:rPr>
              <w:t>​$ 91,500</w:t>
            </w:r>
          </w:p>
        </w:tc>
        <w:tc>
          <w:tcPr>
            <w:tcW w:w="26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center"/>
              <w:ind w:right="40"/>
              <w:spacing w:after="0"/>
              <w:rPr>
                <w:sz w:val="20"/>
                <w:szCs w:val="20"/>
                <w:color w:val="auto"/>
              </w:rPr>
            </w:pPr>
            <w:r>
              <w:rPr>
                <w:rFonts w:ascii="Arial" w:cs="Arial" w:eastAsia="Arial" w:hAnsi="Arial"/>
                <w:sz w:val="15"/>
                <w:szCs w:val="15"/>
                <w:color w:val="auto"/>
              </w:rPr>
              <w:t>$48,180 ​</w:t>
            </w:r>
          </w:p>
        </w:tc>
        <w:tc>
          <w:tcPr>
            <w:tcW w:w="940" w:type="dxa"/>
            <w:vAlign w:val="bottom"/>
          </w:tcPr>
          <w:p>
            <w:pPr>
              <w:jc w:val="center"/>
              <w:ind w:left="65"/>
              <w:spacing w:after="0"/>
              <w:rPr>
                <w:sz w:val="20"/>
                <w:szCs w:val="20"/>
                <w:color w:val="auto"/>
              </w:rPr>
            </w:pPr>
            <w:r>
              <w:rPr>
                <w:rFonts w:ascii="Arial" w:cs="Arial" w:eastAsia="Arial" w:hAnsi="Arial"/>
                <w:sz w:val="15"/>
                <w:szCs w:val="15"/>
                <w:color w:val="auto"/>
              </w:rPr>
              <w:t>—</w:t>
            </w:r>
          </w:p>
        </w:tc>
        <w:tc>
          <w:tcPr>
            <w:tcW w:w="26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700" w:type="dxa"/>
            <w:vAlign w:val="bottom"/>
            <w:gridSpan w:val="2"/>
          </w:tcPr>
          <w:p>
            <w:pPr>
              <w:spacing w:after="0"/>
              <w:rPr>
                <w:sz w:val="20"/>
                <w:szCs w:val="20"/>
                <w:color w:val="auto"/>
              </w:rPr>
            </w:pPr>
            <w:r>
              <w:rPr>
                <w:rFonts w:ascii="Arial" w:cs="Arial" w:eastAsia="Arial" w:hAnsi="Arial"/>
                <w:sz w:val="15"/>
                <w:szCs w:val="15"/>
                <w:color w:val="auto"/>
              </w:rPr>
              <w:t>​$139,680​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4533900</wp:posOffset>
            </wp:positionH>
            <wp:positionV relativeFrom="paragraph">
              <wp:posOffset>-523240</wp:posOffset>
            </wp:positionV>
            <wp:extent cx="8636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6360" cy="6985"/>
                    </a:xfrm>
                    <a:prstGeom prst="rect">
                      <a:avLst/>
                    </a:prstGeom>
                    <a:noFill/>
                  </pic:spPr>
                </pic:pic>
              </a:graphicData>
            </a:graphic>
          </wp:anchor>
        </w:drawing>
        <w:drawing>
          <wp:anchor simplePos="0" relativeHeight="251657728" behindDoc="1" locked="0" layoutInCell="0" allowOverlap="1">
            <wp:simplePos x="0" y="0"/>
            <wp:positionH relativeFrom="column">
              <wp:posOffset>3779520</wp:posOffset>
            </wp:positionH>
            <wp:positionV relativeFrom="paragraph">
              <wp:posOffset>-523240</wp:posOffset>
            </wp:positionV>
            <wp:extent cx="8636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6360" cy="6985"/>
                    </a:xfrm>
                    <a:prstGeom prst="rect">
                      <a:avLst/>
                    </a:prstGeom>
                    <a:noFill/>
                  </pic:spPr>
                </pic:pic>
              </a:graphicData>
            </a:graphic>
          </wp:anchor>
        </w:drawing>
        <w:drawing>
          <wp:anchor simplePos="0" relativeHeight="251657728" behindDoc="1" locked="0" layoutInCell="0" allowOverlap="1">
            <wp:simplePos x="0" y="0"/>
            <wp:positionH relativeFrom="column">
              <wp:posOffset>3269615</wp:posOffset>
            </wp:positionH>
            <wp:positionV relativeFrom="paragraph">
              <wp:posOffset>-523240</wp:posOffset>
            </wp:positionV>
            <wp:extent cx="8636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6360" cy="698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-523240</wp:posOffset>
            </wp:positionV>
            <wp:extent cx="8636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6360" cy="6985"/>
                    </a:xfrm>
                    <a:prstGeom prst="rect">
                      <a:avLst/>
                    </a:prstGeom>
                    <a:noFill/>
                  </pic:spPr>
                </pic:pic>
              </a:graphicData>
            </a:graphic>
          </wp:anchor>
        </w:drawing>
        <w:drawing>
          <wp:anchor simplePos="0" relativeHeight="251657728" behindDoc="1" locked="0" layoutInCell="0" allowOverlap="1">
            <wp:simplePos x="0" y="0"/>
            <wp:positionH relativeFrom="column">
              <wp:posOffset>676275</wp:posOffset>
            </wp:positionH>
            <wp:positionV relativeFrom="paragraph">
              <wp:posOffset>64770</wp:posOffset>
            </wp:positionV>
            <wp:extent cx="103441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34415" cy="6985"/>
                    </a:xfrm>
                    <a:prstGeom prst="rect">
                      <a:avLst/>
                    </a:prstGeom>
                    <a:noFill/>
                  </pic:spPr>
                </pic:pic>
              </a:graphicData>
            </a:graphic>
          </wp:anchor>
        </w:drawing>
      </w:r>
    </w:p>
    <w:p>
      <w:pPr>
        <w:spacing w:after="0" w:line="181" w:lineRule="exact"/>
        <w:rPr>
          <w:sz w:val="20"/>
          <w:szCs w:val="20"/>
          <w:color w:val="auto"/>
        </w:rPr>
      </w:pPr>
    </w:p>
    <w:p>
      <w:pPr>
        <w:ind w:left="1360" w:right="1099" w:hanging="295"/>
        <w:spacing w:after="0" w:line="231" w:lineRule="auto"/>
        <w:tabs>
          <w:tab w:leader="none" w:pos="1360" w:val="left"/>
        </w:tabs>
        <w:numPr>
          <w:ilvl w:val="0"/>
          <w:numId w:val="30"/>
        </w:numPr>
        <w:rPr>
          <w:rFonts w:ascii="Arial" w:cs="Arial" w:eastAsia="Arial" w:hAnsi="Arial"/>
          <w:sz w:val="23"/>
          <w:szCs w:val="23"/>
          <w:color w:val="auto"/>
          <w:vertAlign w:val="superscript"/>
        </w:rPr>
      </w:pPr>
      <w:r>
        <w:rPr>
          <w:rFonts w:ascii="Arial" w:cs="Arial" w:eastAsia="Arial" w:hAnsi="Arial"/>
          <w:sz w:val="15"/>
          <w:szCs w:val="15"/>
          <w:color w:val="auto"/>
        </w:rPr>
        <w:t>Cash compensation for our non-management Directors is established on a “service year” basis running from one annual general meeting of shareholders to the next annual general meeting of shareholders and is paid in equal installments at the end of each quarter during which the non-management Director served as a member of our Board. Director compensation may be prorated for a Director serving less than a full one</w:t>
      </w:r>
    </w:p>
    <w:p>
      <w:pPr>
        <w:ind w:left="1360" w:right="1179"/>
        <w:spacing w:after="0" w:line="253" w:lineRule="auto"/>
        <w:rPr>
          <w:rFonts w:ascii="Arial" w:cs="Arial" w:eastAsia="Arial" w:hAnsi="Arial"/>
          <w:sz w:val="23"/>
          <w:szCs w:val="23"/>
          <w:color w:val="auto"/>
          <w:vertAlign w:val="superscript"/>
        </w:rPr>
      </w:pPr>
      <w:r>
        <w:rPr>
          <w:rFonts w:ascii="Arial" w:cs="Arial" w:eastAsia="Arial" w:hAnsi="Arial"/>
          <w:sz w:val="15"/>
          <w:szCs w:val="15"/>
          <w:color w:val="auto"/>
        </w:rPr>
        <w:t>(1) year term, as in the case of a Director joining our Board after an annual general meeting of shareholders but during the service year. This table shows the amounts earned for service in 2024, including amounts earned for service in the fourth quarter of 2024 and paid in the first quarter of 2025.</w:t>
      </w:r>
    </w:p>
    <w:p>
      <w:pPr>
        <w:spacing w:after="0" w:line="27" w:lineRule="exact"/>
        <w:rPr>
          <w:rFonts w:ascii="Arial" w:cs="Arial" w:eastAsia="Arial" w:hAnsi="Arial"/>
          <w:sz w:val="23"/>
          <w:szCs w:val="23"/>
          <w:color w:val="auto"/>
          <w:vertAlign w:val="superscript"/>
        </w:rPr>
      </w:pPr>
    </w:p>
    <w:p>
      <w:pPr>
        <w:ind w:left="1360" w:right="1159" w:hanging="295"/>
        <w:spacing w:after="0" w:line="237" w:lineRule="auto"/>
        <w:tabs>
          <w:tab w:leader="none" w:pos="1360" w:val="left"/>
        </w:tabs>
        <w:numPr>
          <w:ilvl w:val="0"/>
          <w:numId w:val="30"/>
        </w:numPr>
        <w:rPr>
          <w:rFonts w:ascii="Arial" w:cs="Arial" w:eastAsia="Arial" w:hAnsi="Arial"/>
          <w:sz w:val="23"/>
          <w:szCs w:val="23"/>
          <w:color w:val="auto"/>
          <w:vertAlign w:val="superscript"/>
        </w:rPr>
      </w:pPr>
      <w:r>
        <w:rPr>
          <w:rFonts w:ascii="Arial" w:cs="Arial" w:eastAsia="Arial" w:hAnsi="Arial"/>
          <w:sz w:val="15"/>
          <w:szCs w:val="15"/>
          <w:color w:val="auto"/>
        </w:rPr>
        <w:t>Non-management Directors who attended at least seventy-five percent (75%) of all meetings of our Board and Committees on which they served for the 2023 to 2024 service year were entitled to receive an award of Altisource common stock at the end of the service year. The number of shares of common stock was determined by dividing $120,000 by the average of the high and low prices of the common stock as reported on the Nasdaq Global Select Market on the first day of the service year. This table shows the aggregate award date fair value of such shares on the date awarded in May 2024.</w:t>
      </w:r>
    </w:p>
    <w:p>
      <w:pPr>
        <w:spacing w:after="0" w:line="29" w:lineRule="exact"/>
        <w:rPr>
          <w:rFonts w:ascii="Arial" w:cs="Arial" w:eastAsia="Arial" w:hAnsi="Arial"/>
          <w:sz w:val="23"/>
          <w:szCs w:val="23"/>
          <w:color w:val="auto"/>
          <w:vertAlign w:val="superscript"/>
        </w:rPr>
      </w:pPr>
    </w:p>
    <w:p>
      <w:pPr>
        <w:ind w:left="1360" w:right="1159" w:hanging="295"/>
        <w:spacing w:after="0" w:line="235" w:lineRule="auto"/>
        <w:tabs>
          <w:tab w:leader="none" w:pos="1360" w:val="left"/>
        </w:tabs>
        <w:numPr>
          <w:ilvl w:val="0"/>
          <w:numId w:val="30"/>
        </w:numPr>
        <w:rPr>
          <w:rFonts w:ascii="Arial" w:cs="Arial" w:eastAsia="Arial" w:hAnsi="Arial"/>
          <w:sz w:val="23"/>
          <w:szCs w:val="23"/>
          <w:color w:val="auto"/>
          <w:vertAlign w:val="superscript"/>
        </w:rPr>
      </w:pPr>
      <w:r>
        <w:rPr>
          <w:rFonts w:ascii="Arial" w:cs="Arial" w:eastAsia="Arial" w:hAnsi="Arial"/>
          <w:sz w:val="15"/>
          <w:szCs w:val="15"/>
          <w:color w:val="auto"/>
        </w:rPr>
        <w:t>On the date of his initial election to our Board, Mr. Aldridge received a one-time grant of 500 shares of common stock. This award was scheduled to vest in four (4) equal installments beginning on the date of the 2023 annual general meeting of shareholders and the final installment vesting on the date of the 2026 annual general meeting of shareholders, subject to Mr. Aldridge’s continued service on our Board. As of December 31, 2024, Mr. Aldridge held 250 unvested shares.</w:t>
      </w:r>
    </w:p>
    <w:p>
      <w:pPr>
        <w:spacing w:after="0" w:line="16" w:lineRule="exact"/>
        <w:rPr>
          <w:rFonts w:ascii="Arial" w:cs="Arial" w:eastAsia="Arial" w:hAnsi="Arial"/>
          <w:sz w:val="23"/>
          <w:szCs w:val="23"/>
          <w:color w:val="auto"/>
          <w:vertAlign w:val="superscript"/>
        </w:rPr>
      </w:pPr>
    </w:p>
    <w:p>
      <w:pPr>
        <w:ind w:left="1360" w:right="1119" w:hanging="295"/>
        <w:spacing w:after="0"/>
        <w:tabs>
          <w:tab w:leader="none" w:pos="1360" w:val="left"/>
        </w:tabs>
        <w:numPr>
          <w:ilvl w:val="0"/>
          <w:numId w:val="30"/>
        </w:numPr>
        <w:rPr>
          <w:rFonts w:ascii="Arial" w:cs="Arial" w:eastAsia="Arial" w:hAnsi="Arial"/>
          <w:sz w:val="23"/>
          <w:szCs w:val="23"/>
          <w:color w:val="auto"/>
          <w:vertAlign w:val="superscript"/>
        </w:rPr>
      </w:pPr>
      <w:r>
        <w:rPr>
          <w:rFonts w:ascii="Arial" w:cs="Arial" w:eastAsia="Arial" w:hAnsi="Arial"/>
          <w:sz w:val="15"/>
          <w:szCs w:val="15"/>
          <w:color w:val="auto"/>
        </w:rPr>
        <w:t>On the date of her initial election to our Board, Ms. Hickok received a one-time grant of 500 shares of common stock. This award was scheduled to vest in four (4) equal installments beginning on the date of the 2022 annual general meeting of shareholders and the final installment vesting on the date of the 2025 annual general meeting of shareholders, subject to Ms. Hickok’s continued service on our Board. All cash compensation related to Ms. Hickok’s service as a Director is paid to STS Master Fund, Ltd. Shares granted to Ms. Hickok for her service as a Director are transferred to the account of DPR CC LLC, a C-Corp wholly owned by Deer Park/STS Master Fund Ltd. As of December 31, 2024, DPR CC LLC held 125 unvested shares granted to Ms. Hickok.</w:t>
      </w:r>
    </w:p>
    <w:p>
      <w:pPr>
        <w:spacing w:after="0" w:line="29" w:lineRule="exact"/>
        <w:rPr>
          <w:rFonts w:ascii="Arial" w:cs="Arial" w:eastAsia="Arial" w:hAnsi="Arial"/>
          <w:sz w:val="23"/>
          <w:szCs w:val="23"/>
          <w:color w:val="auto"/>
          <w:vertAlign w:val="superscript"/>
        </w:rPr>
      </w:pPr>
    </w:p>
    <w:p>
      <w:pPr>
        <w:ind w:left="1360" w:right="1079" w:hanging="295"/>
        <w:spacing w:after="0" w:line="237" w:lineRule="auto"/>
        <w:tabs>
          <w:tab w:leader="none" w:pos="1360" w:val="left"/>
        </w:tabs>
        <w:numPr>
          <w:ilvl w:val="0"/>
          <w:numId w:val="30"/>
        </w:numPr>
        <w:rPr>
          <w:rFonts w:ascii="Arial" w:cs="Arial" w:eastAsia="Arial" w:hAnsi="Arial"/>
          <w:sz w:val="23"/>
          <w:szCs w:val="23"/>
          <w:color w:val="auto"/>
          <w:vertAlign w:val="superscript"/>
        </w:rPr>
      </w:pPr>
      <w:r>
        <w:rPr>
          <w:rFonts w:ascii="Arial" w:cs="Arial" w:eastAsia="Arial" w:hAnsi="Arial"/>
          <w:sz w:val="15"/>
          <w:szCs w:val="15"/>
          <w:color w:val="auto"/>
        </w:rPr>
        <w:t>Mr. Müller-Ineichen’s cash compensation was paid in euros using the following exchange rates that were in effect on the 15th day of the last month of the quarter for which the payment was made: for the first quarter 2024, an exchange rate of 0.9185 euros to the U.S. dollar; for the second quarter 2024, an exchange rate of 0.9339 euros to the U.S. dollar; for the third quarter 2024, an exchange rate of 0.9027 euros to the U.S. dollar and for the fourth quarter 2024, an exchange rate of 0.9521euros to the U.S. dollar. The cash amounts reported herein are the U.S. dollar amounts prior to conversion to euros.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217805</wp:posOffset>
            </wp:positionV>
            <wp:extent cx="5728970"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8" w:name="page29"/>
    <w:bookmarkEnd w:id="28"/>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6" w:lineRule="exact"/>
        <w:rPr>
          <w:sz w:val="20"/>
          <w:szCs w:val="20"/>
          <w:color w:val="auto"/>
        </w:rPr>
      </w:pPr>
    </w:p>
    <w:p>
      <w:pPr>
        <w:jc w:val="right"/>
        <w:ind w:right="103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BOARD OF DIRECTORS’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-181610</wp:posOffset>
            </wp:positionV>
            <wp:extent cx="1874520" cy="1219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74520" cy="121920"/>
                    </a:xfrm>
                    <a:prstGeom prst="rect">
                      <a:avLst/>
                    </a:prstGeom>
                    <a:noFill/>
                  </pic:spPr>
                </pic:pic>
              </a:graphicData>
            </a:graphic>
          </wp:anchor>
        </w:drawing>
      </w:r>
    </w:p>
    <w:p>
      <w:pPr>
        <w:spacing w:after="0" w:line="93"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Minimum Stock Ownership Requirements</w:t>
      </w:r>
    </w:p>
    <w:p>
      <w:pPr>
        <w:spacing w:after="0" w:line="92" w:lineRule="exact"/>
        <w:rPr>
          <w:sz w:val="20"/>
          <w:szCs w:val="20"/>
          <w:color w:val="auto"/>
        </w:rPr>
      </w:pPr>
    </w:p>
    <w:p>
      <w:pPr>
        <w:ind w:left="1060" w:right="1119"/>
        <w:spacing w:after="0" w:line="254" w:lineRule="auto"/>
        <w:rPr>
          <w:sz w:val="20"/>
          <w:szCs w:val="20"/>
          <w:color w:val="auto"/>
        </w:rPr>
      </w:pPr>
      <w:r>
        <w:rPr>
          <w:rFonts w:ascii="Arial" w:cs="Arial" w:eastAsia="Arial" w:hAnsi="Arial"/>
          <w:sz w:val="15"/>
          <w:szCs w:val="15"/>
          <w:color w:val="auto"/>
        </w:rPr>
        <w:t>To further align our non-management Directors’ interests with those of our shareholders, our Board has adopted minimum stock ownership requirements for non -management Directors. Pursuant to these ownership requirements, each non-management Director is required to attain and maintain stock ownership at a level equal to three times his or her annual cash retainer. The minimum number of shares is determined as of the date of such person’s initial election as a non-management Director, or if elected prior to the policy’s adoption, the date when he or she first became subject to this policy. Each non-management Director has</w:t>
      </w:r>
    </w:p>
    <w:p>
      <w:pPr>
        <w:spacing w:after="0" w:line="3" w:lineRule="exact"/>
        <w:rPr>
          <w:sz w:val="20"/>
          <w:szCs w:val="20"/>
          <w:color w:val="auto"/>
        </w:rPr>
      </w:pPr>
    </w:p>
    <w:p>
      <w:pPr>
        <w:ind w:left="1060" w:right="1139"/>
        <w:spacing w:after="0" w:line="253" w:lineRule="auto"/>
        <w:rPr>
          <w:sz w:val="20"/>
          <w:szCs w:val="20"/>
          <w:color w:val="auto"/>
        </w:rPr>
      </w:pPr>
      <w:r>
        <w:rPr>
          <w:rFonts w:ascii="Arial" w:cs="Arial" w:eastAsia="Arial" w:hAnsi="Arial"/>
          <w:sz w:val="15"/>
          <w:szCs w:val="15"/>
          <w:color w:val="auto"/>
        </w:rPr>
        <w:t xml:space="preserve">two years from the effective date of his or her initial election or from the date on which he or she first becomes subject to the policy, whichever is later, to comply with these requirements. The minimum stock ownership level will not change as a result of fluctuations in the market price of the Company’s common stock. Incremental increases in the level of required stock ownership will be determined as of the effective date of any increase in the annual cash retainer paid to non-management Directors. Each of our Directors currently meets the minimum stock ownership requirements. The minimum stock ownership requirements for our non-management Directors and our Chief Executive Officer are set forth in our Corporate Governance Guidelines, which are available on our website at </w:t>
      </w:r>
      <w:r>
        <w:rPr>
          <w:rFonts w:ascii="Arial" w:cs="Arial" w:eastAsia="Arial" w:hAnsi="Arial"/>
          <w:sz w:val="15"/>
          <w:szCs w:val="15"/>
          <w:u w:val="single" w:color="auto"/>
          <w:color w:val="auto"/>
        </w:rPr>
        <w:t>https://ir.altisource.com/corporate-governance</w:t>
      </w:r>
      <w:r>
        <w:rPr>
          <w:rFonts w:ascii="Arial" w:cs="Arial" w:eastAsia="Arial" w:hAnsi="Arial"/>
          <w:sz w:val="15"/>
          <w:szCs w:val="15"/>
          <w:color w:val="auto"/>
        </w:rPr>
        <w:t>.</w:t>
      </w:r>
    </w:p>
    <w:p>
      <w:pPr>
        <w:spacing w:after="0" w:line="284" w:lineRule="exact"/>
        <w:rPr>
          <w:sz w:val="20"/>
          <w:szCs w:val="20"/>
          <w:color w:val="auto"/>
        </w:rPr>
      </w:pPr>
    </w:p>
    <w:p>
      <w:pPr>
        <w:ind w:left="1060" w:right="1159"/>
        <w:spacing w:after="0" w:line="258" w:lineRule="auto"/>
        <w:rPr>
          <w:sz w:val="20"/>
          <w:szCs w:val="20"/>
          <w:color w:val="auto"/>
        </w:rPr>
      </w:pPr>
      <w:r>
        <w:rPr>
          <w:rFonts w:ascii="Arial" w:cs="Arial" w:eastAsia="Arial" w:hAnsi="Arial"/>
          <w:sz w:val="15"/>
          <w:szCs w:val="15"/>
          <w:color w:val="auto"/>
        </w:rPr>
        <w:t>The following table sets forth certain information with respect to each person who served as one of our executive officers in 2024 but did not serve on our Board. Our Board determines our executive officers on an annual basis and our executive officers generally serve at the discretion of our Board. None of our Directors or executive officers is related to any other Director or executive officer of Altisource by blood, marriage or adoption. The below Named Executive Officers, together with William B. Shepro, are referred to in this document as our “Named Executive Officers.”</w:t>
      </w:r>
    </w:p>
    <w:p>
      <w:pPr>
        <w:spacing w:after="0" w:line="279" w:lineRule="exact"/>
        <w:rPr>
          <w:sz w:val="20"/>
          <w:szCs w:val="20"/>
          <w:color w:val="auto"/>
        </w:rPr>
      </w:pPr>
    </w:p>
    <w:tbl>
      <w:tblPr>
        <w:tblLayout w:type="fixed"/>
        <w:tblInd w:w="1060" w:type="dxa"/>
        <w:tblCellMar>
          <w:top w:w="0" w:type="dxa"/>
          <w:left w:w="0" w:type="dxa"/>
          <w:bottom w:w="0" w:type="dxa"/>
          <w:right w:w="0" w:type="dxa"/>
        </w:tblCellMar>
      </w:tblPr>
      <w:tr>
        <w:trPr>
          <w:trHeight w:val="184"/>
        </w:trPr>
        <w:tc>
          <w:tcPr>
            <w:tcW w:w="3080" w:type="dxa"/>
            <w:vAlign w:val="bottom"/>
          </w:tcPr>
          <w:p>
            <w:pPr>
              <w:ind w:left="136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Age</w:t>
            </w:r>
            <w:r>
              <w:rPr>
                <w:rFonts w:ascii="Arial" w:cs="Arial" w:eastAsia="Arial" w:hAnsi="Arial"/>
                <w:sz w:val="16"/>
                <w:szCs w:val="16"/>
                <w:b w:val="1"/>
                <w:bCs w:val="1"/>
                <w:color w:val="auto"/>
                <w:w w:val="91"/>
                <w:vertAlign w:val="superscript"/>
              </w:rPr>
              <w:t>(1)</w:t>
            </w:r>
          </w:p>
        </w:tc>
        <w:tc>
          <w:tcPr>
            <w:tcW w:w="308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51"/>
        </w:trPr>
        <w:tc>
          <w:tcPr>
            <w:tcW w:w="3080" w:type="dxa"/>
            <w:vAlign w:val="bottom"/>
            <w:tcBorders>
              <w:top w:val="single" w:sz="8" w:color="auto"/>
            </w:tcBorders>
          </w:tcPr>
          <w:p>
            <w:pPr>
              <w:spacing w:after="0" w:line="151" w:lineRule="exact"/>
              <w:rPr>
                <w:sz w:val="20"/>
                <w:szCs w:val="20"/>
                <w:color w:val="auto"/>
              </w:rPr>
            </w:pPr>
            <w:r>
              <w:rPr>
                <w:rFonts w:ascii="Arial" w:cs="Arial" w:eastAsia="Arial" w:hAnsi="Arial"/>
                <w:sz w:val="14"/>
                <w:szCs w:val="14"/>
                <w:color w:val="auto"/>
              </w:rPr>
              <w:t>Michelle D. Esterman</w:t>
            </w:r>
          </w:p>
        </w:tc>
        <w:tc>
          <w:tcPr>
            <w:tcW w:w="180" w:type="dxa"/>
            <w:vAlign w:val="bottom"/>
          </w:tcPr>
          <w:p>
            <w:pPr>
              <w:spacing w:after="0"/>
              <w:rPr>
                <w:sz w:val="13"/>
                <w:szCs w:val="13"/>
                <w:color w:val="auto"/>
              </w:rPr>
            </w:pPr>
          </w:p>
        </w:tc>
        <w:tc>
          <w:tcPr>
            <w:tcW w:w="36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4"/>
                <w:szCs w:val="14"/>
                <w:color w:val="auto"/>
              </w:rPr>
              <w:t>52</w:t>
            </w:r>
          </w:p>
        </w:tc>
        <w:tc>
          <w:tcPr>
            <w:tcW w:w="180" w:type="dxa"/>
            <w:vAlign w:val="bottom"/>
          </w:tcPr>
          <w:p>
            <w:pPr>
              <w:spacing w:after="0"/>
              <w:rPr>
                <w:sz w:val="13"/>
                <w:szCs w:val="13"/>
                <w:color w:val="auto"/>
              </w:rPr>
            </w:pPr>
          </w:p>
        </w:tc>
        <w:tc>
          <w:tcPr>
            <w:tcW w:w="3080" w:type="dxa"/>
            <w:vAlign w:val="bottom"/>
            <w:tcBorders>
              <w:top w:val="single" w:sz="8" w:color="auto"/>
            </w:tcBorders>
          </w:tcPr>
          <w:p>
            <w:pPr>
              <w:spacing w:after="0" w:line="151" w:lineRule="exact"/>
              <w:rPr>
                <w:sz w:val="20"/>
                <w:szCs w:val="20"/>
                <w:color w:val="auto"/>
              </w:rPr>
            </w:pPr>
            <w:r>
              <w:rPr>
                <w:rFonts w:ascii="Arial" w:cs="Arial" w:eastAsia="Arial" w:hAnsi="Arial"/>
                <w:sz w:val="14"/>
                <w:szCs w:val="14"/>
                <w:color w:val="auto"/>
              </w:rPr>
              <w:t>Chief Financial Officer</w:t>
            </w:r>
          </w:p>
        </w:tc>
      </w:tr>
      <w:tr>
        <w:trPr>
          <w:trHeight w:val="177"/>
        </w:trPr>
        <w:tc>
          <w:tcPr>
            <w:tcW w:w="3260" w:type="dxa"/>
            <w:vAlign w:val="bottom"/>
            <w:gridSpan w:val="2"/>
          </w:tcPr>
          <w:p>
            <w:pPr>
              <w:spacing w:after="0"/>
              <w:rPr>
                <w:sz w:val="20"/>
                <w:szCs w:val="20"/>
                <w:color w:val="auto"/>
              </w:rPr>
            </w:pPr>
            <w:r>
              <w:rPr>
                <w:rFonts w:ascii="Arial" w:cs="Arial" w:eastAsia="Arial" w:hAnsi="Arial"/>
                <w:sz w:val="14"/>
                <w:szCs w:val="14"/>
                <w:color w:val="auto"/>
              </w:rPr>
              <w:t>Gregory J. Ritts</w:t>
            </w:r>
          </w:p>
        </w:tc>
        <w:tc>
          <w:tcPr>
            <w:tcW w:w="360" w:type="dxa"/>
            <w:vAlign w:val="bottom"/>
          </w:tcPr>
          <w:p>
            <w:pPr>
              <w:jc w:val="center"/>
              <w:spacing w:after="0"/>
              <w:rPr>
                <w:sz w:val="20"/>
                <w:szCs w:val="20"/>
                <w:color w:val="auto"/>
              </w:rPr>
            </w:pPr>
            <w:r>
              <w:rPr>
                <w:rFonts w:ascii="Arial" w:cs="Arial" w:eastAsia="Arial" w:hAnsi="Arial"/>
                <w:sz w:val="14"/>
                <w:szCs w:val="14"/>
                <w:color w:val="auto"/>
              </w:rPr>
              <w:t>56</w:t>
            </w:r>
          </w:p>
        </w:tc>
        <w:tc>
          <w:tcPr>
            <w:tcW w:w="18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Arial" w:cs="Arial" w:eastAsia="Arial" w:hAnsi="Arial"/>
                <w:sz w:val="14"/>
                <w:szCs w:val="14"/>
                <w:color w:val="auto"/>
              </w:rPr>
              <w:t>Chief Legal and Compliance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109855</wp:posOffset>
            </wp:positionV>
            <wp:extent cx="103441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34415" cy="6985"/>
                    </a:xfrm>
                    <a:prstGeom prst="rect">
                      <a:avLst/>
                    </a:prstGeom>
                    <a:noFill/>
                  </pic:spPr>
                </pic:pic>
              </a:graphicData>
            </a:graphic>
          </wp:anchor>
        </w:drawing>
      </w:r>
    </w:p>
    <w:p>
      <w:pPr>
        <w:spacing w:after="0" w:line="185" w:lineRule="exact"/>
        <w:rPr>
          <w:sz w:val="20"/>
          <w:szCs w:val="20"/>
          <w:color w:val="auto"/>
        </w:rPr>
      </w:pPr>
    </w:p>
    <w:p>
      <w:pPr>
        <w:ind w:left="1360" w:hanging="295"/>
        <w:spacing w:after="0"/>
        <w:tabs>
          <w:tab w:leader="none" w:pos="1360" w:val="left"/>
        </w:tabs>
        <w:numPr>
          <w:ilvl w:val="0"/>
          <w:numId w:val="31"/>
        </w:numPr>
        <w:rPr>
          <w:rFonts w:ascii="Arial" w:cs="Arial" w:eastAsia="Arial" w:hAnsi="Arial"/>
          <w:sz w:val="23"/>
          <w:szCs w:val="23"/>
          <w:color w:val="auto"/>
          <w:vertAlign w:val="superscript"/>
        </w:rPr>
      </w:pPr>
      <w:r>
        <w:rPr>
          <w:rFonts w:ascii="Arial" w:cs="Arial" w:eastAsia="Arial" w:hAnsi="Arial"/>
          <w:sz w:val="15"/>
          <w:szCs w:val="15"/>
          <w:color w:val="auto"/>
        </w:rPr>
        <w:t>As of March 17, 2025</w:t>
      </w:r>
    </w:p>
    <w:p>
      <w:pPr>
        <w:spacing w:after="0" w:line="107" w:lineRule="exact"/>
        <w:rPr>
          <w:sz w:val="20"/>
          <w:szCs w:val="20"/>
          <w:color w:val="auto"/>
        </w:rPr>
      </w:pPr>
    </w:p>
    <w:p>
      <w:pPr>
        <w:ind w:left="1060" w:right="1099"/>
        <w:spacing w:after="0" w:line="288" w:lineRule="auto"/>
        <w:rPr>
          <w:sz w:val="20"/>
          <w:szCs w:val="20"/>
          <w:color w:val="auto"/>
        </w:rPr>
      </w:pPr>
      <w:r>
        <w:rPr>
          <w:rFonts w:ascii="Arial" w:cs="Arial" w:eastAsia="Arial" w:hAnsi="Arial"/>
          <w:sz w:val="15"/>
          <w:szCs w:val="15"/>
          <w:color w:val="auto"/>
        </w:rPr>
        <w:t>The principal occupation for the last five (5) years, as well as certain other biographical information, for each of our current executive officers who is not a Director is set forth below.</w:t>
      </w:r>
    </w:p>
    <w:p>
      <w:pPr>
        <w:spacing w:after="0" w:line="72" w:lineRule="exact"/>
        <w:rPr>
          <w:sz w:val="20"/>
          <w:szCs w:val="20"/>
          <w:color w:val="auto"/>
        </w:rPr>
      </w:pPr>
    </w:p>
    <w:p>
      <w:pPr>
        <w:ind w:left="1060" w:right="1099"/>
        <w:spacing w:after="0" w:line="256" w:lineRule="auto"/>
        <w:rPr>
          <w:sz w:val="20"/>
          <w:szCs w:val="20"/>
          <w:color w:val="auto"/>
        </w:rPr>
      </w:pPr>
      <w:r>
        <w:rPr>
          <w:rFonts w:ascii="Arial" w:cs="Arial" w:eastAsia="Arial" w:hAnsi="Arial"/>
          <w:sz w:val="15"/>
          <w:szCs w:val="15"/>
          <w:b w:val="1"/>
          <w:bCs w:val="1"/>
          <w:i w:val="1"/>
          <w:iCs w:val="1"/>
          <w:color w:val="auto"/>
        </w:rPr>
        <w:t>Michelle D. Esterman</w:t>
      </w:r>
      <w:r>
        <w:rPr>
          <w:rFonts w:ascii="Arial" w:cs="Arial" w:eastAsia="Arial" w:hAnsi="Arial"/>
          <w:sz w:val="15"/>
          <w:szCs w:val="15"/>
          <w:color w:val="auto"/>
        </w:rPr>
        <w:t>. Ms. Esterman has served as Chief Financial Officer of Altisource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since August 2018. She also served as Chief Financial Officer of Altisource from March 2012 to October 2017 and as Executive Vice President, Finance of Altisource from October 2017 to August 2018. Before joining Altisource in March 2012, she served as Senior Manager, Audit &amp; Enterprise Risk Services for Deloitte &amp; Touche LLP (“Deloitte”) since 2003, including a two -year rotation with Deloitte Touche Tohmatsu, and in various roles for Deloitte from 1996 to 2003. Ms. Esterman began her career with Georgia Pacific Corporation in 1994 and is a Certified Public Accountant (Florida). She holds a Bachelor of Business Administration with a concentration in Accounting and a Master of Accountancy with a concentration in Tax from the University of North Florida.</w:t>
      </w:r>
    </w:p>
    <w:p>
      <w:pPr>
        <w:spacing w:after="0" w:line="279" w:lineRule="exact"/>
        <w:rPr>
          <w:sz w:val="20"/>
          <w:szCs w:val="20"/>
          <w:color w:val="auto"/>
        </w:rPr>
      </w:pPr>
    </w:p>
    <w:p>
      <w:pPr>
        <w:ind w:left="1060" w:right="1119"/>
        <w:spacing w:after="0" w:line="256" w:lineRule="auto"/>
        <w:rPr>
          <w:sz w:val="20"/>
          <w:szCs w:val="20"/>
          <w:color w:val="auto"/>
        </w:rPr>
      </w:pPr>
      <w:r>
        <w:rPr>
          <w:rFonts w:ascii="Arial" w:cs="Arial" w:eastAsia="Arial" w:hAnsi="Arial"/>
          <w:sz w:val="15"/>
          <w:szCs w:val="15"/>
          <w:b w:val="1"/>
          <w:bCs w:val="1"/>
          <w:i w:val="1"/>
          <w:iCs w:val="1"/>
          <w:color w:val="auto"/>
        </w:rPr>
        <w:t>Gregory J. Ritts</w:t>
      </w:r>
      <w:r>
        <w:rPr>
          <w:rFonts w:ascii="Arial" w:cs="Arial" w:eastAsia="Arial" w:hAnsi="Arial"/>
          <w:sz w:val="15"/>
          <w:szCs w:val="15"/>
          <w:color w:val="auto"/>
        </w:rPr>
        <w:t>. Mr. Ritts has served as Chief Legal and Compliance Officer of Altisource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since February 2018 and has served as General Counsel since joining Altisource in October 2014. Before joining Altisource, he served as Senior Vice President, Deputy General Counsel of Publicis Groupe, an advertising and communications group, beginning in June 2010. Mr. Ritts also served as Global Vice President of Business Affairs and Corporate Development at Razorfish LLC, and held various senior legal positions with aQuantive, Inc. and Microsoft Corporation. Mr. Ritts began his career with the law firms of Nixon Peabody and Perkins Coie as an associate attorney. He holds a Bachelor of Arts from Miami University and a Juris Doctor from the University of Michigan Law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29" w:name="page30"/>
    <w:bookmarkEnd w:id="29"/>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6" w:lineRule="exact"/>
        <w:rPr>
          <w:sz w:val="20"/>
          <w:szCs w:val="20"/>
          <w:color w:val="auto"/>
        </w:rPr>
      </w:pPr>
    </w:p>
    <w:p>
      <w:pPr>
        <w:jc w:val="right"/>
        <w:ind w:right="103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BOARD OF DIRECTORS’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-181610</wp:posOffset>
            </wp:positionV>
            <wp:extent cx="1874520" cy="1219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74520" cy="121920"/>
                    </a:xfrm>
                    <a:prstGeom prst="rect">
                      <a:avLst/>
                    </a:prstGeom>
                    <a:noFill/>
                  </pic:spPr>
                </pic:pic>
              </a:graphicData>
            </a:graphic>
          </wp:anchor>
        </w:drawing>
      </w:r>
    </w:p>
    <w:p>
      <w:pPr>
        <w:spacing w:after="0" w:line="93"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Beneficial Ownership of Common Stock</w:t>
      </w:r>
    </w:p>
    <w:p>
      <w:pPr>
        <w:spacing w:after="0" w:line="92" w:lineRule="exact"/>
        <w:rPr>
          <w:sz w:val="20"/>
          <w:szCs w:val="20"/>
          <w:color w:val="auto"/>
        </w:rPr>
      </w:pPr>
    </w:p>
    <w:p>
      <w:pPr>
        <w:ind w:left="1060" w:right="1299"/>
        <w:spacing w:after="0" w:line="287" w:lineRule="auto"/>
        <w:rPr>
          <w:sz w:val="20"/>
          <w:szCs w:val="20"/>
          <w:color w:val="auto"/>
        </w:rPr>
      </w:pPr>
      <w:r>
        <w:rPr>
          <w:rFonts w:ascii="Arial" w:cs="Arial" w:eastAsia="Arial" w:hAnsi="Arial"/>
          <w:sz w:val="15"/>
          <w:szCs w:val="15"/>
          <w:color w:val="auto"/>
        </w:rPr>
        <w:t>The following table sets forth certain information regarding the beneficial ownership of our common stock by:</w:t>
      </w:r>
    </w:p>
    <w:p>
      <w:pPr>
        <w:spacing w:after="0" w:line="74" w:lineRule="exact"/>
        <w:rPr>
          <w:sz w:val="20"/>
          <w:szCs w:val="20"/>
          <w:color w:val="auto"/>
        </w:rPr>
      </w:pPr>
    </w:p>
    <w:p>
      <w:pPr>
        <w:ind w:left="1660" w:right="1179" w:hanging="293"/>
        <w:spacing w:after="0" w:line="287" w:lineRule="auto"/>
        <w:tabs>
          <w:tab w:leader="none" w:pos="1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all persons known by Altisource to beneficially own five percent (5%) or more of the outstanding common stock;</w:t>
      </w:r>
    </w:p>
    <w:p>
      <w:pPr>
        <w:spacing w:after="0" w:line="62" w:lineRule="exact"/>
        <w:rPr>
          <w:rFonts w:ascii="Arial" w:cs="Arial" w:eastAsia="Arial" w:hAnsi="Arial"/>
          <w:sz w:val="15"/>
          <w:szCs w:val="15"/>
          <w:color w:val="auto"/>
        </w:rPr>
      </w:pPr>
    </w:p>
    <w:p>
      <w:pPr>
        <w:ind w:left="1660" w:hanging="293"/>
        <w:spacing w:after="0"/>
        <w:tabs>
          <w:tab w:leader="none" w:pos="1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each Director and Named Executive Officer of Altisource; and</w:t>
      </w:r>
    </w:p>
    <w:p>
      <w:pPr>
        <w:spacing w:after="0" w:line="132" w:lineRule="exact"/>
        <w:rPr>
          <w:rFonts w:ascii="Arial" w:cs="Arial" w:eastAsia="Arial" w:hAnsi="Arial"/>
          <w:sz w:val="15"/>
          <w:szCs w:val="15"/>
          <w:color w:val="auto"/>
        </w:rPr>
      </w:pPr>
    </w:p>
    <w:p>
      <w:pPr>
        <w:ind w:left="1660" w:hanging="293"/>
        <w:spacing w:after="0"/>
        <w:tabs>
          <w:tab w:leader="none" w:pos="1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all Directors and current executive officers of Altisource as a group.</w:t>
      </w:r>
    </w:p>
    <w:p>
      <w:pPr>
        <w:spacing w:after="0" w:line="133" w:lineRule="exact"/>
        <w:rPr>
          <w:sz w:val="20"/>
          <w:szCs w:val="20"/>
          <w:color w:val="auto"/>
        </w:rPr>
      </w:pPr>
    </w:p>
    <w:p>
      <w:pPr>
        <w:ind w:left="1060" w:right="1299"/>
        <w:spacing w:after="0" w:line="257" w:lineRule="auto"/>
        <w:rPr>
          <w:sz w:val="20"/>
          <w:szCs w:val="20"/>
          <w:color w:val="auto"/>
        </w:rPr>
      </w:pPr>
      <w:r>
        <w:rPr>
          <w:rFonts w:ascii="Arial" w:cs="Arial" w:eastAsia="Arial" w:hAnsi="Arial"/>
          <w:sz w:val="15"/>
          <w:szCs w:val="15"/>
          <w:color w:val="auto"/>
        </w:rPr>
        <w:t>The table is based upon information provided by Directors, executive officers, principal shareholders, filings under the Securities Exchange Act of 1934, as amended (the “Exchange Act”), and information in the Company’s possession as of the closing of the Transaction on February 19, 2025, as more fully described in the Company’s Form 8-K report dated February 19, 2025 (filed on February 25, 2025) or provided by the administrative agent of the Company’s senior secured term loans. Ownership percentages are based on an aggregate of 87,511,479 shares of common stock outstanding as of the record date, March 17, 2025, unless otherwise indicated in the footnotes below.</w:t>
      </w:r>
    </w:p>
    <w:p>
      <w:pPr>
        <w:spacing w:after="0" w:line="83" w:lineRule="exact"/>
        <w:rPr>
          <w:sz w:val="20"/>
          <w:szCs w:val="20"/>
          <w:color w:val="auto"/>
        </w:rPr>
      </w:pPr>
    </w:p>
    <w:p>
      <w:pPr>
        <w:ind w:left="1060" w:right="1339"/>
        <w:spacing w:after="0" w:line="269" w:lineRule="auto"/>
        <w:rPr>
          <w:sz w:val="20"/>
          <w:szCs w:val="20"/>
          <w:color w:val="auto"/>
        </w:rPr>
      </w:pPr>
      <w:r>
        <w:rPr>
          <w:rFonts w:ascii="Arial" w:cs="Arial" w:eastAsia="Arial" w:hAnsi="Arial"/>
          <w:sz w:val="15"/>
          <w:szCs w:val="15"/>
          <w:color w:val="auto"/>
        </w:rPr>
        <w:t>Unless otherwise noted, the address for contacting our Directors and Named Executive Officers listed below is: Altisource Portfolio Solutions S.A., 33, Boulevard Prince Henri, L-1724 Luxembourg City, Grand Duchy of Luxembourg.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0" w:name="page31"/>
    <w:bookmarkEnd w:id="30"/>
    <w:p>
      <w:pPr>
        <w:ind w:left="2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jc w:val="right"/>
        <w:ind w:right="103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BOARD OF DIRECTORS’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-181610</wp:posOffset>
            </wp:positionV>
            <wp:extent cx="1874520" cy="1219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74520" cy="121920"/>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p>
      <w:pPr>
        <w:spacing w:after="0" w:line="82" w:lineRule="exact"/>
        <w:rPr>
          <w:sz w:val="20"/>
          <w:szCs w:val="20"/>
          <w:color w:val="auto"/>
        </w:rPr>
      </w:pPr>
    </w:p>
    <w:p>
      <w:pPr>
        <w:jc w:val="right"/>
        <w:ind w:right="60"/>
        <w:spacing w:after="0"/>
        <w:rPr>
          <w:sz w:val="20"/>
          <w:szCs w:val="20"/>
          <w:color w:val="auto"/>
        </w:rPr>
      </w:pPr>
      <w:r>
        <w:rPr>
          <w:rFonts w:ascii="Arial" w:cs="Arial" w:eastAsia="Arial" w:hAnsi="Arial"/>
          <w:sz w:val="15"/>
          <w:szCs w:val="15"/>
          <w:b w:val="1"/>
          <w:bCs w:val="1"/>
          <w:color w:val="auto"/>
        </w:rPr>
        <w:t>Shares Beneficially Owned</w:t>
      </w:r>
      <w:r>
        <w:rPr>
          <w:rFonts w:ascii="Arial" w:cs="Arial" w:eastAsia="Arial" w:hAnsi="Arial"/>
          <w:sz w:val="19"/>
          <w:szCs w:val="19"/>
          <w:b w:val="1"/>
          <w:bCs w:val="1"/>
          <w:color w:val="auto"/>
          <w:vertAlign w:val="superscript"/>
        </w:rPr>
        <w:t>(1)</w:t>
      </w:r>
    </w:p>
    <w:p>
      <w:pPr>
        <w:ind w:left="1060"/>
        <w:spacing w:after="0"/>
        <w:rPr>
          <w:sz w:val="20"/>
          <w:szCs w:val="20"/>
          <w:color w:val="auto"/>
        </w:rPr>
      </w:pPr>
      <w:r>
        <w:rPr>
          <w:rFonts w:ascii="Arial" w:cs="Arial" w:eastAsia="Arial" w:hAnsi="Arial"/>
          <w:sz w:val="15"/>
          <w:szCs w:val="15"/>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-635</wp:posOffset>
            </wp:positionV>
            <wp:extent cx="4367530" cy="1295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67530" cy="129540"/>
                    </a:xfrm>
                    <a:prstGeom prst="rect">
                      <a:avLst/>
                    </a:prstGeom>
                    <a:noFill/>
                  </pic:spPr>
                </pic:pic>
              </a:graphicData>
            </a:graphic>
          </wp:anchor>
        </w:drawing>
      </w:r>
    </w:p>
    <w:p>
      <w:pPr>
        <w:ind w:left="1060"/>
        <w:spacing w:after="0" w:line="211" w:lineRule="auto"/>
        <w:rPr>
          <w:sz w:val="20"/>
          <w:szCs w:val="20"/>
          <w:color w:val="auto"/>
        </w:rPr>
      </w:pPr>
      <w:r>
        <w:rPr>
          <w:rFonts w:ascii="Arial" w:cs="Arial" w:eastAsia="Arial" w:hAnsi="Arial"/>
          <w:sz w:val="15"/>
          <w:szCs w:val="15"/>
          <w:color w:val="auto"/>
        </w:rPr>
        <w:t>UBS Asset Management (Americas) LLC</w:t>
      </w:r>
      <w:r>
        <w:rPr>
          <w:rFonts w:ascii="Arial" w:cs="Arial" w:eastAsia="Arial" w:hAnsi="Arial"/>
          <w:sz w:val="19"/>
          <w:szCs w:val="19"/>
          <w:color w:val="auto"/>
          <w:vertAlign w:val="superscript"/>
        </w:rPr>
        <w:t>(2)</w:t>
      </w:r>
    </w:p>
    <w:p>
      <w:pPr>
        <w:ind w:left="1060"/>
        <w:spacing w:after="0" w:line="211" w:lineRule="auto"/>
        <w:rPr>
          <w:sz w:val="20"/>
          <w:szCs w:val="20"/>
          <w:color w:val="auto"/>
        </w:rPr>
      </w:pPr>
      <w:r>
        <w:rPr>
          <w:rFonts w:ascii="Arial" w:cs="Arial" w:eastAsia="Arial" w:hAnsi="Arial"/>
          <w:sz w:val="15"/>
          <w:szCs w:val="15"/>
          <w:color w:val="auto"/>
        </w:rPr>
        <w:t>Deer Park Road Management Company, LP</w:t>
      </w:r>
      <w:r>
        <w:rPr>
          <w:rFonts w:ascii="Arial" w:cs="Arial" w:eastAsia="Arial" w:hAnsi="Arial"/>
          <w:sz w:val="19"/>
          <w:szCs w:val="19"/>
          <w:color w:val="auto"/>
          <w:vertAlign w:val="superscript"/>
        </w:rPr>
        <w:t>(3)</w:t>
      </w:r>
    </w:p>
    <w:p>
      <w:pPr>
        <w:ind w:left="1060"/>
        <w:spacing w:after="0" w:line="211" w:lineRule="auto"/>
        <w:rPr>
          <w:sz w:val="20"/>
          <w:szCs w:val="20"/>
          <w:color w:val="auto"/>
        </w:rPr>
      </w:pPr>
      <w:r>
        <w:rPr>
          <w:rFonts w:ascii="Arial" w:cs="Arial" w:eastAsia="Arial" w:hAnsi="Arial"/>
          <w:sz w:val="15"/>
          <w:szCs w:val="15"/>
          <w:color w:val="auto"/>
        </w:rPr>
        <w:t>Benefit Street Partners, LLC</w:t>
      </w:r>
      <w:r>
        <w:rPr>
          <w:rFonts w:ascii="Arial" w:cs="Arial" w:eastAsia="Arial" w:hAnsi="Arial"/>
          <w:sz w:val="19"/>
          <w:szCs w:val="19"/>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-114935</wp:posOffset>
            </wp:positionV>
            <wp:extent cx="4367530" cy="1219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67530" cy="121920"/>
                    </a:xfrm>
                    <a:prstGeom prst="rect">
                      <a:avLst/>
                    </a:prstGeom>
                    <a:noFill/>
                  </pic:spPr>
                </pic:pic>
              </a:graphicData>
            </a:graphic>
          </wp:anchor>
        </w:drawing>
      </w:r>
    </w:p>
    <w:p>
      <w:pPr>
        <w:ind w:left="1060"/>
        <w:spacing w:after="0" w:line="211" w:lineRule="auto"/>
        <w:rPr>
          <w:sz w:val="20"/>
          <w:szCs w:val="20"/>
          <w:color w:val="auto"/>
        </w:rPr>
      </w:pPr>
      <w:r>
        <w:rPr>
          <w:rFonts w:ascii="Arial" w:cs="Arial" w:eastAsia="Arial" w:hAnsi="Arial"/>
          <w:sz w:val="15"/>
          <w:szCs w:val="15"/>
          <w:color w:val="auto"/>
        </w:rPr>
        <w:t>William C. Erbey</w:t>
      </w:r>
      <w:r>
        <w:rPr>
          <w:rFonts w:ascii="Arial" w:cs="Arial" w:eastAsia="Arial" w:hAnsi="Arial"/>
          <w:sz w:val="19"/>
          <w:szCs w:val="19"/>
          <w:color w:val="auto"/>
          <w:vertAlign w:val="superscript"/>
        </w:rPr>
        <w:t>(5)</w:t>
      </w:r>
      <w:r>
        <w:rPr>
          <w:rFonts w:ascii="Arial" w:cs="Arial" w:eastAsia="Arial" w:hAnsi="Arial"/>
          <w:sz w:val="15"/>
          <w:szCs w:val="15"/>
          <w:color w:val="auto"/>
        </w:rPr>
        <w:t>​</w:t>
      </w:r>
    </w:p>
    <w:p>
      <w:pPr>
        <w:ind w:left="1060"/>
        <w:spacing w:after="0" w:line="212" w:lineRule="auto"/>
        <w:rPr>
          <w:sz w:val="20"/>
          <w:szCs w:val="20"/>
          <w:color w:val="auto"/>
        </w:rPr>
      </w:pPr>
      <w:r>
        <w:rPr>
          <w:rFonts w:ascii="Arial" w:cs="Arial" w:eastAsia="Arial" w:hAnsi="Arial"/>
          <w:sz w:val="15"/>
          <w:szCs w:val="15"/>
          <w:color w:val="auto"/>
        </w:rPr>
        <w:t>Concise Capital Management, LP</w:t>
      </w:r>
      <w:r>
        <w:rPr>
          <w:rFonts w:ascii="Arial" w:cs="Arial" w:eastAsia="Arial" w:hAnsi="Arial"/>
          <w:sz w:val="19"/>
          <w:szCs w:val="19"/>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-115570</wp:posOffset>
            </wp:positionV>
            <wp:extent cx="4367530" cy="1219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67530" cy="121920"/>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5"/>
          <w:szCs w:val="15"/>
          <w:color w:val="auto"/>
        </w:rPr>
        <w:t>PhenixFIN Corporation</w:t>
      </w:r>
      <w:r>
        <w:rPr>
          <w:rFonts w:ascii="Arial" w:cs="Arial" w:eastAsia="Arial" w:hAnsi="Arial"/>
          <w:sz w:val="19"/>
          <w:szCs w:val="19"/>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-10160</wp:posOffset>
            </wp:positionV>
            <wp:extent cx="4367530" cy="165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67530" cy="165100"/>
                    </a:xfrm>
                    <a:prstGeom prst="rect">
                      <a:avLst/>
                    </a:prstGeom>
                    <a:noFill/>
                  </pic:spPr>
                </pic:pic>
              </a:graphicData>
            </a:graphic>
          </wp:anchor>
        </w:drawing>
      </w:r>
    </w:p>
    <w:p>
      <w:pPr>
        <w:spacing w:after="0" w:line="42"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Directors and Named Executive Officers:</w:t>
      </w:r>
    </w:p>
    <w:p>
      <w:pPr>
        <w:ind w:left="1060"/>
        <w:spacing w:after="0" w:line="211" w:lineRule="auto"/>
        <w:rPr>
          <w:sz w:val="20"/>
          <w:szCs w:val="20"/>
          <w:color w:val="auto"/>
        </w:rPr>
      </w:pPr>
      <w:r>
        <w:rPr>
          <w:rFonts w:ascii="Arial" w:cs="Arial" w:eastAsia="Arial" w:hAnsi="Arial"/>
          <w:sz w:val="15"/>
          <w:szCs w:val="15"/>
          <w:color w:val="auto"/>
        </w:rPr>
        <w:t>William B. Shepro</w:t>
      </w:r>
      <w:r>
        <w:rPr>
          <w:rFonts w:ascii="Arial" w:cs="Arial" w:eastAsia="Arial" w:hAnsi="Arial"/>
          <w:sz w:val="19"/>
          <w:szCs w:val="19"/>
          <w:color w:val="auto"/>
          <w:vertAlign w:val="superscript"/>
        </w:rPr>
        <w:t>(8)</w:t>
      </w:r>
    </w:p>
    <w:p>
      <w:pPr>
        <w:ind w:left="1060"/>
        <w:spacing w:after="0" w:line="211" w:lineRule="auto"/>
        <w:rPr>
          <w:sz w:val="20"/>
          <w:szCs w:val="20"/>
          <w:color w:val="auto"/>
        </w:rPr>
      </w:pPr>
      <w:r>
        <w:rPr>
          <w:rFonts w:ascii="Arial" w:cs="Arial" w:eastAsia="Arial" w:hAnsi="Arial"/>
          <w:sz w:val="15"/>
          <w:szCs w:val="15"/>
          <w:color w:val="auto"/>
        </w:rPr>
        <w:t>Michelle D. Esterman</w:t>
      </w:r>
      <w:r>
        <w:rPr>
          <w:rFonts w:ascii="Arial" w:cs="Arial" w:eastAsia="Arial" w:hAnsi="Arial"/>
          <w:sz w:val="19"/>
          <w:szCs w:val="19"/>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-114935</wp:posOffset>
            </wp:positionV>
            <wp:extent cx="4367530" cy="1219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67530" cy="121920"/>
                    </a:xfrm>
                    <a:prstGeom prst="rect">
                      <a:avLst/>
                    </a:prstGeom>
                    <a:noFill/>
                  </pic:spPr>
                </pic:pic>
              </a:graphicData>
            </a:graphic>
          </wp:anchor>
        </w:drawing>
      </w:r>
    </w:p>
    <w:p>
      <w:pPr>
        <w:ind w:left="1060"/>
        <w:spacing w:after="0" w:line="233" w:lineRule="auto"/>
        <w:rPr>
          <w:sz w:val="20"/>
          <w:szCs w:val="20"/>
          <w:color w:val="auto"/>
        </w:rPr>
      </w:pPr>
      <w:r>
        <w:rPr>
          <w:rFonts w:ascii="Arial" w:cs="Arial" w:eastAsia="Arial" w:hAnsi="Arial"/>
          <w:sz w:val="15"/>
          <w:szCs w:val="15"/>
          <w:color w:val="auto"/>
        </w:rPr>
        <w:t>Gregory J. Ritts</w:t>
      </w:r>
      <w:r>
        <w:rPr>
          <w:rFonts w:ascii="Arial" w:cs="Arial" w:eastAsia="Arial" w:hAnsi="Arial"/>
          <w:sz w:val="19"/>
          <w:szCs w:val="19"/>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-5715</wp:posOffset>
            </wp:positionV>
            <wp:extent cx="4367530" cy="1079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67530" cy="107950"/>
                    </a:xfrm>
                    <a:prstGeom prst="rect">
                      <a:avLst/>
                    </a:prstGeom>
                    <a:noFill/>
                  </pic:spPr>
                </pic:pic>
              </a:graphicData>
            </a:graphic>
          </wp:anchor>
        </w:drawing>
      </w:r>
    </w:p>
    <w:p>
      <w:pPr>
        <w:ind w:left="1060"/>
        <w:spacing w:after="0" w:line="237" w:lineRule="auto"/>
        <w:rPr>
          <w:sz w:val="20"/>
          <w:szCs w:val="20"/>
          <w:color w:val="auto"/>
        </w:rPr>
      </w:pPr>
      <w:r>
        <w:rPr>
          <w:rFonts w:ascii="Arial" w:cs="Arial" w:eastAsia="Arial" w:hAnsi="Arial"/>
          <w:sz w:val="15"/>
          <w:szCs w:val="15"/>
          <w:color w:val="auto"/>
        </w:rPr>
        <w:t>Roland Müller-Ineichen</w:t>
      </w:r>
    </w:p>
    <w:p>
      <w:pPr>
        <w:ind w:left="1060"/>
        <w:spacing w:after="0" w:line="208" w:lineRule="auto"/>
        <w:rPr>
          <w:sz w:val="20"/>
          <w:szCs w:val="20"/>
          <w:color w:val="auto"/>
        </w:rPr>
      </w:pPr>
      <w:r>
        <w:rPr>
          <w:rFonts w:ascii="Arial" w:cs="Arial" w:eastAsia="Arial" w:hAnsi="Arial"/>
          <w:sz w:val="15"/>
          <w:szCs w:val="15"/>
          <w:color w:val="auto"/>
        </w:rPr>
        <w:t>Joseph L. Morettini</w:t>
      </w:r>
    </w:p>
    <w:p>
      <w:pPr>
        <w:ind w:left="1060"/>
        <w:spacing w:after="0" w:line="211" w:lineRule="auto"/>
        <w:rPr>
          <w:sz w:val="20"/>
          <w:szCs w:val="20"/>
          <w:color w:val="auto"/>
        </w:rPr>
      </w:pPr>
      <w:r>
        <w:rPr>
          <w:rFonts w:ascii="Arial" w:cs="Arial" w:eastAsia="Arial" w:hAnsi="Arial"/>
          <w:sz w:val="15"/>
          <w:szCs w:val="15"/>
          <w:color w:val="auto"/>
        </w:rPr>
        <w:t>John G. Aldridge, Jr.</w:t>
      </w:r>
      <w:r>
        <w:rPr>
          <w:rFonts w:ascii="Arial" w:cs="Arial" w:eastAsia="Arial" w:hAnsi="Arial"/>
          <w:sz w:val="19"/>
          <w:szCs w:val="19"/>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-114935</wp:posOffset>
            </wp:positionV>
            <wp:extent cx="4367530" cy="1219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67530" cy="121920"/>
                    </a:xfrm>
                    <a:prstGeom prst="rect">
                      <a:avLst/>
                    </a:prstGeom>
                    <a:noFill/>
                  </pic:spPr>
                </pic:pic>
              </a:graphicData>
            </a:graphic>
          </wp:anchor>
        </w:drawing>
      </w:r>
    </w:p>
    <w:p>
      <w:pPr>
        <w:ind w:left="1060"/>
        <w:spacing w:after="0" w:line="233" w:lineRule="auto"/>
        <w:rPr>
          <w:sz w:val="20"/>
          <w:szCs w:val="20"/>
          <w:color w:val="auto"/>
        </w:rPr>
      </w:pPr>
      <w:r>
        <w:rPr>
          <w:rFonts w:ascii="Arial" w:cs="Arial" w:eastAsia="Arial" w:hAnsi="Arial"/>
          <w:sz w:val="15"/>
          <w:szCs w:val="15"/>
          <w:color w:val="auto"/>
        </w:rPr>
        <w:t>Mary C. Hickok</w:t>
      </w:r>
      <w:r>
        <w:rPr>
          <w:rFonts w:ascii="Arial" w:cs="Arial" w:eastAsia="Arial" w:hAnsi="Arial"/>
          <w:sz w:val="19"/>
          <w:szCs w:val="19"/>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-5715</wp:posOffset>
            </wp:positionV>
            <wp:extent cx="4367530" cy="1079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67530" cy="107950"/>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5"/>
          <w:szCs w:val="15"/>
          <w:b w:val="1"/>
          <w:bCs w:val="1"/>
          <w:color w:val="auto"/>
        </w:rPr>
        <w:t>All Directors and Executive Officers as a Group (7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113665</wp:posOffset>
            </wp:positionV>
            <wp:extent cx="103441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3441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jc w:val="center"/>
              <w:spacing w:after="0"/>
              <w:rPr>
                <w:sz w:val="20"/>
                <w:szCs w:val="20"/>
                <w:color w:val="auto"/>
              </w:rPr>
            </w:pPr>
            <w:r>
              <w:rPr>
                <w:rFonts w:ascii="Arial" w:cs="Arial" w:eastAsia="Arial" w:hAnsi="Arial"/>
                <w:sz w:val="15"/>
                <w:szCs w:val="15"/>
                <w:b w:val="1"/>
                <w:bCs w:val="1"/>
                <w:color w:val="auto"/>
                <w:w w:val="98"/>
              </w:rPr>
              <w:t>Amount</w:t>
            </w:r>
          </w:p>
        </w:tc>
        <w:tc>
          <w:tcPr>
            <w:tcW w:w="180" w:type="dxa"/>
            <w:vAlign w:val="bottom"/>
          </w:tcPr>
          <w:p>
            <w:pPr>
              <w:spacing w:after="0"/>
              <w:rPr>
                <w:sz w:val="16"/>
                <w:szCs w:val="16"/>
                <w:color w:val="auto"/>
              </w:rPr>
            </w:pPr>
          </w:p>
        </w:tc>
        <w:tc>
          <w:tcPr>
            <w:tcW w:w="600" w:type="dxa"/>
            <w:vAlign w:val="bottom"/>
            <w:gridSpan w:val="2"/>
          </w:tcPr>
          <w:p>
            <w:pPr>
              <w:jc w:val="center"/>
              <w:spacing w:after="0"/>
              <w:rPr>
                <w:sz w:val="20"/>
                <w:szCs w:val="20"/>
                <w:color w:val="auto"/>
              </w:rPr>
            </w:pPr>
            <w:r>
              <w:rPr>
                <w:rFonts w:ascii="Arial" w:cs="Arial" w:eastAsia="Arial" w:hAnsi="Arial"/>
                <w:sz w:val="15"/>
                <w:szCs w:val="15"/>
                <w:b w:val="1"/>
                <w:bCs w:val="1"/>
                <w:color w:val="auto"/>
              </w:rPr>
              <w:t>Percent</w:t>
            </w:r>
          </w:p>
        </w:tc>
      </w:tr>
      <w:tr>
        <w:trPr>
          <w:trHeight w:val="20"/>
        </w:trPr>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140" w:type="dxa"/>
            <w:vAlign w:val="bottom"/>
          </w:tcPr>
          <w:p>
            <w:pPr>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5"/>
                <w:szCs w:val="15"/>
                <w:color w:val="auto"/>
              </w:rPr>
              <w:t>​19,739,088</w:t>
            </w:r>
          </w:p>
        </w:tc>
        <w:tc>
          <w:tcPr>
            <w:tcW w:w="560" w:type="dxa"/>
            <w:vAlign w:val="bottom"/>
          </w:tcPr>
          <w:p>
            <w:pPr>
              <w:jc w:val="center"/>
              <w:spacing w:after="0"/>
              <w:rPr>
                <w:sz w:val="20"/>
                <w:szCs w:val="20"/>
                <w:color w:val="auto"/>
              </w:rPr>
            </w:pPr>
            <w:r>
              <w:rPr>
                <w:rFonts w:ascii="Arial" w:cs="Arial" w:eastAsia="Arial" w:hAnsi="Arial"/>
                <w:sz w:val="15"/>
                <w:szCs w:val="15"/>
                <w:color w:val="auto"/>
              </w:rPr>
              <w:t>​22.56</w:t>
            </w:r>
          </w:p>
        </w:tc>
        <w:tc>
          <w:tcPr>
            <w:tcW w:w="40" w:type="dxa"/>
            <w:vAlign w:val="bottom"/>
          </w:tcPr>
          <w:p>
            <w:pPr>
              <w:spacing w:after="0"/>
              <w:rPr>
                <w:sz w:val="20"/>
                <w:szCs w:val="20"/>
                <w:color w:val="auto"/>
              </w:rPr>
            </w:pPr>
            <w:r>
              <w:rPr>
                <w:rFonts w:ascii="Arial" w:cs="Arial" w:eastAsia="Arial" w:hAnsi="Arial"/>
                <w:sz w:val="15"/>
                <w:szCs w:val="15"/>
                <w:color w:val="auto"/>
              </w:rPr>
              <w:t>​</w:t>
            </w:r>
          </w:p>
        </w:tc>
      </w:tr>
      <w:tr>
        <w:trPr>
          <w:trHeight w:val="192"/>
        </w:trPr>
        <w:tc>
          <w:tcPr>
            <w:tcW w:w="140" w:type="dxa"/>
            <w:vAlign w:val="bottom"/>
          </w:tcPr>
          <w:p>
            <w:pPr>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5"/>
                <w:szCs w:val="15"/>
                <w:color w:val="auto"/>
              </w:rPr>
              <w:t>​11,818,638</w:t>
            </w:r>
          </w:p>
        </w:tc>
        <w:tc>
          <w:tcPr>
            <w:tcW w:w="560" w:type="dxa"/>
            <w:vAlign w:val="bottom"/>
          </w:tcPr>
          <w:p>
            <w:pPr>
              <w:jc w:val="center"/>
              <w:spacing w:after="0"/>
              <w:rPr>
                <w:sz w:val="20"/>
                <w:szCs w:val="20"/>
                <w:color w:val="auto"/>
              </w:rPr>
            </w:pPr>
            <w:r>
              <w:rPr>
                <w:rFonts w:ascii="Arial" w:cs="Arial" w:eastAsia="Arial" w:hAnsi="Arial"/>
                <w:sz w:val="15"/>
                <w:szCs w:val="15"/>
                <w:color w:val="auto"/>
              </w:rPr>
              <w:t>​13.51</w:t>
            </w:r>
          </w:p>
        </w:tc>
        <w:tc>
          <w:tcPr>
            <w:tcW w:w="40" w:type="dxa"/>
            <w:vAlign w:val="bottom"/>
          </w:tcPr>
          <w:p>
            <w:pPr>
              <w:spacing w:after="0"/>
              <w:rPr>
                <w:sz w:val="20"/>
                <w:szCs w:val="20"/>
                <w:color w:val="auto"/>
              </w:rPr>
            </w:pPr>
            <w:r>
              <w:rPr>
                <w:rFonts w:ascii="Arial" w:cs="Arial" w:eastAsia="Arial" w:hAnsi="Arial"/>
                <w:sz w:val="15"/>
                <w:szCs w:val="15"/>
                <w:color w:val="auto"/>
              </w:rPr>
              <w:t>​</w:t>
            </w:r>
          </w:p>
        </w:tc>
      </w:tr>
      <w:tr>
        <w:trPr>
          <w:trHeight w:val="192"/>
        </w:trPr>
        <w:tc>
          <w:tcPr>
            <w:tcW w:w="140" w:type="dxa"/>
            <w:vAlign w:val="bottom"/>
          </w:tcPr>
          <w:p>
            <w:pPr>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5"/>
                <w:szCs w:val="15"/>
                <w:color w:val="auto"/>
              </w:rPr>
              <w:t>​ 8,675,184</w:t>
            </w:r>
          </w:p>
        </w:tc>
        <w:tc>
          <w:tcPr>
            <w:tcW w:w="560" w:type="dxa"/>
            <w:vAlign w:val="bottom"/>
          </w:tcPr>
          <w:p>
            <w:pPr>
              <w:jc w:val="center"/>
              <w:spacing w:after="0"/>
              <w:rPr>
                <w:sz w:val="20"/>
                <w:szCs w:val="20"/>
                <w:color w:val="auto"/>
              </w:rPr>
            </w:pPr>
            <w:r>
              <w:rPr>
                <w:rFonts w:ascii="Arial" w:cs="Arial" w:eastAsia="Arial" w:hAnsi="Arial"/>
                <w:sz w:val="15"/>
                <w:szCs w:val="15"/>
                <w:color w:val="auto"/>
              </w:rPr>
              <w:t>​ 9.91</w:t>
            </w:r>
          </w:p>
        </w:tc>
        <w:tc>
          <w:tcPr>
            <w:tcW w:w="40" w:type="dxa"/>
            <w:vAlign w:val="bottom"/>
          </w:tcPr>
          <w:p>
            <w:pPr>
              <w:spacing w:after="0"/>
              <w:rPr>
                <w:sz w:val="20"/>
                <w:szCs w:val="20"/>
                <w:color w:val="auto"/>
              </w:rPr>
            </w:pPr>
            <w:r>
              <w:rPr>
                <w:rFonts w:ascii="Arial" w:cs="Arial" w:eastAsia="Arial" w:hAnsi="Arial"/>
                <w:sz w:val="15"/>
                <w:szCs w:val="15"/>
                <w:color w:val="auto"/>
              </w:rPr>
              <w:t>​</w:t>
            </w:r>
          </w:p>
        </w:tc>
      </w:tr>
      <w:tr>
        <w:trPr>
          <w:trHeight w:val="192"/>
        </w:trPr>
        <w:tc>
          <w:tcPr>
            <w:tcW w:w="140" w:type="dxa"/>
            <w:vAlign w:val="bottom"/>
          </w:tcPr>
          <w:p>
            <w:pPr>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5"/>
                <w:szCs w:val="15"/>
                <w:color w:val="auto"/>
              </w:rPr>
              <w:t>​ 6,000,709</w:t>
            </w:r>
          </w:p>
        </w:tc>
        <w:tc>
          <w:tcPr>
            <w:tcW w:w="560" w:type="dxa"/>
            <w:vAlign w:val="bottom"/>
          </w:tcPr>
          <w:p>
            <w:pPr>
              <w:jc w:val="center"/>
              <w:spacing w:after="0"/>
              <w:rPr>
                <w:sz w:val="20"/>
                <w:szCs w:val="20"/>
                <w:color w:val="auto"/>
              </w:rPr>
            </w:pPr>
            <w:r>
              <w:rPr>
                <w:rFonts w:ascii="Arial" w:cs="Arial" w:eastAsia="Arial" w:hAnsi="Arial"/>
                <w:sz w:val="15"/>
                <w:szCs w:val="15"/>
                <w:color w:val="auto"/>
              </w:rPr>
              <w:t>​ 6.86</w:t>
            </w:r>
          </w:p>
        </w:tc>
        <w:tc>
          <w:tcPr>
            <w:tcW w:w="40" w:type="dxa"/>
            <w:vAlign w:val="bottom"/>
          </w:tcPr>
          <w:p>
            <w:pPr>
              <w:spacing w:after="0"/>
              <w:rPr>
                <w:sz w:val="20"/>
                <w:szCs w:val="20"/>
                <w:color w:val="auto"/>
              </w:rPr>
            </w:pPr>
            <w:r>
              <w:rPr>
                <w:rFonts w:ascii="Arial" w:cs="Arial" w:eastAsia="Arial" w:hAnsi="Arial"/>
                <w:sz w:val="15"/>
                <w:szCs w:val="15"/>
                <w:color w:val="auto"/>
              </w:rPr>
              <w:t>​</w:t>
            </w:r>
          </w:p>
        </w:tc>
      </w:tr>
      <w:tr>
        <w:trPr>
          <w:trHeight w:val="192"/>
        </w:trPr>
        <w:tc>
          <w:tcPr>
            <w:tcW w:w="140" w:type="dxa"/>
            <w:vAlign w:val="bottom"/>
          </w:tcPr>
          <w:p>
            <w:pPr>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5"/>
                <w:szCs w:val="15"/>
                <w:color w:val="auto"/>
              </w:rPr>
              <w:t>​ 5,158,667</w:t>
            </w:r>
          </w:p>
        </w:tc>
        <w:tc>
          <w:tcPr>
            <w:tcW w:w="560" w:type="dxa"/>
            <w:vAlign w:val="bottom"/>
          </w:tcPr>
          <w:p>
            <w:pPr>
              <w:jc w:val="center"/>
              <w:spacing w:after="0"/>
              <w:rPr>
                <w:sz w:val="20"/>
                <w:szCs w:val="20"/>
                <w:color w:val="auto"/>
              </w:rPr>
            </w:pPr>
            <w:r>
              <w:rPr>
                <w:rFonts w:ascii="Arial" w:cs="Arial" w:eastAsia="Arial" w:hAnsi="Arial"/>
                <w:sz w:val="15"/>
                <w:szCs w:val="15"/>
                <w:color w:val="auto"/>
              </w:rPr>
              <w:t>​ 5.89</w:t>
            </w:r>
          </w:p>
        </w:tc>
        <w:tc>
          <w:tcPr>
            <w:tcW w:w="40" w:type="dxa"/>
            <w:vAlign w:val="bottom"/>
          </w:tcPr>
          <w:p>
            <w:pPr>
              <w:spacing w:after="0"/>
              <w:rPr>
                <w:sz w:val="20"/>
                <w:szCs w:val="20"/>
                <w:color w:val="auto"/>
              </w:rPr>
            </w:pPr>
            <w:r>
              <w:rPr>
                <w:rFonts w:ascii="Arial" w:cs="Arial" w:eastAsia="Arial" w:hAnsi="Arial"/>
                <w:sz w:val="15"/>
                <w:szCs w:val="15"/>
                <w:color w:val="auto"/>
              </w:rPr>
              <w:t>​</w:t>
            </w:r>
          </w:p>
        </w:tc>
      </w:tr>
      <w:tr>
        <w:trPr>
          <w:trHeight w:val="198"/>
        </w:trPr>
        <w:tc>
          <w:tcPr>
            <w:tcW w:w="140" w:type="dxa"/>
            <w:vAlign w:val="bottom"/>
          </w:tcPr>
          <w:p>
            <w:pPr>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center"/>
              <w:ind w:right="180"/>
              <w:spacing w:after="0"/>
              <w:rPr>
                <w:sz w:val="20"/>
                <w:szCs w:val="20"/>
                <w:color w:val="auto"/>
              </w:rPr>
            </w:pPr>
            <w:r>
              <w:rPr>
                <w:rFonts w:ascii="Arial" w:cs="Arial" w:eastAsia="Arial" w:hAnsi="Arial"/>
                <w:sz w:val="15"/>
                <w:szCs w:val="15"/>
                <w:color w:val="auto"/>
              </w:rPr>
              <w:t>​ 4,377,440</w:t>
            </w:r>
          </w:p>
        </w:tc>
        <w:tc>
          <w:tcPr>
            <w:tcW w:w="560" w:type="dxa"/>
            <w:vAlign w:val="bottom"/>
          </w:tcPr>
          <w:p>
            <w:pPr>
              <w:jc w:val="center"/>
              <w:spacing w:after="0"/>
              <w:rPr>
                <w:sz w:val="20"/>
                <w:szCs w:val="20"/>
                <w:color w:val="auto"/>
              </w:rPr>
            </w:pPr>
            <w:r>
              <w:rPr>
                <w:rFonts w:ascii="Arial" w:cs="Arial" w:eastAsia="Arial" w:hAnsi="Arial"/>
                <w:sz w:val="15"/>
                <w:szCs w:val="15"/>
                <w:color w:val="auto"/>
              </w:rPr>
              <w:t>​ 5.00</w:t>
            </w:r>
          </w:p>
        </w:tc>
        <w:tc>
          <w:tcPr>
            <w:tcW w:w="40" w:type="dxa"/>
            <w:vAlign w:val="bottom"/>
          </w:tcPr>
          <w:p>
            <w:pPr>
              <w:spacing w:after="0"/>
              <w:rPr>
                <w:sz w:val="20"/>
                <w:szCs w:val="20"/>
                <w:color w:val="auto"/>
              </w:rPr>
            </w:pPr>
            <w:r>
              <w:rPr>
                <w:rFonts w:ascii="Arial" w:cs="Arial" w:eastAsia="Arial" w:hAnsi="Arial"/>
                <w:sz w:val="15"/>
                <w:szCs w:val="15"/>
                <w:color w:val="auto"/>
              </w:rPr>
              <w:t>​</w:t>
            </w:r>
          </w:p>
        </w:tc>
      </w:tr>
    </w:tbl>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 w:type="dxa"/>
            <w:vAlign w:val="bottom"/>
          </w:tcPr>
          <w:p>
            <w:pPr>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ind w:left="40"/>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spacing w:after="0"/>
              <w:rPr>
                <w:sz w:val="16"/>
                <w:szCs w:val="16"/>
                <w:color w:val="auto"/>
              </w:rPr>
            </w:pPr>
          </w:p>
        </w:tc>
        <w:tc>
          <w:tcPr>
            <w:tcW w:w="300" w:type="dxa"/>
            <w:vAlign w:val="bottom"/>
          </w:tcPr>
          <w:p>
            <w:pPr>
              <w:ind w:left="120"/>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6"/>
                <w:szCs w:val="16"/>
                <w:color w:val="auto"/>
              </w:rPr>
            </w:pPr>
          </w:p>
        </w:tc>
        <w:tc>
          <w:tcPr>
            <w:tcW w:w="80" w:type="dxa"/>
            <w:vAlign w:val="bottom"/>
          </w:tcPr>
          <w:p>
            <w:pPr>
              <w:ind w:left="40"/>
              <w:spacing w:after="0"/>
              <w:rPr>
                <w:sz w:val="20"/>
                <w:szCs w:val="20"/>
                <w:color w:val="auto"/>
              </w:rPr>
            </w:pPr>
            <w:r>
              <w:rPr>
                <w:rFonts w:ascii="Arial" w:cs="Arial" w:eastAsia="Arial" w:hAnsi="Arial"/>
                <w:sz w:val="15"/>
                <w:szCs w:val="15"/>
                <w:b w:val="1"/>
                <w:bCs w:val="1"/>
                <w:color w:val="auto"/>
              </w:rPr>
              <w:t>​</w:t>
            </w:r>
          </w:p>
        </w:tc>
      </w:tr>
      <w:tr>
        <w:trPr>
          <w:trHeight w:val="192"/>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940" w:type="dxa"/>
            <w:vAlign w:val="bottom"/>
            <w:gridSpan w:val="2"/>
          </w:tcPr>
          <w:p>
            <w:pPr>
              <w:ind w:left="40"/>
              <w:spacing w:after="0"/>
              <w:rPr>
                <w:sz w:val="20"/>
                <w:szCs w:val="20"/>
                <w:color w:val="auto"/>
              </w:rPr>
            </w:pPr>
            <w:r>
              <w:rPr>
                <w:rFonts w:ascii="Arial" w:cs="Arial" w:eastAsia="Arial" w:hAnsi="Arial"/>
                <w:sz w:val="15"/>
                <w:szCs w:val="15"/>
                <w:color w:val="auto"/>
              </w:rPr>
              <w:t>​ 1,301,658</w:t>
            </w:r>
          </w:p>
        </w:tc>
        <w:tc>
          <w:tcPr>
            <w:tcW w:w="560" w:type="dxa"/>
            <w:vAlign w:val="bottom"/>
            <w:gridSpan w:val="2"/>
          </w:tcPr>
          <w:p>
            <w:pPr>
              <w:ind w:left="120"/>
              <w:spacing w:after="0"/>
              <w:rPr>
                <w:sz w:val="20"/>
                <w:szCs w:val="20"/>
                <w:color w:val="auto"/>
              </w:rPr>
            </w:pPr>
            <w:r>
              <w:rPr>
                <w:rFonts w:ascii="Arial" w:cs="Arial" w:eastAsia="Arial" w:hAnsi="Arial"/>
                <w:sz w:val="15"/>
                <w:szCs w:val="15"/>
                <w:color w:val="auto"/>
              </w:rPr>
              <w:t>​ 1.49</w:t>
            </w:r>
          </w:p>
        </w:tc>
        <w:tc>
          <w:tcPr>
            <w:tcW w:w="80" w:type="dxa"/>
            <w:vAlign w:val="bottom"/>
          </w:tcPr>
          <w:p>
            <w:pPr>
              <w:ind w:left="40"/>
              <w:spacing w:after="0"/>
              <w:rPr>
                <w:sz w:val="20"/>
                <w:szCs w:val="20"/>
                <w:color w:val="auto"/>
              </w:rPr>
            </w:pPr>
            <w:r>
              <w:rPr>
                <w:rFonts w:ascii="Arial" w:cs="Arial" w:eastAsia="Arial" w:hAnsi="Arial"/>
                <w:sz w:val="15"/>
                <w:szCs w:val="15"/>
                <w:color w:val="auto"/>
              </w:rPr>
              <w:t>​</w:t>
            </w:r>
          </w:p>
        </w:tc>
      </w:tr>
      <w:tr>
        <w:trPr>
          <w:trHeight w:val="192"/>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80" w:type="dxa"/>
            <w:vAlign w:val="bottom"/>
          </w:tcPr>
          <w:p>
            <w:pPr>
              <w:ind w:left="4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65"/>
              <w:spacing w:after="0"/>
              <w:rPr>
                <w:sz w:val="20"/>
                <w:szCs w:val="20"/>
                <w:color w:val="auto"/>
              </w:rPr>
            </w:pPr>
            <w:r>
              <w:rPr>
                <w:rFonts w:ascii="Arial" w:cs="Arial" w:eastAsia="Arial" w:hAnsi="Arial"/>
                <w:sz w:val="15"/>
                <w:szCs w:val="15"/>
                <w:color w:val="auto"/>
              </w:rPr>
              <w:t>304,943</w:t>
            </w:r>
          </w:p>
        </w:tc>
        <w:tc>
          <w:tcPr>
            <w:tcW w:w="300" w:type="dxa"/>
            <w:vAlign w:val="bottom"/>
          </w:tcPr>
          <w:p>
            <w:pPr>
              <w:ind w:left="120"/>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ind w:left="40"/>
              <w:spacing w:after="0"/>
              <w:rPr>
                <w:sz w:val="20"/>
                <w:szCs w:val="20"/>
                <w:color w:val="auto"/>
              </w:rPr>
            </w:pPr>
            <w:r>
              <w:rPr>
                <w:rFonts w:ascii="Arial" w:cs="Arial" w:eastAsia="Arial" w:hAnsi="Arial"/>
                <w:sz w:val="15"/>
                <w:szCs w:val="15"/>
                <w:color w:val="auto"/>
              </w:rPr>
              <w:t>​</w:t>
            </w:r>
          </w:p>
        </w:tc>
      </w:tr>
      <w:tr>
        <w:trPr>
          <w:trHeight w:val="170"/>
        </w:trPr>
        <w:tc>
          <w:tcPr>
            <w:tcW w:w="100" w:type="dxa"/>
            <w:vAlign w:val="bottom"/>
          </w:tcPr>
          <w:p>
            <w:pPr>
              <w:spacing w:after="0" w:line="170" w:lineRule="exact"/>
              <w:rPr>
                <w:sz w:val="20"/>
                <w:szCs w:val="20"/>
                <w:color w:val="auto"/>
              </w:rPr>
            </w:pPr>
            <w:r>
              <w:rPr>
                <w:rFonts w:ascii="Arial" w:cs="Arial" w:eastAsia="Arial" w:hAnsi="Arial"/>
                <w:sz w:val="15"/>
                <w:szCs w:val="15"/>
                <w:color w:val="auto"/>
              </w:rPr>
              <w:t>​</w:t>
            </w:r>
          </w:p>
        </w:tc>
        <w:tc>
          <w:tcPr>
            <w:tcW w:w="180" w:type="dxa"/>
            <w:vAlign w:val="bottom"/>
          </w:tcPr>
          <w:p>
            <w:pPr>
              <w:ind w:left="40"/>
              <w:spacing w:after="0" w:line="170" w:lineRule="exact"/>
              <w:rPr>
                <w:sz w:val="20"/>
                <w:szCs w:val="20"/>
                <w:color w:val="auto"/>
              </w:rPr>
            </w:pPr>
            <w:r>
              <w:rPr>
                <w:rFonts w:ascii="Arial" w:cs="Arial" w:eastAsia="Arial" w:hAnsi="Arial"/>
                <w:sz w:val="15"/>
                <w:szCs w:val="15"/>
                <w:color w:val="auto"/>
              </w:rPr>
              <w:t>​</w:t>
            </w:r>
          </w:p>
        </w:tc>
        <w:tc>
          <w:tcPr>
            <w:tcW w:w="760" w:type="dxa"/>
            <w:vAlign w:val="bottom"/>
          </w:tcPr>
          <w:p>
            <w:pPr>
              <w:jc w:val="right"/>
              <w:ind w:right="65"/>
              <w:spacing w:after="0" w:line="170" w:lineRule="exact"/>
              <w:rPr>
                <w:sz w:val="20"/>
                <w:szCs w:val="20"/>
                <w:color w:val="auto"/>
              </w:rPr>
            </w:pPr>
            <w:r>
              <w:rPr>
                <w:rFonts w:ascii="Arial" w:cs="Arial" w:eastAsia="Arial" w:hAnsi="Arial"/>
                <w:sz w:val="15"/>
                <w:szCs w:val="15"/>
                <w:color w:val="auto"/>
              </w:rPr>
              <w:t>126,600</w:t>
            </w:r>
          </w:p>
        </w:tc>
        <w:tc>
          <w:tcPr>
            <w:tcW w:w="300" w:type="dxa"/>
            <w:vAlign w:val="bottom"/>
          </w:tcPr>
          <w:p>
            <w:pPr>
              <w:ind w:left="120"/>
              <w:spacing w:after="0" w:line="170" w:lineRule="exact"/>
              <w:rPr>
                <w:sz w:val="20"/>
                <w:szCs w:val="20"/>
                <w:color w:val="auto"/>
              </w:rPr>
            </w:pPr>
            <w:r>
              <w:rPr>
                <w:rFonts w:ascii="Arial" w:cs="Arial" w:eastAsia="Arial" w:hAnsi="Arial"/>
                <w:sz w:val="15"/>
                <w:szCs w:val="15"/>
                <w:color w:val="auto"/>
              </w:rPr>
              <w:t>​</w:t>
            </w:r>
          </w:p>
        </w:tc>
        <w:tc>
          <w:tcPr>
            <w:tcW w:w="26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80" w:type="dxa"/>
            <w:vAlign w:val="bottom"/>
          </w:tcPr>
          <w:p>
            <w:pPr>
              <w:ind w:left="40"/>
              <w:spacing w:after="0" w:line="170" w:lineRule="exact"/>
              <w:rPr>
                <w:sz w:val="20"/>
                <w:szCs w:val="20"/>
                <w:color w:val="auto"/>
              </w:rPr>
            </w:pPr>
            <w:r>
              <w:rPr>
                <w:rFonts w:ascii="Arial" w:cs="Arial" w:eastAsia="Arial" w:hAnsi="Arial"/>
                <w:sz w:val="15"/>
                <w:szCs w:val="15"/>
                <w:color w:val="auto"/>
              </w:rPr>
              <w:t>​</w:t>
            </w:r>
          </w:p>
        </w:tc>
      </w:tr>
      <w:tr>
        <w:trPr>
          <w:trHeight w:val="170"/>
        </w:trPr>
        <w:tc>
          <w:tcPr>
            <w:tcW w:w="100" w:type="dxa"/>
            <w:vAlign w:val="bottom"/>
          </w:tcPr>
          <w:p>
            <w:pPr>
              <w:spacing w:after="0" w:line="170" w:lineRule="exact"/>
              <w:rPr>
                <w:sz w:val="20"/>
                <w:szCs w:val="20"/>
                <w:color w:val="auto"/>
              </w:rPr>
            </w:pPr>
            <w:r>
              <w:rPr>
                <w:rFonts w:ascii="Arial" w:cs="Arial" w:eastAsia="Arial" w:hAnsi="Arial"/>
                <w:sz w:val="15"/>
                <w:szCs w:val="15"/>
                <w:color w:val="auto"/>
              </w:rPr>
              <w:t>​</w:t>
            </w:r>
          </w:p>
        </w:tc>
        <w:tc>
          <w:tcPr>
            <w:tcW w:w="180" w:type="dxa"/>
            <w:vAlign w:val="bottom"/>
          </w:tcPr>
          <w:p>
            <w:pPr>
              <w:ind w:left="40"/>
              <w:spacing w:after="0" w:line="170" w:lineRule="exact"/>
              <w:rPr>
                <w:sz w:val="20"/>
                <w:szCs w:val="20"/>
                <w:color w:val="auto"/>
              </w:rPr>
            </w:pPr>
            <w:r>
              <w:rPr>
                <w:rFonts w:ascii="Arial" w:cs="Arial" w:eastAsia="Arial" w:hAnsi="Arial"/>
                <w:sz w:val="15"/>
                <w:szCs w:val="15"/>
                <w:color w:val="auto"/>
              </w:rPr>
              <w:t>​</w:t>
            </w:r>
          </w:p>
        </w:tc>
        <w:tc>
          <w:tcPr>
            <w:tcW w:w="760" w:type="dxa"/>
            <w:vAlign w:val="bottom"/>
          </w:tcPr>
          <w:p>
            <w:pPr>
              <w:jc w:val="right"/>
              <w:ind w:right="65"/>
              <w:spacing w:after="0" w:line="170" w:lineRule="exact"/>
              <w:rPr>
                <w:sz w:val="20"/>
                <w:szCs w:val="20"/>
                <w:color w:val="auto"/>
              </w:rPr>
            </w:pPr>
            <w:r>
              <w:rPr>
                <w:rFonts w:ascii="Arial" w:cs="Arial" w:eastAsia="Arial" w:hAnsi="Arial"/>
                <w:sz w:val="15"/>
                <w:szCs w:val="15"/>
                <w:color w:val="auto"/>
              </w:rPr>
              <w:t>109,331</w:t>
            </w:r>
          </w:p>
        </w:tc>
        <w:tc>
          <w:tcPr>
            <w:tcW w:w="300" w:type="dxa"/>
            <w:vAlign w:val="bottom"/>
          </w:tcPr>
          <w:p>
            <w:pPr>
              <w:ind w:left="120"/>
              <w:spacing w:after="0" w:line="170" w:lineRule="exact"/>
              <w:rPr>
                <w:sz w:val="20"/>
                <w:szCs w:val="20"/>
                <w:color w:val="auto"/>
              </w:rPr>
            </w:pPr>
            <w:r>
              <w:rPr>
                <w:rFonts w:ascii="Arial" w:cs="Arial" w:eastAsia="Arial" w:hAnsi="Arial"/>
                <w:sz w:val="15"/>
                <w:szCs w:val="15"/>
                <w:color w:val="auto"/>
              </w:rPr>
              <w:t>​</w:t>
            </w:r>
          </w:p>
        </w:tc>
        <w:tc>
          <w:tcPr>
            <w:tcW w:w="26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80" w:type="dxa"/>
            <w:vAlign w:val="bottom"/>
          </w:tcPr>
          <w:p>
            <w:pPr>
              <w:ind w:left="40"/>
              <w:spacing w:after="0" w:line="170" w:lineRule="exact"/>
              <w:rPr>
                <w:sz w:val="20"/>
                <w:szCs w:val="20"/>
                <w:color w:val="auto"/>
              </w:rPr>
            </w:pPr>
            <w:r>
              <w:rPr>
                <w:rFonts w:ascii="Arial" w:cs="Arial" w:eastAsia="Arial" w:hAnsi="Arial"/>
                <w:sz w:val="15"/>
                <w:szCs w:val="15"/>
                <w:color w:val="auto"/>
              </w:rPr>
              <w:t>​</w:t>
            </w:r>
          </w:p>
        </w:tc>
      </w:tr>
      <w:tr>
        <w:trPr>
          <w:trHeight w:val="192"/>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80" w:type="dxa"/>
            <w:vAlign w:val="bottom"/>
          </w:tcPr>
          <w:p>
            <w:pPr>
              <w:ind w:left="4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65"/>
              <w:spacing w:after="0"/>
              <w:rPr>
                <w:sz w:val="20"/>
                <w:szCs w:val="20"/>
                <w:color w:val="auto"/>
              </w:rPr>
            </w:pPr>
            <w:r>
              <w:rPr>
                <w:rFonts w:ascii="Arial" w:cs="Arial" w:eastAsia="Arial" w:hAnsi="Arial"/>
                <w:sz w:val="15"/>
                <w:szCs w:val="15"/>
                <w:color w:val="auto"/>
              </w:rPr>
              <w:t>86,098</w:t>
            </w:r>
          </w:p>
        </w:tc>
        <w:tc>
          <w:tcPr>
            <w:tcW w:w="300" w:type="dxa"/>
            <w:vAlign w:val="bottom"/>
          </w:tcPr>
          <w:p>
            <w:pPr>
              <w:ind w:left="120"/>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ind w:left="40"/>
              <w:spacing w:after="0"/>
              <w:rPr>
                <w:sz w:val="20"/>
                <w:szCs w:val="20"/>
                <w:color w:val="auto"/>
              </w:rPr>
            </w:pPr>
            <w:r>
              <w:rPr>
                <w:rFonts w:ascii="Arial" w:cs="Arial" w:eastAsia="Arial" w:hAnsi="Arial"/>
                <w:sz w:val="15"/>
                <w:szCs w:val="15"/>
                <w:color w:val="auto"/>
              </w:rPr>
              <w:t>​</w:t>
            </w:r>
          </w:p>
        </w:tc>
      </w:tr>
      <w:tr>
        <w:trPr>
          <w:trHeight w:val="192"/>
        </w:trPr>
        <w:tc>
          <w:tcPr>
            <w:tcW w:w="100" w:type="dxa"/>
            <w:vAlign w:val="bottom"/>
          </w:tcPr>
          <w:p>
            <w:pPr>
              <w:spacing w:after="0"/>
              <w:rPr>
                <w:sz w:val="20"/>
                <w:szCs w:val="20"/>
                <w:color w:val="auto"/>
              </w:rPr>
            </w:pPr>
            <w:r>
              <w:rPr>
                <w:rFonts w:ascii="Arial" w:cs="Arial" w:eastAsia="Arial" w:hAnsi="Arial"/>
                <w:sz w:val="15"/>
                <w:szCs w:val="15"/>
                <w:color w:val="auto"/>
              </w:rPr>
              <w:t>​</w:t>
            </w:r>
          </w:p>
        </w:tc>
        <w:tc>
          <w:tcPr>
            <w:tcW w:w="180" w:type="dxa"/>
            <w:vAlign w:val="bottom"/>
          </w:tcPr>
          <w:p>
            <w:pPr>
              <w:ind w:left="4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65"/>
              <w:spacing w:after="0"/>
              <w:rPr>
                <w:sz w:val="20"/>
                <w:szCs w:val="20"/>
                <w:color w:val="auto"/>
              </w:rPr>
            </w:pPr>
            <w:r>
              <w:rPr>
                <w:rFonts w:ascii="Arial" w:cs="Arial" w:eastAsia="Arial" w:hAnsi="Arial"/>
                <w:sz w:val="15"/>
                <w:szCs w:val="15"/>
                <w:color w:val="auto"/>
              </w:rPr>
              <w:t>88,517</w:t>
            </w:r>
          </w:p>
        </w:tc>
        <w:tc>
          <w:tcPr>
            <w:tcW w:w="300" w:type="dxa"/>
            <w:vAlign w:val="bottom"/>
          </w:tcPr>
          <w:p>
            <w:pPr>
              <w:ind w:left="120"/>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ind w:left="40"/>
              <w:spacing w:after="0"/>
              <w:rPr>
                <w:sz w:val="20"/>
                <w:szCs w:val="20"/>
                <w:color w:val="auto"/>
              </w:rPr>
            </w:pPr>
            <w:r>
              <w:rPr>
                <w:rFonts w:ascii="Arial" w:cs="Arial" w:eastAsia="Arial" w:hAnsi="Arial"/>
                <w:sz w:val="15"/>
                <w:szCs w:val="15"/>
                <w:color w:val="auto"/>
              </w:rPr>
              <w:t>​</w:t>
            </w:r>
          </w:p>
        </w:tc>
      </w:tr>
      <w:tr>
        <w:trPr>
          <w:trHeight w:val="170"/>
        </w:trPr>
        <w:tc>
          <w:tcPr>
            <w:tcW w:w="100" w:type="dxa"/>
            <w:vAlign w:val="bottom"/>
          </w:tcPr>
          <w:p>
            <w:pPr>
              <w:spacing w:after="0" w:line="170" w:lineRule="exact"/>
              <w:rPr>
                <w:sz w:val="20"/>
                <w:szCs w:val="20"/>
                <w:color w:val="auto"/>
              </w:rPr>
            </w:pPr>
            <w:r>
              <w:rPr>
                <w:rFonts w:ascii="Arial" w:cs="Arial" w:eastAsia="Arial" w:hAnsi="Arial"/>
                <w:sz w:val="15"/>
                <w:szCs w:val="15"/>
                <w:color w:val="auto"/>
              </w:rPr>
              <w:t>​</w:t>
            </w:r>
          </w:p>
        </w:tc>
        <w:tc>
          <w:tcPr>
            <w:tcW w:w="180" w:type="dxa"/>
            <w:vAlign w:val="bottom"/>
          </w:tcPr>
          <w:p>
            <w:pPr>
              <w:ind w:left="40"/>
              <w:spacing w:after="0" w:line="170" w:lineRule="exact"/>
              <w:rPr>
                <w:sz w:val="20"/>
                <w:szCs w:val="20"/>
                <w:color w:val="auto"/>
              </w:rPr>
            </w:pPr>
            <w:r>
              <w:rPr>
                <w:rFonts w:ascii="Arial" w:cs="Arial" w:eastAsia="Arial" w:hAnsi="Arial"/>
                <w:sz w:val="15"/>
                <w:szCs w:val="15"/>
                <w:color w:val="auto"/>
              </w:rPr>
              <w:t>​</w:t>
            </w:r>
          </w:p>
        </w:tc>
        <w:tc>
          <w:tcPr>
            <w:tcW w:w="760" w:type="dxa"/>
            <w:vAlign w:val="bottom"/>
          </w:tcPr>
          <w:p>
            <w:pPr>
              <w:jc w:val="right"/>
              <w:ind w:right="65"/>
              <w:spacing w:after="0" w:line="170" w:lineRule="exact"/>
              <w:rPr>
                <w:sz w:val="20"/>
                <w:szCs w:val="20"/>
                <w:color w:val="auto"/>
              </w:rPr>
            </w:pPr>
            <w:r>
              <w:rPr>
                <w:rFonts w:ascii="Arial" w:cs="Arial" w:eastAsia="Arial" w:hAnsi="Arial"/>
                <w:sz w:val="15"/>
                <w:szCs w:val="15"/>
                <w:color w:val="auto"/>
              </w:rPr>
              <w:t>0</w:t>
            </w:r>
          </w:p>
        </w:tc>
        <w:tc>
          <w:tcPr>
            <w:tcW w:w="300" w:type="dxa"/>
            <w:vAlign w:val="bottom"/>
          </w:tcPr>
          <w:p>
            <w:pPr>
              <w:ind w:left="120"/>
              <w:spacing w:after="0" w:line="170" w:lineRule="exact"/>
              <w:rPr>
                <w:sz w:val="20"/>
                <w:szCs w:val="20"/>
                <w:color w:val="auto"/>
              </w:rPr>
            </w:pPr>
            <w:r>
              <w:rPr>
                <w:rFonts w:ascii="Arial" w:cs="Arial" w:eastAsia="Arial" w:hAnsi="Arial"/>
                <w:sz w:val="15"/>
                <w:szCs w:val="15"/>
                <w:color w:val="auto"/>
              </w:rPr>
              <w:t>​</w:t>
            </w:r>
          </w:p>
        </w:tc>
        <w:tc>
          <w:tcPr>
            <w:tcW w:w="26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80" w:type="dxa"/>
            <w:vAlign w:val="bottom"/>
          </w:tcPr>
          <w:p>
            <w:pPr>
              <w:ind w:left="40"/>
              <w:spacing w:after="0" w:line="170" w:lineRule="exact"/>
              <w:rPr>
                <w:sz w:val="20"/>
                <w:szCs w:val="20"/>
                <w:color w:val="auto"/>
              </w:rPr>
            </w:pPr>
            <w:r>
              <w:rPr>
                <w:rFonts w:ascii="Arial" w:cs="Arial" w:eastAsia="Arial" w:hAnsi="Arial"/>
                <w:sz w:val="15"/>
                <w:szCs w:val="15"/>
                <w:color w:val="auto"/>
              </w:rPr>
              <w:t>​</w:t>
            </w:r>
          </w:p>
        </w:tc>
      </w:tr>
      <w:tr>
        <w:trPr>
          <w:trHeight w:val="206"/>
        </w:trPr>
        <w:tc>
          <w:tcPr>
            <w:tcW w:w="100" w:type="dxa"/>
            <w:vAlign w:val="bottom"/>
          </w:tcPr>
          <w:p>
            <w:pPr>
              <w:spacing w:after="0"/>
              <w:rPr>
                <w:sz w:val="20"/>
                <w:szCs w:val="20"/>
                <w:color w:val="auto"/>
              </w:rPr>
            </w:pPr>
            <w:r>
              <w:rPr>
                <w:rFonts w:ascii="Arial" w:cs="Arial" w:eastAsia="Arial" w:hAnsi="Arial"/>
                <w:sz w:val="15"/>
                <w:szCs w:val="15"/>
                <w:b w:val="1"/>
                <w:bCs w:val="1"/>
                <w:color w:val="auto"/>
              </w:rPr>
              <w:t>​</w:t>
            </w:r>
          </w:p>
        </w:tc>
        <w:tc>
          <w:tcPr>
            <w:tcW w:w="940" w:type="dxa"/>
            <w:vAlign w:val="bottom"/>
            <w:gridSpan w:val="2"/>
          </w:tcPr>
          <w:p>
            <w:pPr>
              <w:ind w:left="40"/>
              <w:spacing w:after="0"/>
              <w:rPr>
                <w:sz w:val="20"/>
                <w:szCs w:val="20"/>
                <w:color w:val="auto"/>
              </w:rPr>
            </w:pPr>
            <w:r>
              <w:rPr>
                <w:rFonts w:ascii="Arial" w:cs="Arial" w:eastAsia="Arial" w:hAnsi="Arial"/>
                <w:sz w:val="15"/>
                <w:szCs w:val="15"/>
                <w:b w:val="1"/>
                <w:bCs w:val="1"/>
                <w:color w:val="auto"/>
              </w:rPr>
              <w:t>​ 2,017,147</w:t>
            </w:r>
          </w:p>
        </w:tc>
        <w:tc>
          <w:tcPr>
            <w:tcW w:w="560" w:type="dxa"/>
            <w:vAlign w:val="bottom"/>
            <w:gridSpan w:val="2"/>
          </w:tcPr>
          <w:p>
            <w:pPr>
              <w:ind w:left="120"/>
              <w:spacing w:after="0"/>
              <w:rPr>
                <w:sz w:val="20"/>
                <w:szCs w:val="20"/>
                <w:color w:val="auto"/>
              </w:rPr>
            </w:pPr>
            <w:r>
              <w:rPr>
                <w:rFonts w:ascii="Arial" w:cs="Arial" w:eastAsia="Arial" w:hAnsi="Arial"/>
                <w:sz w:val="15"/>
                <w:szCs w:val="15"/>
                <w:b w:val="1"/>
                <w:bCs w:val="1"/>
                <w:color w:val="auto"/>
              </w:rPr>
              <w:t>​ 2.30</w:t>
            </w:r>
          </w:p>
        </w:tc>
        <w:tc>
          <w:tcPr>
            <w:tcW w:w="80" w:type="dxa"/>
            <w:vAlign w:val="bottom"/>
          </w:tcPr>
          <w:p>
            <w:pPr>
              <w:ind w:left="40"/>
              <w:spacing w:after="0"/>
              <w:rPr>
                <w:sz w:val="20"/>
                <w:szCs w:val="20"/>
                <w:color w:val="auto"/>
              </w:rPr>
            </w:pPr>
            <w:r>
              <w:rPr>
                <w:rFonts w:ascii="Arial" w:cs="Arial" w:eastAsia="Arial" w:hAnsi="Arial"/>
                <w:sz w:val="15"/>
                <w:szCs w:val="15"/>
                <w:b w:val="1"/>
                <w:bCs w:val="1"/>
                <w:color w:val="auto"/>
              </w:rPr>
              <w:t>​</w:t>
            </w:r>
          </w:p>
        </w:tc>
      </w:tr>
    </w:tbl>
    <w:p>
      <w:pPr>
        <w:spacing w:after="0" w:line="200" w:lineRule="exact"/>
        <w:rPr>
          <w:sz w:val="20"/>
          <w:szCs w:val="20"/>
          <w:color w:val="auto"/>
        </w:rPr>
      </w:pPr>
    </w:p>
    <w:p>
      <w:pPr>
        <w:sectPr>
          <w:pgSz w:w="11900" w:h="16838" w:orient="portrait"/>
          <w:cols w:equalWidth="0" w:num="2">
            <w:col w:w="5580" w:space="720"/>
            <w:col w:w="2719"/>
          </w:cols>
          <w:pgMar w:left="1440" w:top="102" w:right="1440" w:bottom="1440" w:gutter="0" w:footer="0" w:header="0"/>
          <w:type w:val="continuous"/>
        </w:sectPr>
      </w:pPr>
    </w:p>
    <w:p>
      <w:pPr>
        <w:spacing w:after="0" w:line="57" w:lineRule="exact"/>
        <w:rPr>
          <w:sz w:val="20"/>
          <w:szCs w:val="20"/>
          <w:color w:val="auto"/>
        </w:rPr>
      </w:pPr>
    </w:p>
    <w:p>
      <w:pPr>
        <w:ind w:left="1360" w:hanging="295"/>
        <w:spacing w:after="0"/>
        <w:tabs>
          <w:tab w:leader="none" w:pos="13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Less than one percent (1%)</w:t>
      </w:r>
    </w:p>
    <w:p>
      <w:pPr>
        <w:spacing w:after="0" w:line="54" w:lineRule="exact"/>
        <w:rPr>
          <w:sz w:val="20"/>
          <w:szCs w:val="20"/>
          <w:color w:val="auto"/>
        </w:rPr>
      </w:pPr>
    </w:p>
    <w:p>
      <w:pPr>
        <w:ind w:left="1360" w:right="1099" w:hanging="295"/>
        <w:spacing w:after="0" w:line="242" w:lineRule="auto"/>
        <w:tabs>
          <w:tab w:leader="none" w:pos="1360" w:val="left"/>
        </w:tabs>
        <w:numPr>
          <w:ilvl w:val="0"/>
          <w:numId w:val="34"/>
        </w:numPr>
        <w:rPr>
          <w:rFonts w:ascii="Arial" w:cs="Arial" w:eastAsia="Arial" w:hAnsi="Arial"/>
          <w:sz w:val="23"/>
          <w:szCs w:val="23"/>
          <w:color w:val="auto"/>
          <w:vertAlign w:val="superscript"/>
        </w:rPr>
      </w:pPr>
      <w:r>
        <w:rPr>
          <w:rFonts w:ascii="Arial" w:cs="Arial" w:eastAsia="Arial" w:hAnsi="Arial"/>
          <w:sz w:val="15"/>
          <w:szCs w:val="15"/>
          <w:color w:val="auto"/>
        </w:rPr>
        <w:t>For purposes of this table, an individual is considered the beneficial owner of shares of common stock if he or she directly or indirectly has, or shares, voting or investment power, as defined in the rules promulgated under the Exchange Act, or has the right to acquire beneficial ownership within 60 days of March 17, 2025, the record date. Therefore, the table includes RSUs that vest within 60 days of the record date, as well as options to purchase shares of our common stock that are currently exercisable or will become exercisable within 60 days of the record date, even if the share exercise price exceeds the share value of the options. The table does not include restricted shares that do not vest within 60 days of the record date, under which the holder has no voting rights until vested. Unless otherwise indicated, an individual has sole voting and investment power with respect to the indicated shares. In accordance with Company policy, no shares have been pledged as security for indebtedness by our Named Executive Officers or Directors.</w:t>
      </w:r>
    </w:p>
    <w:p>
      <w:pPr>
        <w:spacing w:after="0" w:line="200" w:lineRule="exact"/>
        <w:rPr>
          <w:rFonts w:ascii="Arial" w:cs="Arial" w:eastAsia="Arial" w:hAnsi="Arial"/>
          <w:sz w:val="23"/>
          <w:szCs w:val="23"/>
          <w:color w:val="auto"/>
          <w:vertAlign w:val="superscript"/>
        </w:rPr>
      </w:pPr>
    </w:p>
    <w:p>
      <w:pPr>
        <w:spacing w:after="0" w:line="203" w:lineRule="exact"/>
        <w:rPr>
          <w:rFonts w:ascii="Arial" w:cs="Arial" w:eastAsia="Arial" w:hAnsi="Arial"/>
          <w:sz w:val="23"/>
          <w:szCs w:val="23"/>
          <w:color w:val="auto"/>
          <w:vertAlign w:val="superscript"/>
        </w:rPr>
      </w:pPr>
    </w:p>
    <w:p>
      <w:pPr>
        <w:ind w:left="1360" w:right="1159" w:hanging="295"/>
        <w:spacing w:after="0"/>
        <w:tabs>
          <w:tab w:leader="none" w:pos="1360" w:val="left"/>
        </w:tabs>
        <w:numPr>
          <w:ilvl w:val="0"/>
          <w:numId w:val="34"/>
        </w:numPr>
        <w:rPr>
          <w:rFonts w:ascii="Arial" w:cs="Arial" w:eastAsia="Arial" w:hAnsi="Arial"/>
          <w:sz w:val="23"/>
          <w:szCs w:val="23"/>
          <w:color w:val="auto"/>
          <w:vertAlign w:val="superscript"/>
        </w:rPr>
      </w:pPr>
      <w:r>
        <w:rPr>
          <w:rFonts w:ascii="Arial" w:cs="Arial" w:eastAsia="Arial" w:hAnsi="Arial"/>
          <w:sz w:val="15"/>
          <w:szCs w:val="15"/>
          <w:color w:val="auto"/>
        </w:rPr>
        <w:t>Based upon information contained in a Schedule 13D filed with the SEC on February 26, 2025.</w:t>
      </w:r>
    </w:p>
    <w:p>
      <w:pPr>
        <w:spacing w:after="0" w:line="142" w:lineRule="exact"/>
        <w:rPr>
          <w:rFonts w:ascii="Arial" w:cs="Arial" w:eastAsia="Arial" w:hAnsi="Arial"/>
          <w:sz w:val="23"/>
          <w:szCs w:val="23"/>
          <w:color w:val="auto"/>
          <w:vertAlign w:val="superscript"/>
        </w:rPr>
      </w:pPr>
    </w:p>
    <w:p>
      <w:pPr>
        <w:ind w:left="1360" w:right="1139" w:hanging="295"/>
        <w:spacing w:after="0" w:line="243" w:lineRule="auto"/>
        <w:tabs>
          <w:tab w:leader="none" w:pos="1360" w:val="left"/>
        </w:tabs>
        <w:numPr>
          <w:ilvl w:val="0"/>
          <w:numId w:val="34"/>
        </w:numPr>
        <w:rPr>
          <w:rFonts w:ascii="Arial" w:cs="Arial" w:eastAsia="Arial" w:hAnsi="Arial"/>
          <w:sz w:val="23"/>
          <w:szCs w:val="23"/>
          <w:color w:val="auto"/>
          <w:vertAlign w:val="superscript"/>
        </w:rPr>
      </w:pPr>
      <w:r>
        <w:rPr>
          <w:rFonts w:ascii="Arial" w:cs="Arial" w:eastAsia="Arial" w:hAnsi="Arial"/>
          <w:sz w:val="15"/>
          <w:szCs w:val="15"/>
          <w:color w:val="auto"/>
        </w:rPr>
        <w:t>Based on information contained in a Schedule 13D filed with the SEC on March 5, 2025, by Deer Park Road Management Company, LP, with shared voting power with Deer Park Road Corp., Deer Park Road Management GP, LLC, AgateCreek LLC, Michael Craig-Scheckman and Scott Edward Burg (collectively, the “Reporting Managers”). The Reporting Managers’ holdings consist of 15,092,491 shares and 125 restricted shares granted to Mary Hickok (which are scheduled to vest within 60 days of March 17, 2025) for her service on our Board, adjusted to account for a transfer of shares on March 17, 2025, as reported by the Company's transfer agent. Shares granted to Ms. Hickok for her service on our Board are transferred to the account of DPR CC LLC, a C-Corp wholly owned by Deer Park/STS Master Fund, Ltd., over which the Deer Park Reporting Managers share voting and dispositive power. Deer Park serves as investment adviser to STS Master Fund, Ltd., an exempt company organized under the laws of the Cayman Islands. The business address of the Deer Park Reporting Managers is 1195 Bangtail Way, Steamboat Springs, Colorado 80487.</w:t>
      </w:r>
    </w:p>
    <w:p>
      <w:pPr>
        <w:spacing w:after="0" w:line="215" w:lineRule="exact"/>
        <w:rPr>
          <w:rFonts w:ascii="Arial" w:cs="Arial" w:eastAsia="Arial" w:hAnsi="Arial"/>
          <w:sz w:val="23"/>
          <w:szCs w:val="23"/>
          <w:color w:val="auto"/>
          <w:vertAlign w:val="superscript"/>
        </w:rPr>
      </w:pPr>
    </w:p>
    <w:p>
      <w:pPr>
        <w:ind w:left="1360" w:right="1219" w:hanging="295"/>
        <w:spacing w:after="0" w:line="208" w:lineRule="auto"/>
        <w:tabs>
          <w:tab w:leader="none" w:pos="1360" w:val="left"/>
        </w:tabs>
        <w:numPr>
          <w:ilvl w:val="0"/>
          <w:numId w:val="34"/>
        </w:numPr>
        <w:rPr>
          <w:rFonts w:ascii="Arial" w:cs="Arial" w:eastAsia="Arial" w:hAnsi="Arial"/>
          <w:sz w:val="23"/>
          <w:szCs w:val="23"/>
          <w:color w:val="auto"/>
          <w:vertAlign w:val="superscript"/>
        </w:rPr>
      </w:pPr>
      <w:r>
        <w:rPr>
          <w:rFonts w:ascii="Arial" w:cs="Arial" w:eastAsia="Arial" w:hAnsi="Arial"/>
          <w:sz w:val="15"/>
          <w:szCs w:val="15"/>
          <w:color w:val="auto"/>
        </w:rPr>
        <w:t>Based on information in the Company’s possession as of the closing of the Transaction on February 19, 2025 and information provided by the Company’s transfer agent.</w:t>
      </w:r>
    </w:p>
    <w:p>
      <w:pPr>
        <w:spacing w:after="0" w:line="28" w:lineRule="exact"/>
        <w:rPr>
          <w:rFonts w:ascii="Arial" w:cs="Arial" w:eastAsia="Arial" w:hAnsi="Arial"/>
          <w:sz w:val="23"/>
          <w:szCs w:val="23"/>
          <w:color w:val="auto"/>
          <w:vertAlign w:val="superscript"/>
        </w:rPr>
      </w:pPr>
    </w:p>
    <w:p>
      <w:pPr>
        <w:ind w:left="1360" w:right="1499" w:hanging="295"/>
        <w:spacing w:after="0" w:line="206" w:lineRule="auto"/>
        <w:tabs>
          <w:tab w:leader="none" w:pos="1360" w:val="left"/>
        </w:tabs>
        <w:numPr>
          <w:ilvl w:val="0"/>
          <w:numId w:val="34"/>
        </w:numPr>
        <w:rPr>
          <w:rFonts w:ascii="Arial" w:cs="Arial" w:eastAsia="Arial" w:hAnsi="Arial"/>
          <w:sz w:val="23"/>
          <w:szCs w:val="23"/>
          <w:color w:val="auto"/>
          <w:vertAlign w:val="superscript"/>
        </w:rPr>
      </w:pPr>
      <w:r>
        <w:rPr>
          <w:rFonts w:ascii="Arial" w:cs="Arial" w:eastAsia="Arial" w:hAnsi="Arial"/>
          <w:sz w:val="15"/>
          <w:szCs w:val="15"/>
          <w:color w:val="auto"/>
        </w:rPr>
        <w:t>Based on information contained in a Schedule 13D/A filed with the SEC on May 21, 2021, Mr. Erbey’s holdings consist of (i) 548,220 shares of common stock held by</w:t>
      </w:r>
    </w:p>
    <w:p>
      <w:pPr>
        <w:ind w:left="1360" w:right="1099"/>
        <w:spacing w:after="0" w:line="253" w:lineRule="auto"/>
        <w:rPr>
          <w:rFonts w:ascii="Arial" w:cs="Arial" w:eastAsia="Arial" w:hAnsi="Arial"/>
          <w:sz w:val="23"/>
          <w:szCs w:val="23"/>
          <w:color w:val="auto"/>
          <w:vertAlign w:val="superscript"/>
        </w:rPr>
      </w:pPr>
      <w:r>
        <w:rPr>
          <w:rFonts w:ascii="Arial" w:cs="Arial" w:eastAsia="Arial" w:hAnsi="Arial"/>
          <w:sz w:val="15"/>
          <w:szCs w:val="15"/>
          <w:color w:val="auto"/>
        </w:rPr>
        <w:t>Mr. Erbey and (ii) 5,452,489 shares of common stock held by Salt Pond Holdings, LLC, a United States Virgin Islands limited liability company (“Salt Pond”), of which the Christiansted Trust, a United States Virgin Islands trust (the “C-Trust”) and Erbey Holding Corporation, Inc., a Delaware corporation (“Erbey Holding”) are members. Erbey Holding is wholly owned by the Carisma Trust, a Nevada trust, the trustee of which is Venia, LLC, a Nevada limited liability company (“Venia”). The members of Venia are John Erbey (Mr. Erbey’s brother) and Andrew Burnett, although Mr. Erbey is given sole investment and voting control over any securities owned by Venia or the Carisma Trust. Mr. Erbey, John Erbey and Salt Pond are co-trustees of the C-Trust. Mr. Erbey, Erbey Holding,</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type w:val="continuous"/>
        </w:sectPr>
      </w:pPr>
    </w:p>
    <w:bookmarkStart w:id="31" w:name="page32"/>
    <w:bookmarkEnd w:id="31"/>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6" w:lineRule="exact"/>
        <w:rPr>
          <w:sz w:val="20"/>
          <w:szCs w:val="20"/>
          <w:color w:val="auto"/>
        </w:rPr>
      </w:pPr>
    </w:p>
    <w:p>
      <w:pPr>
        <w:ind w:left="500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BOARD OF DIRECTORS’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-181610</wp:posOffset>
            </wp:positionV>
            <wp:extent cx="1874520" cy="1219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74520" cy="121920"/>
                    </a:xfrm>
                    <a:prstGeom prst="rect">
                      <a:avLst/>
                    </a:prstGeom>
                    <a:noFill/>
                  </pic:spPr>
                </pic:pic>
              </a:graphicData>
            </a:graphic>
          </wp:anchor>
        </w:drawing>
      </w:r>
    </w:p>
    <w:p>
      <w:pPr>
        <w:spacing w:after="0" w:line="97" w:lineRule="exact"/>
        <w:rPr>
          <w:sz w:val="20"/>
          <w:szCs w:val="20"/>
          <w:color w:val="auto"/>
        </w:rPr>
      </w:pPr>
    </w:p>
    <w:p>
      <w:pPr>
        <w:jc w:val="both"/>
        <w:ind w:left="1360" w:right="1259"/>
        <w:spacing w:after="0" w:line="259" w:lineRule="auto"/>
        <w:rPr>
          <w:sz w:val="20"/>
          <w:szCs w:val="20"/>
          <w:color w:val="auto"/>
        </w:rPr>
      </w:pPr>
      <w:r>
        <w:rPr>
          <w:rFonts w:ascii="Arial" w:cs="Arial" w:eastAsia="Arial" w:hAnsi="Arial"/>
          <w:sz w:val="15"/>
          <w:szCs w:val="15"/>
          <w:color w:val="auto"/>
        </w:rPr>
        <w:t>the C-Trust, the Carisma Trust and Venia each may be deemed to beneficially own the 5,452,489 shares of common stock held by Salt Pond. Mr. Erbey’s business address is P.O. Box 25437, Christiansted, United States Virgin Islands 00824.</w:t>
      </w:r>
    </w:p>
    <w:p>
      <w:pPr>
        <w:spacing w:after="0" w:line="30" w:lineRule="exact"/>
        <w:rPr>
          <w:sz w:val="20"/>
          <w:szCs w:val="20"/>
          <w:color w:val="auto"/>
        </w:rPr>
      </w:pPr>
    </w:p>
    <w:p>
      <w:pPr>
        <w:ind w:left="1360" w:right="1339" w:hanging="295"/>
        <w:spacing w:after="0" w:line="208" w:lineRule="auto"/>
        <w:tabs>
          <w:tab w:leader="none" w:pos="1360" w:val="left"/>
        </w:tabs>
        <w:numPr>
          <w:ilvl w:val="0"/>
          <w:numId w:val="35"/>
        </w:numPr>
        <w:rPr>
          <w:rFonts w:ascii="Arial" w:cs="Arial" w:eastAsia="Arial" w:hAnsi="Arial"/>
          <w:sz w:val="23"/>
          <w:szCs w:val="23"/>
          <w:color w:val="auto"/>
          <w:vertAlign w:val="superscript"/>
        </w:rPr>
      </w:pPr>
      <w:r>
        <w:rPr>
          <w:rFonts w:ascii="Arial" w:cs="Arial" w:eastAsia="Arial" w:hAnsi="Arial"/>
          <w:sz w:val="15"/>
          <w:szCs w:val="15"/>
          <w:color w:val="auto"/>
        </w:rPr>
        <w:t>Based on information contained in a Schedule 13G filed with the SEC on February 27, 2025, with shared voting power with Glenn Koach and Thomas P. Krasner.</w:t>
      </w:r>
    </w:p>
    <w:p>
      <w:pPr>
        <w:ind w:left="1360" w:hanging="295"/>
        <w:spacing w:after="0" w:line="205" w:lineRule="auto"/>
        <w:tabs>
          <w:tab w:leader="none" w:pos="1360" w:val="left"/>
        </w:tabs>
        <w:numPr>
          <w:ilvl w:val="0"/>
          <w:numId w:val="35"/>
        </w:numPr>
        <w:rPr>
          <w:rFonts w:ascii="Arial" w:cs="Arial" w:eastAsia="Arial" w:hAnsi="Arial"/>
          <w:sz w:val="23"/>
          <w:szCs w:val="23"/>
          <w:color w:val="auto"/>
          <w:vertAlign w:val="superscript"/>
        </w:rPr>
      </w:pPr>
      <w:r>
        <w:rPr>
          <w:rFonts w:ascii="Arial" w:cs="Arial" w:eastAsia="Arial" w:hAnsi="Arial"/>
          <w:sz w:val="15"/>
          <w:szCs w:val="15"/>
          <w:color w:val="auto"/>
        </w:rPr>
        <w:t>Based on information contained in a Schedule 13G filed with the SEC on March 5, 2025.</w:t>
      </w:r>
    </w:p>
    <w:p>
      <w:pPr>
        <w:spacing w:after="0" w:line="53" w:lineRule="exact"/>
        <w:rPr>
          <w:rFonts w:ascii="Arial" w:cs="Arial" w:eastAsia="Arial" w:hAnsi="Arial"/>
          <w:sz w:val="23"/>
          <w:szCs w:val="23"/>
          <w:color w:val="auto"/>
          <w:vertAlign w:val="superscript"/>
        </w:rPr>
      </w:pPr>
    </w:p>
    <w:p>
      <w:pPr>
        <w:ind w:left="1360" w:hanging="295"/>
        <w:spacing w:after="0" w:line="188" w:lineRule="auto"/>
        <w:tabs>
          <w:tab w:leader="none" w:pos="1360" w:val="left"/>
        </w:tabs>
        <w:numPr>
          <w:ilvl w:val="0"/>
          <w:numId w:val="35"/>
        </w:numPr>
        <w:rPr>
          <w:rFonts w:ascii="Arial" w:cs="Arial" w:eastAsia="Arial" w:hAnsi="Arial"/>
          <w:sz w:val="20"/>
          <w:szCs w:val="20"/>
          <w:color w:val="auto"/>
          <w:vertAlign w:val="superscript"/>
        </w:rPr>
      </w:pPr>
      <w:r>
        <w:rPr>
          <w:rFonts w:ascii="Arial" w:cs="Arial" w:eastAsia="Arial" w:hAnsi="Arial"/>
          <w:sz w:val="13"/>
          <w:szCs w:val="13"/>
          <w:color w:val="auto"/>
        </w:rPr>
        <w:t>Includes options to purchase 252,400 shares exercisable on or within 60 days of</w:t>
      </w:r>
    </w:p>
    <w:p>
      <w:pPr>
        <w:ind w:left="1360" w:right="1159"/>
        <w:spacing w:after="0" w:line="253" w:lineRule="auto"/>
        <w:rPr>
          <w:rFonts w:ascii="Arial" w:cs="Arial" w:eastAsia="Arial" w:hAnsi="Arial"/>
          <w:sz w:val="20"/>
          <w:szCs w:val="20"/>
          <w:color w:val="auto"/>
          <w:vertAlign w:val="superscript"/>
        </w:rPr>
      </w:pPr>
      <w:r>
        <w:rPr>
          <w:rFonts w:ascii="Arial" w:cs="Arial" w:eastAsia="Arial" w:hAnsi="Arial"/>
          <w:sz w:val="15"/>
          <w:szCs w:val="15"/>
          <w:color w:val="auto"/>
        </w:rPr>
        <w:t>March 17, 2025, 1,006,282 shares held by the William B. Shepro Revocable Trust (as to which Mr. and Mrs. Shepro share voting and dispositive power) and 42,976 restricted shares scheduled to vest within 60 days of March 17, 2025.</w:t>
      </w:r>
    </w:p>
    <w:p>
      <w:pPr>
        <w:ind w:left="1360" w:hanging="295"/>
        <w:spacing w:after="0" w:line="202" w:lineRule="auto"/>
        <w:tabs>
          <w:tab w:leader="none" w:pos="1360" w:val="left"/>
        </w:tabs>
        <w:numPr>
          <w:ilvl w:val="0"/>
          <w:numId w:val="35"/>
        </w:numPr>
        <w:rPr>
          <w:rFonts w:ascii="Arial" w:cs="Arial" w:eastAsia="Arial" w:hAnsi="Arial"/>
          <w:sz w:val="23"/>
          <w:szCs w:val="23"/>
          <w:color w:val="auto"/>
          <w:vertAlign w:val="superscript"/>
        </w:rPr>
      </w:pPr>
      <w:r>
        <w:rPr>
          <w:rFonts w:ascii="Arial" w:cs="Arial" w:eastAsia="Arial" w:hAnsi="Arial"/>
          <w:sz w:val="15"/>
          <w:szCs w:val="15"/>
          <w:color w:val="auto"/>
        </w:rPr>
        <w:t>Includes options to purchase 30,716 shares exercisable on or within 60 days of</w:t>
      </w:r>
    </w:p>
    <w:p>
      <w:pPr>
        <w:jc w:val="both"/>
        <w:ind w:left="1360" w:right="1219"/>
        <w:spacing w:after="0" w:line="266" w:lineRule="auto"/>
        <w:rPr>
          <w:rFonts w:ascii="Arial" w:cs="Arial" w:eastAsia="Arial" w:hAnsi="Arial"/>
          <w:sz w:val="23"/>
          <w:szCs w:val="23"/>
          <w:color w:val="auto"/>
          <w:vertAlign w:val="superscript"/>
        </w:rPr>
      </w:pPr>
      <w:r>
        <w:rPr>
          <w:rFonts w:ascii="Arial" w:cs="Arial" w:eastAsia="Arial" w:hAnsi="Arial"/>
          <w:sz w:val="15"/>
          <w:szCs w:val="15"/>
          <w:color w:val="auto"/>
        </w:rPr>
        <w:t>March 17, 2025, 264,262 shares held jointly by Ms. Esterman and her spouse, Gregory F. Esterman and 9,965 restricted shares scheduled to vest within 60 days of March 17, 2025.</w:t>
      </w:r>
    </w:p>
    <w:p>
      <w:pPr>
        <w:spacing w:after="0" w:line="191" w:lineRule="exact"/>
        <w:rPr>
          <w:rFonts w:ascii="Arial" w:cs="Arial" w:eastAsia="Arial" w:hAnsi="Arial"/>
          <w:sz w:val="23"/>
          <w:szCs w:val="23"/>
          <w:color w:val="auto"/>
          <w:vertAlign w:val="superscript"/>
        </w:rPr>
      </w:pPr>
    </w:p>
    <w:p>
      <w:pPr>
        <w:ind w:left="1360" w:right="1419" w:hanging="295"/>
        <w:spacing w:after="0" w:line="220" w:lineRule="auto"/>
        <w:tabs>
          <w:tab w:leader="none" w:pos="1360" w:val="left"/>
        </w:tabs>
        <w:numPr>
          <w:ilvl w:val="0"/>
          <w:numId w:val="35"/>
        </w:numPr>
        <w:rPr>
          <w:rFonts w:ascii="Arial" w:cs="Arial" w:eastAsia="Arial" w:hAnsi="Arial"/>
          <w:sz w:val="23"/>
          <w:szCs w:val="23"/>
          <w:color w:val="auto"/>
          <w:vertAlign w:val="superscript"/>
        </w:rPr>
      </w:pPr>
      <w:r>
        <w:rPr>
          <w:rFonts w:ascii="Arial" w:cs="Arial" w:eastAsia="Arial" w:hAnsi="Arial"/>
          <w:sz w:val="15"/>
          <w:szCs w:val="15"/>
          <w:color w:val="auto"/>
        </w:rPr>
        <w:t>Includes options to purchase 27,642 shares exercisable on or within 60 days of March 17, 2025, 89,921 shares held directly by Mr. Ritts and 9,037 restricted shares scheduled to vest within 60 days of March 17, 2025.</w:t>
      </w:r>
    </w:p>
    <w:p>
      <w:pPr>
        <w:spacing w:after="0" w:line="29" w:lineRule="exact"/>
        <w:rPr>
          <w:rFonts w:ascii="Arial" w:cs="Arial" w:eastAsia="Arial" w:hAnsi="Arial"/>
          <w:sz w:val="23"/>
          <w:szCs w:val="23"/>
          <w:color w:val="auto"/>
          <w:vertAlign w:val="superscript"/>
        </w:rPr>
      </w:pPr>
    </w:p>
    <w:p>
      <w:pPr>
        <w:ind w:left="1360" w:right="1719" w:hanging="295"/>
        <w:spacing w:after="0" w:line="208" w:lineRule="auto"/>
        <w:tabs>
          <w:tab w:leader="none" w:pos="1360" w:val="left"/>
        </w:tabs>
        <w:numPr>
          <w:ilvl w:val="0"/>
          <w:numId w:val="35"/>
        </w:numPr>
        <w:rPr>
          <w:rFonts w:ascii="Arial" w:cs="Arial" w:eastAsia="Arial" w:hAnsi="Arial"/>
          <w:sz w:val="23"/>
          <w:szCs w:val="23"/>
          <w:color w:val="auto"/>
          <w:vertAlign w:val="superscript"/>
        </w:rPr>
      </w:pPr>
      <w:r>
        <w:rPr>
          <w:rFonts w:ascii="Arial" w:cs="Arial" w:eastAsia="Arial" w:hAnsi="Arial"/>
          <w:sz w:val="15"/>
          <w:szCs w:val="15"/>
          <w:color w:val="auto"/>
        </w:rPr>
        <w:t>Consists of 88,392 shares of common stock held directly by Mr. Aldridge and 125 restricted shares scheduled to vest within 60 days of March 17, 2025.</w:t>
      </w:r>
    </w:p>
    <w:p>
      <w:pPr>
        <w:spacing w:after="0" w:line="28" w:lineRule="exact"/>
        <w:rPr>
          <w:rFonts w:ascii="Arial" w:cs="Arial" w:eastAsia="Arial" w:hAnsi="Arial"/>
          <w:sz w:val="23"/>
          <w:szCs w:val="23"/>
          <w:color w:val="auto"/>
          <w:vertAlign w:val="superscript"/>
        </w:rPr>
      </w:pPr>
    </w:p>
    <w:p>
      <w:pPr>
        <w:ind w:left="1360" w:right="1299" w:hanging="295"/>
        <w:spacing w:after="0" w:line="208" w:lineRule="auto"/>
        <w:tabs>
          <w:tab w:leader="none" w:pos="1360" w:val="left"/>
        </w:tabs>
        <w:numPr>
          <w:ilvl w:val="0"/>
          <w:numId w:val="35"/>
        </w:numPr>
        <w:rPr>
          <w:rFonts w:ascii="Arial" w:cs="Arial" w:eastAsia="Arial" w:hAnsi="Arial"/>
          <w:sz w:val="23"/>
          <w:szCs w:val="23"/>
          <w:color w:val="auto"/>
          <w:vertAlign w:val="superscript"/>
        </w:rPr>
      </w:pPr>
      <w:r>
        <w:rPr>
          <w:rFonts w:ascii="Arial" w:cs="Arial" w:eastAsia="Arial" w:hAnsi="Arial"/>
          <w:sz w:val="15"/>
          <w:szCs w:val="15"/>
          <w:color w:val="auto"/>
        </w:rPr>
        <w:t>Shares received by Ms. Hickok for her services as Director are transferred to the account of DPR CC LLC, a C-Corp wholly owned by Deer Park/STS Master Fund, Ltd.</w:t>
      </w:r>
    </w:p>
    <w:p>
      <w:pPr>
        <w:spacing w:after="0" w:line="160"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Equity Compensation Plan Information</w:t>
      </w:r>
    </w:p>
    <w:p>
      <w:pPr>
        <w:spacing w:after="0" w:line="92" w:lineRule="exact"/>
        <w:rPr>
          <w:sz w:val="20"/>
          <w:szCs w:val="20"/>
          <w:color w:val="auto"/>
        </w:rPr>
      </w:pPr>
    </w:p>
    <w:p>
      <w:pPr>
        <w:jc w:val="both"/>
        <w:ind w:left="1060" w:right="1119"/>
        <w:spacing w:after="0" w:line="279" w:lineRule="auto"/>
        <w:rPr>
          <w:sz w:val="20"/>
          <w:szCs w:val="20"/>
          <w:color w:val="auto"/>
        </w:rPr>
      </w:pPr>
      <w:r>
        <w:rPr>
          <w:rFonts w:ascii="Arial" w:cs="Arial" w:eastAsia="Arial" w:hAnsi="Arial"/>
          <w:sz w:val="15"/>
          <w:szCs w:val="15"/>
          <w:color w:val="auto"/>
        </w:rPr>
        <w:t>The following table sets forth information as of the end of the most recently completed fiscal year with respect to compensation plans under which our equity securities are authorized for issuance.</w:t>
      </w:r>
    </w:p>
    <w:p>
      <w:pPr>
        <w:spacing w:after="0" w:line="264" w:lineRule="exact"/>
        <w:rPr>
          <w:sz w:val="20"/>
          <w:szCs w:val="20"/>
          <w:color w:val="auto"/>
        </w:rPr>
      </w:pPr>
    </w:p>
    <w:tbl>
      <w:tblPr>
        <w:tblLayout w:type="fixed"/>
        <w:tblInd w:w="1060" w:type="dxa"/>
        <w:tblCellMar>
          <w:top w:w="0" w:type="dxa"/>
          <w:left w:w="0" w:type="dxa"/>
          <w:bottom w:w="0" w:type="dxa"/>
          <w:right w:w="0" w:type="dxa"/>
        </w:tblCellMar>
      </w:tblPr>
      <w:tr>
        <w:trPr>
          <w:trHeight w:val="172"/>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5"/>
                <w:szCs w:val="15"/>
                <w:b w:val="1"/>
                <w:bCs w:val="1"/>
                <w:color w:val="auto"/>
              </w:rPr>
              <w:t>Number of securities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9"/>
              </w:rPr>
              <w:t>Weighted average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Number of securities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jc w:val="center"/>
              <w:spacing w:after="0" w:line="151" w:lineRule="exact"/>
              <w:rPr>
                <w:sz w:val="20"/>
                <w:szCs w:val="20"/>
                <w:color w:val="auto"/>
              </w:rPr>
            </w:pPr>
            <w:r>
              <w:rPr>
                <w:rFonts w:ascii="Arial" w:cs="Arial" w:eastAsia="Arial" w:hAnsi="Arial"/>
                <w:sz w:val="15"/>
                <w:szCs w:val="15"/>
                <w:b w:val="1"/>
                <w:bCs w:val="1"/>
                <w:color w:val="auto"/>
                <w:w w:val="99"/>
              </w:rPr>
              <w:t>to be issued upon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jc w:val="center"/>
              <w:spacing w:after="0" w:line="159" w:lineRule="exact"/>
              <w:rPr>
                <w:sz w:val="20"/>
                <w:szCs w:val="20"/>
                <w:color w:val="auto"/>
              </w:rPr>
            </w:pPr>
            <w:r>
              <w:rPr>
                <w:rFonts w:ascii="Arial" w:cs="Arial" w:eastAsia="Arial" w:hAnsi="Arial"/>
                <w:sz w:val="15"/>
                <w:szCs w:val="15"/>
                <w:b w:val="1"/>
                <w:bCs w:val="1"/>
                <w:color w:val="auto"/>
                <w:w w:val="99"/>
              </w:rPr>
              <w:t>exercise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spacing w:after="0" w:line="159" w:lineRule="exact"/>
              <w:rPr>
                <w:sz w:val="20"/>
                <w:szCs w:val="20"/>
                <w:color w:val="auto"/>
              </w:rPr>
            </w:pPr>
            <w:r>
              <w:rPr>
                <w:rFonts w:ascii="Arial" w:cs="Arial" w:eastAsia="Arial" w:hAnsi="Arial"/>
                <w:sz w:val="15"/>
                <w:szCs w:val="15"/>
                <w:b w:val="1"/>
                <w:bCs w:val="1"/>
                <w:color w:val="auto"/>
              </w:rPr>
              <w:t>exercise price of</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center"/>
              <w:spacing w:after="0" w:line="159" w:lineRule="exact"/>
              <w:rPr>
                <w:sz w:val="20"/>
                <w:szCs w:val="20"/>
                <w:color w:val="auto"/>
              </w:rPr>
            </w:pPr>
            <w:r>
              <w:rPr>
                <w:rFonts w:ascii="Arial" w:cs="Arial" w:eastAsia="Arial" w:hAnsi="Arial"/>
                <w:sz w:val="15"/>
                <w:szCs w:val="15"/>
                <w:b w:val="1"/>
                <w:bCs w:val="1"/>
                <w:color w:val="auto"/>
              </w:rPr>
              <w:t>remaining available for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560" w:type="dxa"/>
            <w:vAlign w:val="bottom"/>
            <w:gridSpan w:val="2"/>
            <w:vMerge w:val="restart"/>
          </w:tcPr>
          <w:p>
            <w:pPr>
              <w:ind w:left="240"/>
              <w:spacing w:after="0"/>
              <w:rPr>
                <w:sz w:val="20"/>
                <w:szCs w:val="20"/>
                <w:color w:val="auto"/>
              </w:rPr>
            </w:pPr>
            <w:r>
              <w:rPr>
                <w:rFonts w:ascii="Arial" w:cs="Arial" w:eastAsia="Arial" w:hAnsi="Arial"/>
                <w:sz w:val="15"/>
                <w:szCs w:val="15"/>
                <w:b w:val="1"/>
                <w:bCs w:val="1"/>
                <w:color w:val="auto"/>
              </w:rPr>
              <w:t>Plan category</w:t>
            </w:r>
          </w:p>
        </w:tc>
        <w:tc>
          <w:tcPr>
            <w:tcW w:w="1780" w:type="dxa"/>
            <w:vAlign w:val="bottom"/>
            <w:gridSpan w:val="3"/>
          </w:tcPr>
          <w:p>
            <w:pPr>
              <w:jc w:val="center"/>
              <w:ind w:right="100"/>
              <w:spacing w:after="0" w:line="147" w:lineRule="exact"/>
              <w:rPr>
                <w:sz w:val="20"/>
                <w:szCs w:val="20"/>
                <w:color w:val="auto"/>
              </w:rPr>
            </w:pPr>
            <w:r>
              <w:rPr>
                <w:rFonts w:ascii="Arial" w:cs="Arial" w:eastAsia="Arial" w:hAnsi="Arial"/>
                <w:sz w:val="15"/>
                <w:szCs w:val="15"/>
                <w:b w:val="1"/>
                <w:bCs w:val="1"/>
                <w:color w:val="auto"/>
              </w:rPr>
              <w:t>of outstanding options,</w:t>
            </w:r>
          </w:p>
        </w:tc>
        <w:tc>
          <w:tcPr>
            <w:tcW w:w="1680" w:type="dxa"/>
            <w:vAlign w:val="bottom"/>
            <w:gridSpan w:val="4"/>
          </w:tcPr>
          <w:p>
            <w:pPr>
              <w:jc w:val="center"/>
              <w:ind w:right="200"/>
              <w:spacing w:after="0" w:line="147" w:lineRule="exact"/>
              <w:rPr>
                <w:sz w:val="20"/>
                <w:szCs w:val="20"/>
                <w:color w:val="auto"/>
              </w:rPr>
            </w:pPr>
            <w:r>
              <w:rPr>
                <w:rFonts w:ascii="Arial" w:cs="Arial" w:eastAsia="Arial" w:hAnsi="Arial"/>
                <w:sz w:val="15"/>
                <w:szCs w:val="15"/>
                <w:b w:val="1"/>
                <w:bCs w:val="1"/>
                <w:color w:val="auto"/>
                <w:w w:val="99"/>
              </w:rPr>
              <w:t>outstanding options,</w:t>
            </w:r>
          </w:p>
        </w:tc>
        <w:tc>
          <w:tcPr>
            <w:tcW w:w="1760" w:type="dxa"/>
            <w:vAlign w:val="bottom"/>
          </w:tcPr>
          <w:p>
            <w:pPr>
              <w:jc w:val="center"/>
              <w:spacing w:after="0" w:line="147" w:lineRule="exact"/>
              <w:rPr>
                <w:sz w:val="20"/>
                <w:szCs w:val="20"/>
                <w:color w:val="auto"/>
              </w:rPr>
            </w:pPr>
            <w:r>
              <w:rPr>
                <w:rFonts w:ascii="Arial" w:cs="Arial" w:eastAsia="Arial" w:hAnsi="Arial"/>
                <w:sz w:val="15"/>
                <w:szCs w:val="15"/>
                <w:b w:val="1"/>
                <w:bCs w:val="1"/>
                <w:color w:val="auto"/>
              </w:rPr>
              <w:t>future issuance under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560" w:type="dxa"/>
            <w:vAlign w:val="bottom"/>
            <w:gridSpan w:val="2"/>
            <w:vMerge w:val="continue"/>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5"/>
                <w:szCs w:val="15"/>
                <w:b w:val="1"/>
                <w:bCs w:val="1"/>
                <w:color w:val="auto"/>
              </w:rPr>
              <w:t>warrants and rights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5"/>
                <w:szCs w:val="15"/>
                <w:b w:val="1"/>
                <w:bCs w:val="1"/>
                <w:color w:val="auto"/>
              </w:rPr>
              <w:t>warrants and rights ​​equity compensation plans</w:t>
            </w:r>
          </w:p>
        </w:tc>
        <w:tc>
          <w:tcPr>
            <w:tcW w:w="0" w:type="dxa"/>
            <w:vAlign w:val="bottom"/>
          </w:tcPr>
          <w:p>
            <w:pPr>
              <w:spacing w:after="0"/>
              <w:rPr>
                <w:sz w:val="1"/>
                <w:szCs w:val="1"/>
                <w:color w:val="auto"/>
              </w:rPr>
            </w:pPr>
          </w:p>
        </w:tc>
      </w:tr>
      <w:tr>
        <w:trPr>
          <w:trHeight w:val="158"/>
        </w:trPr>
        <w:tc>
          <w:tcPr>
            <w:tcW w:w="1460" w:type="dxa"/>
            <w:vAlign w:val="bottom"/>
            <w:tcBorders>
              <w:top w:val="single" w:sz="8" w:color="auto"/>
            </w:tcBorders>
            <w:shd w:val="clear" w:color="auto" w:fill="CCEEFF"/>
          </w:tcPr>
          <w:p>
            <w:pPr>
              <w:spacing w:after="0" w:line="158" w:lineRule="exact"/>
              <w:rPr>
                <w:sz w:val="20"/>
                <w:szCs w:val="20"/>
                <w:color w:val="auto"/>
              </w:rPr>
            </w:pPr>
            <w:r>
              <w:rPr>
                <w:rFonts w:ascii="Arial" w:cs="Arial" w:eastAsia="Arial" w:hAnsi="Arial"/>
                <w:sz w:val="15"/>
                <w:szCs w:val="15"/>
                <w:color w:val="auto"/>
              </w:rPr>
              <w:t>Equity</w:t>
            </w:r>
          </w:p>
        </w:tc>
        <w:tc>
          <w:tcPr>
            <w:tcW w:w="100" w:type="dxa"/>
            <w:vAlign w:val="bottom"/>
            <w:tcBorders>
              <w:top w:val="single" w:sz="8" w:color="CCEEFF"/>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compensation</w:t>
            </w:r>
          </w:p>
        </w:tc>
        <w:tc>
          <w:tcPr>
            <w:tcW w:w="1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plans approved by</w:t>
            </w:r>
          </w:p>
        </w:tc>
        <w:tc>
          <w:tcPr>
            <w:tcW w:w="1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security holders</w:t>
            </w:r>
          </w:p>
        </w:tc>
        <w:tc>
          <w:tcPr>
            <w:tcW w:w="16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 680,242</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​$ 21.75</w:t>
            </w:r>
          </w:p>
        </w:tc>
        <w:tc>
          <w:tcPr>
            <w:tcW w:w="260" w:type="dxa"/>
            <w:vAlign w:val="bottom"/>
            <w:gridSpan w:val="3"/>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760" w:type="dxa"/>
            <w:vAlign w:val="bottom"/>
            <w:shd w:val="clear" w:color="auto" w:fill="CCEEFF"/>
          </w:tcPr>
          <w:p>
            <w:pPr>
              <w:ind w:left="480"/>
              <w:spacing w:after="0"/>
              <w:rPr>
                <w:sz w:val="20"/>
                <w:szCs w:val="20"/>
                <w:color w:val="auto"/>
              </w:rPr>
            </w:pPr>
            <w:r>
              <w:rPr>
                <w:rFonts w:ascii="Arial" w:cs="Arial" w:eastAsia="Arial" w:hAnsi="Arial"/>
                <w:sz w:val="15"/>
                <w:szCs w:val="15"/>
                <w:color w:val="auto"/>
              </w:rPr>
              <w:t>​ 4,022,262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3736340</wp:posOffset>
            </wp:positionH>
            <wp:positionV relativeFrom="paragraph">
              <wp:posOffset>-473710</wp:posOffset>
            </wp:positionV>
            <wp:extent cx="7175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-473710</wp:posOffset>
            </wp:positionV>
            <wp:extent cx="5715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150" cy="6985"/>
                    </a:xfrm>
                    <a:prstGeom prst="rect">
                      <a:avLst/>
                    </a:prstGeom>
                    <a:noFill/>
                  </pic:spPr>
                </pic:pic>
              </a:graphicData>
            </a:graphic>
          </wp:anchor>
        </w:drawing>
        <w:drawing>
          <wp:anchor simplePos="0" relativeHeight="251657728" behindDoc="1" locked="0" layoutInCell="0" allowOverlap="1">
            <wp:simplePos x="0" y="0"/>
            <wp:positionH relativeFrom="column">
              <wp:posOffset>1602740</wp:posOffset>
            </wp:positionH>
            <wp:positionV relativeFrom="paragraph">
              <wp:posOffset>-473710</wp:posOffset>
            </wp:positionV>
            <wp:extent cx="5715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150" cy="6985"/>
                    </a:xfrm>
                    <a:prstGeom prst="rect">
                      <a:avLst/>
                    </a:prstGeom>
                    <a:noFill/>
                  </pic:spPr>
                </pic:pic>
              </a:graphicData>
            </a:graphic>
          </wp:anchor>
        </w:drawing>
      </w:r>
    </w:p>
    <w:p>
      <w:pPr>
        <w:spacing w:after="0" w:line="142"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Delinquent Section 16(a) Reports</w:t>
      </w:r>
    </w:p>
    <w:p>
      <w:pPr>
        <w:spacing w:after="0" w:line="103" w:lineRule="exact"/>
        <w:rPr>
          <w:sz w:val="20"/>
          <w:szCs w:val="20"/>
          <w:color w:val="auto"/>
        </w:rPr>
      </w:pPr>
    </w:p>
    <w:p>
      <w:pPr>
        <w:ind w:left="1060" w:right="1199"/>
        <w:spacing w:after="0" w:line="258" w:lineRule="auto"/>
        <w:rPr>
          <w:sz w:val="20"/>
          <w:szCs w:val="20"/>
          <w:color w:val="auto"/>
        </w:rPr>
      </w:pPr>
      <w:r>
        <w:rPr>
          <w:rFonts w:ascii="Arial" w:cs="Arial" w:eastAsia="Arial" w:hAnsi="Arial"/>
          <w:sz w:val="15"/>
          <w:szCs w:val="15"/>
          <w:color w:val="auto"/>
        </w:rPr>
        <w:t>Section 16(a) of the Exchange Act requires our executive officers, Directors and persons who own more than ten percent (10%) of our common stock to file reports of ownership and changes in ownership with the SEC. Executive officers, Directors and greater than</w:t>
      </w:r>
    </w:p>
    <w:p>
      <w:pPr>
        <w:spacing w:after="0" w:line="1" w:lineRule="exact"/>
        <w:rPr>
          <w:sz w:val="20"/>
          <w:szCs w:val="20"/>
          <w:color w:val="auto"/>
        </w:rPr>
      </w:pPr>
    </w:p>
    <w:p>
      <w:pPr>
        <w:jc w:val="both"/>
        <w:ind w:left="1060" w:right="1119"/>
        <w:spacing w:after="0" w:line="255" w:lineRule="auto"/>
        <w:rPr>
          <w:sz w:val="20"/>
          <w:szCs w:val="20"/>
          <w:color w:val="auto"/>
        </w:rPr>
      </w:pPr>
      <w:r>
        <w:rPr>
          <w:rFonts w:ascii="Arial" w:cs="Arial" w:eastAsia="Arial" w:hAnsi="Arial"/>
          <w:sz w:val="15"/>
          <w:szCs w:val="15"/>
          <w:color w:val="auto"/>
        </w:rPr>
        <w:t>ten percent (10%) shareholders are required by SEC regulations to furnish us with copies of all Section 16(a) forms they file. Based upon the Company’s review of Section 16(a) reports, the Company believes that all Section 16(a) filing requirements applicable to such reporting persons were complied with in 2024, except for one Section 16 report that was filed late, as the result of an administrative oversight: Mary C. Hickok filed one late report, which covered one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2" w:name="page33"/>
    <w:bookmarkEnd w:id="32"/>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34290</wp:posOffset>
            </wp:positionV>
            <wp:extent cx="436753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67530" cy="6985"/>
                    </a:xfrm>
                    <a:prstGeom prst="rect">
                      <a:avLst/>
                    </a:prstGeom>
                    <a:noFill/>
                  </pic:spPr>
                </pic:pic>
              </a:graphicData>
            </a:graphic>
          </wp:anchor>
        </w:drawing>
      </w:r>
    </w:p>
    <w:p>
      <w:pPr>
        <w:spacing w:after="0" w:line="162"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Summary Compensation Table</w:t>
      </w:r>
    </w:p>
    <w:p>
      <w:pPr>
        <w:spacing w:after="0" w:line="92" w:lineRule="exact"/>
        <w:rPr>
          <w:sz w:val="20"/>
          <w:szCs w:val="20"/>
          <w:color w:val="auto"/>
        </w:rPr>
      </w:pPr>
    </w:p>
    <w:p>
      <w:pPr>
        <w:ind w:left="1060" w:right="1479"/>
        <w:spacing w:after="0" w:line="262" w:lineRule="auto"/>
        <w:rPr>
          <w:sz w:val="20"/>
          <w:szCs w:val="20"/>
          <w:color w:val="auto"/>
        </w:rPr>
      </w:pPr>
      <w:r>
        <w:rPr>
          <w:rFonts w:ascii="Arial" w:cs="Arial" w:eastAsia="Arial" w:hAnsi="Arial"/>
          <w:sz w:val="15"/>
          <w:szCs w:val="15"/>
          <w:color w:val="auto"/>
        </w:rPr>
        <w:t>This section provides an overview of our executive compensation programs, including a narrative description of the material factors necessary to understand the information disclosed in the summary compensation table Below.</w:t>
      </w:r>
    </w:p>
    <w:p>
      <w:pPr>
        <w:spacing w:after="0" w:line="80"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Our Named Executive Officers for the year ended December 31, 2024 were as follows:</w:t>
      </w:r>
    </w:p>
    <w:p>
      <w:pPr>
        <w:spacing w:after="0" w:line="133" w:lineRule="exact"/>
        <w:rPr>
          <w:sz w:val="20"/>
          <w:szCs w:val="20"/>
          <w:color w:val="auto"/>
        </w:rPr>
      </w:pPr>
    </w:p>
    <w:p>
      <w:pPr>
        <w:ind w:left="1660" w:hanging="293"/>
        <w:spacing w:after="0"/>
        <w:tabs>
          <w:tab w:leader="none" w:pos="16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William B. Shepro, Chief Executive Officer</w:t>
      </w:r>
    </w:p>
    <w:p>
      <w:pPr>
        <w:spacing w:after="0" w:line="121" w:lineRule="exact"/>
        <w:rPr>
          <w:rFonts w:ascii="Arial" w:cs="Arial" w:eastAsia="Arial" w:hAnsi="Arial"/>
          <w:sz w:val="15"/>
          <w:szCs w:val="15"/>
          <w:color w:val="auto"/>
        </w:rPr>
      </w:pPr>
    </w:p>
    <w:p>
      <w:pPr>
        <w:ind w:left="1660" w:hanging="293"/>
        <w:spacing w:after="0"/>
        <w:tabs>
          <w:tab w:leader="none" w:pos="16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Michelle D. Esterman, Chief Financial Officer</w:t>
      </w:r>
    </w:p>
    <w:p>
      <w:pPr>
        <w:spacing w:after="0" w:line="132" w:lineRule="exact"/>
        <w:rPr>
          <w:rFonts w:ascii="Arial" w:cs="Arial" w:eastAsia="Arial" w:hAnsi="Arial"/>
          <w:sz w:val="15"/>
          <w:szCs w:val="15"/>
          <w:color w:val="auto"/>
        </w:rPr>
      </w:pPr>
    </w:p>
    <w:p>
      <w:pPr>
        <w:ind w:left="1660" w:hanging="293"/>
        <w:spacing w:after="0"/>
        <w:tabs>
          <w:tab w:leader="none" w:pos="16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Gregory J. Ritts, Chief Legal and Compliance Officer</w:t>
      </w:r>
    </w:p>
    <w:p>
      <w:pPr>
        <w:spacing w:after="0" w:line="122" w:lineRule="exact"/>
        <w:rPr>
          <w:sz w:val="20"/>
          <w:szCs w:val="20"/>
          <w:color w:val="auto"/>
        </w:rPr>
      </w:pPr>
    </w:p>
    <w:p>
      <w:pPr>
        <w:ind w:left="1060" w:right="1159"/>
        <w:spacing w:after="0" w:line="288" w:lineRule="auto"/>
        <w:rPr>
          <w:sz w:val="20"/>
          <w:szCs w:val="20"/>
          <w:color w:val="auto"/>
        </w:rPr>
      </w:pPr>
      <w:r>
        <w:rPr>
          <w:rFonts w:ascii="Arial" w:cs="Arial" w:eastAsia="Arial" w:hAnsi="Arial"/>
          <w:sz w:val="15"/>
          <w:szCs w:val="15"/>
          <w:color w:val="auto"/>
        </w:rPr>
        <w:t>The following table discloses compensation of our Named Executive Officers for fiscal years 2023 and 2024.</w:t>
      </w:r>
    </w:p>
    <w:p>
      <w:pPr>
        <w:spacing w:after="0" w:line="73" w:lineRule="exact"/>
        <w:rPr>
          <w:sz w:val="20"/>
          <w:szCs w:val="20"/>
          <w:color w:val="auto"/>
        </w:rPr>
      </w:pPr>
    </w:p>
    <w:tbl>
      <w:tblPr>
        <w:tblLayout w:type="fixed"/>
        <w:tblInd w:w="1060" w:type="dxa"/>
        <w:tblCellMar>
          <w:top w:w="0" w:type="dxa"/>
          <w:left w:w="0" w:type="dxa"/>
          <w:bottom w:w="0" w:type="dxa"/>
          <w:right w:w="0" w:type="dxa"/>
        </w:tblCellMar>
      </w:tblPr>
      <w:tr>
        <w:trPr>
          <w:trHeight w:val="172"/>
        </w:trPr>
        <w:tc>
          <w:tcPr>
            <w:tcW w:w="1760" w:type="dxa"/>
            <w:vAlign w:val="bottom"/>
            <w:vMerge w:val="restart"/>
          </w:tcPr>
          <w:p>
            <w:pPr>
              <w:ind w:left="480"/>
              <w:spacing w:after="0"/>
              <w:rPr>
                <w:sz w:val="20"/>
                <w:szCs w:val="20"/>
                <w:color w:val="auto"/>
              </w:rPr>
            </w:pPr>
            <w:r>
              <w:rPr>
                <w:rFonts w:ascii="Arial" w:cs="Arial" w:eastAsia="Arial" w:hAnsi="Arial"/>
                <w:sz w:val="15"/>
                <w:szCs w:val="15"/>
                <w:b w:val="1"/>
                <w:bCs w:val="1"/>
                <w:color w:val="auto"/>
              </w:rPr>
              <w:t>Name and</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165"/>
              <w:spacing w:after="0"/>
              <w:rPr>
                <w:sz w:val="20"/>
                <w:szCs w:val="20"/>
                <w:color w:val="auto"/>
              </w:rPr>
            </w:pPr>
            <w:r>
              <w:rPr>
                <w:rFonts w:ascii="Arial" w:cs="Arial" w:eastAsia="Arial" w:hAnsi="Arial"/>
                <w:sz w:val="15"/>
                <w:szCs w:val="15"/>
                <w:b w:val="1"/>
                <w:bCs w:val="1"/>
                <w:color w:val="auto"/>
              </w:rPr>
              <w:t>Stock</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rPr>
              <w:t>Non-Equity</w:t>
            </w:r>
          </w:p>
        </w:tc>
        <w:tc>
          <w:tcPr>
            <w:tcW w:w="100" w:type="dxa"/>
            <w:vAlign w:val="bottom"/>
          </w:tcPr>
          <w:p>
            <w:pPr>
              <w:spacing w:after="0"/>
              <w:rPr>
                <w:sz w:val="14"/>
                <w:szCs w:val="14"/>
                <w:color w:val="auto"/>
              </w:rPr>
            </w:pPr>
          </w:p>
        </w:tc>
        <w:tc>
          <w:tcPr>
            <w:tcW w:w="960" w:type="dxa"/>
            <w:vAlign w:val="bottom"/>
            <w:gridSpan w:val="2"/>
            <w:vMerge w:val="restart"/>
          </w:tcPr>
          <w:p>
            <w:pPr>
              <w:ind w:left="280"/>
              <w:spacing w:after="0"/>
              <w:rPr>
                <w:sz w:val="20"/>
                <w:szCs w:val="20"/>
                <w:color w:val="auto"/>
              </w:rPr>
            </w:pPr>
            <w:r>
              <w:rPr>
                <w:rFonts w:ascii="Arial" w:cs="Arial" w:eastAsia="Arial" w:hAnsi="Arial"/>
                <w:sz w:val="15"/>
                <w:szCs w:val="15"/>
                <w:b w:val="1"/>
                <w:bCs w:val="1"/>
                <w:color w:val="auto"/>
              </w:rPr>
              <w:t>All Other</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760" w:type="dxa"/>
            <w:vAlign w:val="bottom"/>
            <w:vMerge w:val="continue"/>
          </w:tcPr>
          <w:p>
            <w:pPr>
              <w:spacing w:after="0"/>
              <w:rPr>
                <w:sz w:val="12"/>
                <w:szCs w:val="12"/>
                <w:color w:val="auto"/>
              </w:rPr>
            </w:pPr>
          </w:p>
        </w:tc>
        <w:tc>
          <w:tcPr>
            <w:tcW w:w="1080" w:type="dxa"/>
            <w:vAlign w:val="bottom"/>
            <w:gridSpan w:val="4"/>
            <w:vMerge w:val="restart"/>
          </w:tcPr>
          <w:p>
            <w:pPr>
              <w:ind w:left="20"/>
              <w:spacing w:after="0"/>
              <w:rPr>
                <w:sz w:val="20"/>
                <w:szCs w:val="20"/>
                <w:color w:val="auto"/>
              </w:rPr>
            </w:pPr>
            <w:r>
              <w:rPr>
                <w:rFonts w:ascii="Arial" w:cs="Arial" w:eastAsia="Arial" w:hAnsi="Arial"/>
                <w:sz w:val="15"/>
                <w:szCs w:val="15"/>
                <w:b w:val="1"/>
                <w:bCs w:val="1"/>
                <w:color w:val="auto"/>
              </w:rPr>
              <w:t>Year ​​Salary</w:t>
            </w:r>
            <w:r>
              <w:rPr>
                <w:rFonts w:ascii="Arial" w:cs="Arial" w:eastAsia="Arial" w:hAnsi="Arial"/>
                <w:sz w:val="19"/>
                <w:szCs w:val="19"/>
                <w:b w:val="1"/>
                <w:bCs w:val="1"/>
                <w:color w:val="auto"/>
                <w:vertAlign w:val="superscript"/>
              </w:rPr>
              <w:t>(1)</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120" w:type="dxa"/>
            <w:vAlign w:val="bottom"/>
          </w:tcPr>
          <w:p>
            <w:pPr>
              <w:jc w:val="center"/>
              <w:spacing w:after="0" w:line="147" w:lineRule="exact"/>
              <w:rPr>
                <w:sz w:val="20"/>
                <w:szCs w:val="20"/>
                <w:color w:val="auto"/>
              </w:rPr>
            </w:pPr>
            <w:r>
              <w:rPr>
                <w:rFonts w:ascii="Arial" w:cs="Arial" w:eastAsia="Arial" w:hAnsi="Arial"/>
                <w:sz w:val="15"/>
                <w:szCs w:val="15"/>
                <w:b w:val="1"/>
                <w:bCs w:val="1"/>
                <w:color w:val="auto"/>
              </w:rPr>
              <w:t>Incentive Plan</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760" w:type="dxa"/>
            <w:vAlign w:val="bottom"/>
          </w:tcPr>
          <w:p>
            <w:pPr>
              <w:ind w:left="220"/>
              <w:spacing w:after="0"/>
              <w:rPr>
                <w:sz w:val="20"/>
                <w:szCs w:val="20"/>
                <w:color w:val="auto"/>
              </w:rPr>
            </w:pPr>
            <w:r>
              <w:rPr>
                <w:rFonts w:ascii="Arial" w:cs="Arial" w:eastAsia="Arial" w:hAnsi="Arial"/>
                <w:sz w:val="15"/>
                <w:szCs w:val="15"/>
                <w:b w:val="1"/>
                <w:bCs w:val="1"/>
                <w:color w:val="auto"/>
              </w:rPr>
              <w:t>Principal Position</w:t>
            </w:r>
          </w:p>
        </w:tc>
        <w:tc>
          <w:tcPr>
            <w:tcW w:w="1080" w:type="dxa"/>
            <w:vAlign w:val="bottom"/>
            <w:gridSpan w:val="4"/>
            <w:vMerge w:val="continue"/>
          </w:tcPr>
          <w:p>
            <w:pPr>
              <w:spacing w:after="0"/>
              <w:rPr>
                <w:sz w:val="16"/>
                <w:szCs w:val="16"/>
                <w:color w:val="auto"/>
              </w:rPr>
            </w:pPr>
          </w:p>
        </w:tc>
        <w:tc>
          <w:tcPr>
            <w:tcW w:w="920" w:type="dxa"/>
            <w:vAlign w:val="bottom"/>
            <w:gridSpan w:val="2"/>
          </w:tcPr>
          <w:p>
            <w:pPr>
              <w:jc w:val="right"/>
              <w:ind w:right="45"/>
              <w:spacing w:after="0" w:line="193" w:lineRule="exact"/>
              <w:rPr>
                <w:sz w:val="20"/>
                <w:szCs w:val="20"/>
                <w:color w:val="auto"/>
              </w:rPr>
            </w:pPr>
            <w:r>
              <w:rPr>
                <w:rFonts w:ascii="Arial" w:cs="Arial" w:eastAsia="Arial" w:hAnsi="Arial"/>
                <w:sz w:val="15"/>
                <w:szCs w:val="15"/>
                <w:b w:val="1"/>
                <w:bCs w:val="1"/>
                <w:color w:val="auto"/>
              </w:rPr>
              <w:t>​​ Awards</w:t>
            </w:r>
            <w:r>
              <w:rPr>
                <w:rFonts w:ascii="Arial" w:cs="Arial" w:eastAsia="Arial" w:hAnsi="Arial"/>
                <w:sz w:val="19"/>
                <w:szCs w:val="19"/>
                <w:b w:val="1"/>
                <w:bCs w:val="1"/>
                <w:color w:val="auto"/>
                <w:vertAlign w:val="superscript"/>
              </w:rPr>
              <w:t>(2)</w:t>
            </w:r>
          </w:p>
        </w:tc>
        <w:tc>
          <w:tcPr>
            <w:tcW w:w="1220" w:type="dxa"/>
            <w:vAlign w:val="bottom"/>
            <w:gridSpan w:val="2"/>
          </w:tcPr>
          <w:p>
            <w:pPr>
              <w:jc w:val="center"/>
              <w:spacing w:after="0" w:line="193" w:lineRule="exact"/>
              <w:rPr>
                <w:sz w:val="20"/>
                <w:szCs w:val="20"/>
                <w:color w:val="auto"/>
              </w:rPr>
            </w:pPr>
            <w:r>
              <w:rPr>
                <w:rFonts w:ascii="Arial" w:cs="Arial" w:eastAsia="Arial" w:hAnsi="Arial"/>
                <w:sz w:val="15"/>
                <w:szCs w:val="15"/>
                <w:b w:val="1"/>
                <w:bCs w:val="1"/>
                <w:color w:val="auto"/>
                <w:w w:val="98"/>
              </w:rPr>
              <w:t>Compensation</w:t>
            </w:r>
            <w:r>
              <w:rPr>
                <w:rFonts w:ascii="Arial" w:cs="Arial" w:eastAsia="Arial" w:hAnsi="Arial"/>
                <w:sz w:val="19"/>
                <w:szCs w:val="19"/>
                <w:b w:val="1"/>
                <w:bCs w:val="1"/>
                <w:color w:val="auto"/>
                <w:w w:val="98"/>
                <w:vertAlign w:val="superscript"/>
              </w:rPr>
              <w:t>(3)</w:t>
            </w:r>
          </w:p>
        </w:tc>
        <w:tc>
          <w:tcPr>
            <w:tcW w:w="1400" w:type="dxa"/>
            <w:vAlign w:val="bottom"/>
            <w:gridSpan w:val="4"/>
          </w:tcPr>
          <w:p>
            <w:pPr>
              <w:spacing w:after="0" w:line="193" w:lineRule="exact"/>
              <w:rPr>
                <w:sz w:val="20"/>
                <w:szCs w:val="20"/>
                <w:color w:val="auto"/>
              </w:rPr>
            </w:pPr>
            <w:r>
              <w:rPr>
                <w:rFonts w:ascii="Arial" w:cs="Arial" w:eastAsia="Arial" w:hAnsi="Arial"/>
                <w:sz w:val="15"/>
                <w:szCs w:val="15"/>
                <w:b w:val="1"/>
                <w:bCs w:val="1"/>
                <w:color w:val="auto"/>
              </w:rPr>
              <w:t>Compensation</w:t>
            </w:r>
            <w:r>
              <w:rPr>
                <w:rFonts w:ascii="Arial" w:cs="Arial" w:eastAsia="Arial" w:hAnsi="Arial"/>
                <w:sz w:val="19"/>
                <w:szCs w:val="19"/>
                <w:b w:val="1"/>
                <w:bCs w:val="1"/>
                <w:color w:val="auto"/>
                <w:vertAlign w:val="superscript"/>
              </w:rPr>
              <w:t>(4)</w:t>
            </w:r>
            <w:r>
              <w:rPr>
                <w:rFonts w:ascii="Arial" w:cs="Arial" w:eastAsia="Arial" w:hAnsi="Arial"/>
                <w:sz w:val="15"/>
                <w:szCs w:val="15"/>
                <w:b w:val="1"/>
                <w:bCs w:val="1"/>
                <w:color w:val="auto"/>
              </w:rPr>
              <w:t xml:space="preserve"> ​</w:t>
            </w:r>
          </w:p>
        </w:tc>
        <w:tc>
          <w:tcPr>
            <w:tcW w:w="680" w:type="dxa"/>
            <w:vAlign w:val="bottom"/>
            <w:gridSpan w:val="2"/>
          </w:tcPr>
          <w:p>
            <w:pPr>
              <w:jc w:val="right"/>
              <w:ind w:right="18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
        </w:trPr>
        <w:tc>
          <w:tcPr>
            <w:tcW w:w="176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7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5"/>
                <w:szCs w:val="15"/>
                <w:b w:val="1"/>
                <w:bCs w:val="1"/>
                <w:color w:val="auto"/>
              </w:rPr>
              <w:t>William B. Shepro</w:t>
            </w:r>
          </w:p>
        </w:tc>
        <w:tc>
          <w:tcPr>
            <w:tcW w:w="520" w:type="dxa"/>
            <w:vAlign w:val="bottom"/>
            <w:gridSpan w:val="3"/>
            <w:vMerge w:val="restart"/>
            <w:shd w:val="clear" w:color="auto" w:fill="CCEEFF"/>
          </w:tcPr>
          <w:p>
            <w:pPr>
              <w:spacing w:after="0"/>
              <w:rPr>
                <w:sz w:val="20"/>
                <w:szCs w:val="20"/>
                <w:color w:val="auto"/>
              </w:rPr>
            </w:pPr>
            <w:r>
              <w:rPr>
                <w:rFonts w:ascii="Arial" w:cs="Arial" w:eastAsia="Arial" w:hAnsi="Arial"/>
                <w:sz w:val="15"/>
                <w:szCs w:val="15"/>
                <w:color w:val="auto"/>
              </w:rPr>
              <w:t>​2023 ​​​$</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9"/>
              </w:rPr>
              <w:t>927,412</w:t>
            </w:r>
          </w:p>
        </w:tc>
        <w:tc>
          <w:tcPr>
            <w:tcW w:w="220" w:type="dxa"/>
            <w:vAlign w:val="bottom"/>
            <w:tcBorders>
              <w:left w:val="single" w:sz="8" w:color="CCEEFF"/>
            </w:tcBorders>
            <w:shd w:val="clear" w:color="auto" w:fill="CCEEFF"/>
          </w:tcPr>
          <w:p>
            <w:pPr>
              <w:jc w:val="right"/>
              <w:ind w:right="46"/>
              <w:spacing w:after="0" w:line="82" w:lineRule="exact"/>
              <w:rPr>
                <w:sz w:val="20"/>
                <w:szCs w:val="20"/>
                <w:color w:val="auto"/>
              </w:rPr>
            </w:pPr>
            <w:r>
              <w:rPr>
                <w:rFonts w:ascii="Arial" w:cs="Arial" w:eastAsia="Arial" w:hAnsi="Arial"/>
                <w:sz w:val="9"/>
                <w:szCs w:val="9"/>
                <w:color w:val="auto"/>
                <w:w w:val="90"/>
              </w:rPr>
              <w:t>(5)</w:t>
            </w:r>
          </w:p>
        </w:tc>
        <w:tc>
          <w:tcPr>
            <w:tcW w:w="700" w:type="dxa"/>
            <w:vAlign w:val="bottom"/>
            <w:tcBorders>
              <w:right w:val="single" w:sz="8" w:color="CCEEFF"/>
            </w:tcBorders>
            <w:shd w:val="clear" w:color="auto" w:fill="CCEEFF"/>
          </w:tcPr>
          <w:p>
            <w:pPr>
              <w:spacing w:after="0"/>
              <w:rPr>
                <w:sz w:val="7"/>
                <w:szCs w:val="7"/>
                <w:color w:val="auto"/>
              </w:rPr>
            </w:pP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00" w:type="dxa"/>
            <w:vAlign w:val="bottom"/>
            <w:tcBorders>
              <w:left w:val="single" w:sz="8" w:color="CCEEFF"/>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360" w:type="dxa"/>
            <w:vAlign w:val="bottom"/>
            <w:vMerge w:val="restart"/>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288,662</w:t>
            </w:r>
          </w:p>
        </w:tc>
        <w:tc>
          <w:tcPr>
            <w:tcW w:w="280" w:type="dxa"/>
            <w:vAlign w:val="bottom"/>
            <w:tcBorders>
              <w:right w:val="single" w:sz="8" w:color="CCEEFF"/>
            </w:tcBorders>
            <w:shd w:val="clear" w:color="auto" w:fill="CCEEFF"/>
          </w:tcPr>
          <w:p>
            <w:pPr>
              <w:spacing w:after="0"/>
              <w:rPr>
                <w:sz w:val="7"/>
                <w:szCs w:val="7"/>
                <w:color w:val="auto"/>
              </w:rPr>
            </w:pPr>
          </w:p>
        </w:tc>
        <w:tc>
          <w:tcPr>
            <w:tcW w:w="8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w w:val="98"/>
              </w:rPr>
              <w:t>​ ​​$2,401,648</w:t>
            </w:r>
          </w:p>
        </w:tc>
        <w:tc>
          <w:tcPr>
            <w:tcW w:w="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96"/>
        </w:trPr>
        <w:tc>
          <w:tcPr>
            <w:tcW w:w="1760" w:type="dxa"/>
            <w:vAlign w:val="bottom"/>
            <w:tcBorders>
              <w:right w:val="single" w:sz="8" w:color="CCEEFF"/>
            </w:tcBorders>
            <w:vMerge w:val="continue"/>
            <w:shd w:val="clear" w:color="auto" w:fill="CCEEFF"/>
          </w:tcPr>
          <w:p>
            <w:pPr>
              <w:spacing w:after="0"/>
              <w:rPr>
                <w:sz w:val="8"/>
                <w:szCs w:val="8"/>
                <w:color w:val="auto"/>
              </w:rPr>
            </w:pPr>
          </w:p>
        </w:tc>
        <w:tc>
          <w:tcPr>
            <w:tcW w:w="520" w:type="dxa"/>
            <w:vAlign w:val="bottom"/>
            <w:gridSpan w:val="3"/>
            <w:vMerge w:val="continue"/>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920" w:type="dxa"/>
            <w:vAlign w:val="bottom"/>
            <w:tcBorders>
              <w:left w:val="single" w:sz="8" w:color="CCEEFF"/>
              <w:right w:val="single" w:sz="8" w:color="CCEEFF"/>
            </w:tcBorders>
            <w:gridSpan w:val="2"/>
            <w:shd w:val="clear" w:color="auto" w:fill="CCEEFF"/>
          </w:tcPr>
          <w:p>
            <w:pPr>
              <w:jc w:val="right"/>
              <w:spacing w:after="0" w:line="96" w:lineRule="exact"/>
              <w:rPr>
                <w:sz w:val="20"/>
                <w:szCs w:val="20"/>
                <w:color w:val="auto"/>
              </w:rPr>
            </w:pPr>
            <w:r>
              <w:rPr>
                <w:rFonts w:ascii="Arial" w:cs="Arial" w:eastAsia="Arial" w:hAnsi="Arial"/>
                <w:sz w:val="11"/>
                <w:szCs w:val="11"/>
                <w:color w:val="auto"/>
              </w:rPr>
              <w:t>​​​$1,185,575 ​</w:t>
            </w:r>
          </w:p>
        </w:tc>
        <w:tc>
          <w:tcPr>
            <w:tcW w:w="1120" w:type="dxa"/>
            <w:vAlign w:val="bottom"/>
            <w:vMerge w:val="continue"/>
            <w:shd w:val="clear" w:color="auto" w:fill="CCEEFF"/>
          </w:tcPr>
          <w:p>
            <w:pPr>
              <w:spacing w:after="0"/>
              <w:rPr>
                <w:sz w:val="8"/>
                <w:szCs w:val="8"/>
                <w:color w:val="auto"/>
              </w:rPr>
            </w:pPr>
          </w:p>
        </w:tc>
        <w:tc>
          <w:tcPr>
            <w:tcW w:w="100" w:type="dxa"/>
            <w:vAlign w:val="bottom"/>
            <w:tcBorders>
              <w:left w:val="single" w:sz="8" w:color="CCEEFF"/>
            </w:tcBorders>
            <w:vMerge w:val="continue"/>
            <w:shd w:val="clear" w:color="auto" w:fill="CCEEFF"/>
          </w:tcPr>
          <w:p>
            <w:pPr>
              <w:spacing w:after="0"/>
              <w:rPr>
                <w:sz w:val="8"/>
                <w:szCs w:val="8"/>
                <w:color w:val="auto"/>
              </w:rPr>
            </w:pPr>
          </w:p>
        </w:tc>
        <w:tc>
          <w:tcPr>
            <w:tcW w:w="36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280" w:type="dxa"/>
            <w:vAlign w:val="bottom"/>
            <w:tcBorders>
              <w:right w:val="single" w:sz="8" w:color="CCEEFF"/>
            </w:tcBorders>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7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5"/>
                <w:szCs w:val="15"/>
                <w:color w:val="auto"/>
              </w:rPr>
              <w:t>Chief Executive Officer</w:t>
            </w: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20" w:type="dxa"/>
            <w:vAlign w:val="bottom"/>
            <w:tcBorders>
              <w:left w:val="single" w:sz="8" w:color="CCEEFF"/>
            </w:tcBorders>
            <w:shd w:val="clear" w:color="auto" w:fill="CCEEFF"/>
          </w:tcPr>
          <w:p>
            <w:pPr>
              <w:jc w:val="right"/>
              <w:ind w:right="46"/>
              <w:spacing w:after="0" w:line="97" w:lineRule="exact"/>
              <w:rPr>
                <w:sz w:val="20"/>
                <w:szCs w:val="20"/>
                <w:color w:val="auto"/>
              </w:rPr>
            </w:pPr>
            <w:r>
              <w:rPr>
                <w:rFonts w:ascii="Arial" w:cs="Arial" w:eastAsia="Arial" w:hAnsi="Arial"/>
                <w:sz w:val="10"/>
                <w:szCs w:val="10"/>
                <w:color w:val="auto"/>
                <w:w w:val="81"/>
              </w:rPr>
              <w:t>(6)</w:t>
            </w: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664,010​</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00" w:type="dxa"/>
            <w:vAlign w:val="bottom"/>
            <w:tcBorders>
              <w:left w:val="single" w:sz="8" w:color="CCEEFF"/>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360" w:type="dxa"/>
            <w:vAlign w:val="bottom"/>
            <w:vMerge w:val="restart"/>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259,771</w:t>
            </w:r>
          </w:p>
        </w:tc>
        <w:tc>
          <w:tcPr>
            <w:tcW w:w="280" w:type="dxa"/>
            <w:vAlign w:val="bottom"/>
            <w:tcBorders>
              <w:right w:val="single" w:sz="8" w:color="CCEEFF"/>
            </w:tcBorders>
            <w:shd w:val="clear" w:color="auto" w:fill="CCEEFF"/>
          </w:tcPr>
          <w:p>
            <w:pPr>
              <w:spacing w:after="0" w:line="97" w:lineRule="exact"/>
              <w:rPr>
                <w:sz w:val="20"/>
                <w:szCs w:val="20"/>
                <w:color w:val="auto"/>
              </w:rPr>
            </w:pPr>
            <w:r>
              <w:rPr>
                <w:rFonts w:ascii="Arial" w:cs="Arial" w:eastAsia="Arial" w:hAnsi="Arial"/>
                <w:sz w:val="10"/>
                <w:szCs w:val="10"/>
                <w:color w:val="auto"/>
              </w:rPr>
              <w:t>(7)</w:t>
            </w:r>
          </w:p>
        </w:tc>
        <w:tc>
          <w:tcPr>
            <w:tcW w:w="80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w w:val="98"/>
              </w:rPr>
              <w:t>​ ​​$1,874,138​</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60" w:type="dxa"/>
            <w:vAlign w:val="bottom"/>
            <w:tcBorders>
              <w:right w:val="single" w:sz="8" w:color="CCEEFF"/>
            </w:tcBorders>
            <w:vMerge w:val="continue"/>
            <w:shd w:val="clear" w:color="auto" w:fill="CCEEFF"/>
          </w:tcPr>
          <w:p>
            <w:pPr>
              <w:spacing w:after="0"/>
              <w:rPr>
                <w:sz w:val="8"/>
                <w:szCs w:val="8"/>
                <w:color w:val="auto"/>
              </w:rPr>
            </w:pPr>
          </w:p>
        </w:tc>
        <w:tc>
          <w:tcPr>
            <w:tcW w:w="1300" w:type="dxa"/>
            <w:vAlign w:val="bottom"/>
            <w:gridSpan w:val="5"/>
            <w:shd w:val="clear" w:color="auto" w:fill="CCEEFF"/>
          </w:tcPr>
          <w:p>
            <w:pPr>
              <w:jc w:val="right"/>
              <w:spacing w:after="0" w:line="102" w:lineRule="exact"/>
              <w:rPr>
                <w:sz w:val="20"/>
                <w:szCs w:val="20"/>
                <w:color w:val="auto"/>
              </w:rPr>
            </w:pPr>
            <w:r>
              <w:rPr>
                <w:rFonts w:ascii="Arial" w:cs="Arial" w:eastAsia="Arial" w:hAnsi="Arial"/>
                <w:sz w:val="11"/>
                <w:szCs w:val="11"/>
                <w:color w:val="auto"/>
              </w:rPr>
              <w:t>​2024​​​$950,357​​​$</w:t>
            </w:r>
          </w:p>
        </w:tc>
        <w:tc>
          <w:tcPr>
            <w:tcW w:w="700" w:type="dxa"/>
            <w:vAlign w:val="bottom"/>
            <w:tcBorders>
              <w:right w:val="single" w:sz="8" w:color="CCEEFF"/>
            </w:tcBorders>
            <w:vMerge w:val="continue"/>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00" w:type="dxa"/>
            <w:vAlign w:val="bottom"/>
            <w:tcBorders>
              <w:left w:val="single" w:sz="8" w:color="CCEEFF"/>
            </w:tcBorders>
            <w:vMerge w:val="continue"/>
            <w:shd w:val="clear" w:color="auto" w:fill="CCEEFF"/>
          </w:tcPr>
          <w:p>
            <w:pPr>
              <w:spacing w:after="0"/>
              <w:rPr>
                <w:sz w:val="8"/>
                <w:szCs w:val="8"/>
                <w:color w:val="auto"/>
              </w:rPr>
            </w:pPr>
          </w:p>
        </w:tc>
        <w:tc>
          <w:tcPr>
            <w:tcW w:w="36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280" w:type="dxa"/>
            <w:vAlign w:val="bottom"/>
            <w:tcBorders>
              <w:right w:val="single" w:sz="8" w:color="CCEEFF"/>
            </w:tcBorders>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1760" w:type="dxa"/>
            <w:vAlign w:val="bottom"/>
            <w:vMerge w:val="restart"/>
          </w:tcPr>
          <w:p>
            <w:pPr>
              <w:spacing w:after="0"/>
              <w:rPr>
                <w:sz w:val="20"/>
                <w:szCs w:val="20"/>
                <w:color w:val="auto"/>
              </w:rPr>
            </w:pPr>
            <w:r>
              <w:rPr>
                <w:rFonts w:ascii="Arial" w:cs="Arial" w:eastAsia="Arial" w:hAnsi="Arial"/>
                <w:sz w:val="15"/>
                <w:szCs w:val="15"/>
                <w:b w:val="1"/>
                <w:bCs w:val="1"/>
                <w:color w:val="auto"/>
              </w:rPr>
              <w:t>Michelle D. Esterman</w:t>
            </w:r>
          </w:p>
        </w:tc>
        <w:tc>
          <w:tcPr>
            <w:tcW w:w="1080" w:type="dxa"/>
            <w:vAlign w:val="bottom"/>
            <w:gridSpan w:val="4"/>
            <w:vMerge w:val="restart"/>
          </w:tcPr>
          <w:p>
            <w:pPr>
              <w:jc w:val="right"/>
              <w:spacing w:after="0"/>
              <w:rPr>
                <w:sz w:val="20"/>
                <w:szCs w:val="20"/>
                <w:color w:val="auto"/>
              </w:rPr>
            </w:pPr>
            <w:r>
              <w:rPr>
                <w:rFonts w:ascii="Arial" w:cs="Arial" w:eastAsia="Arial" w:hAnsi="Arial"/>
                <w:sz w:val="15"/>
                <w:szCs w:val="15"/>
                <w:color w:val="auto"/>
              </w:rPr>
              <w:t>​2023 ​​​$433,149</w:t>
            </w:r>
          </w:p>
        </w:tc>
        <w:tc>
          <w:tcPr>
            <w:tcW w:w="220" w:type="dxa"/>
            <w:vAlign w:val="bottom"/>
          </w:tcPr>
          <w:p>
            <w:pPr>
              <w:jc w:val="right"/>
              <w:ind w:right="46"/>
              <w:spacing w:after="0"/>
              <w:rPr>
                <w:sz w:val="20"/>
                <w:szCs w:val="20"/>
                <w:color w:val="auto"/>
              </w:rPr>
            </w:pPr>
            <w:r>
              <w:rPr>
                <w:rFonts w:ascii="Arial" w:cs="Arial" w:eastAsia="Arial" w:hAnsi="Arial"/>
                <w:sz w:val="10"/>
                <w:szCs w:val="10"/>
                <w:color w:val="auto"/>
                <w:w w:val="81"/>
              </w:rPr>
              <w:t>(8)</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277,451 ​</w:t>
            </w:r>
          </w:p>
        </w:tc>
        <w:tc>
          <w:tcPr>
            <w:tcW w:w="1120" w:type="dxa"/>
            <w:vAlign w:val="bottom"/>
            <w:vMerge w:val="restart"/>
          </w:tcPr>
          <w:p>
            <w:pPr>
              <w:jc w:val="center"/>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360" w:type="dxa"/>
            <w:vAlign w:val="bottom"/>
            <w:vMerge w:val="restart"/>
          </w:tcPr>
          <w:p>
            <w:pPr>
              <w:ind w:left="180"/>
              <w:spacing w:after="0"/>
              <w:rPr>
                <w:sz w:val="20"/>
                <w:szCs w:val="20"/>
                <w:color w:val="auto"/>
              </w:rPr>
            </w:pPr>
            <w:r>
              <w:rPr>
                <w:rFonts w:ascii="Arial" w:cs="Arial" w:eastAsia="Arial" w:hAnsi="Arial"/>
                <w:sz w:val="15"/>
                <w:szCs w:val="15"/>
                <w:color w:val="auto"/>
              </w:rPr>
              <w:t>​</w:t>
            </w: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160" w:type="dxa"/>
            <w:vAlign w:val="bottom"/>
            <w:vMerge w:val="restart"/>
          </w:tcPr>
          <w:p>
            <w:pPr>
              <w:spacing w:after="0"/>
              <w:rPr>
                <w:sz w:val="20"/>
                <w:szCs w:val="20"/>
                <w:color w:val="auto"/>
              </w:rPr>
            </w:pPr>
            <w:r>
              <w:rPr>
                <w:rFonts w:ascii="Arial" w:cs="Arial" w:eastAsia="Arial" w:hAnsi="Arial"/>
                <w:sz w:val="15"/>
                <w:szCs w:val="15"/>
                <w:color w:val="auto"/>
              </w:rPr>
              <w:t>​ ​​$</w:t>
            </w:r>
          </w:p>
        </w:tc>
        <w:tc>
          <w:tcPr>
            <w:tcW w:w="680" w:type="dxa"/>
            <w:vAlign w:val="bottom"/>
            <w:gridSpan w:val="2"/>
            <w:vMerge w:val="restart"/>
          </w:tcPr>
          <w:p>
            <w:pPr>
              <w:jc w:val="right"/>
              <w:spacing w:after="0"/>
              <w:rPr>
                <w:sz w:val="20"/>
                <w:szCs w:val="20"/>
                <w:color w:val="auto"/>
              </w:rPr>
            </w:pPr>
            <w:r>
              <w:rPr>
                <w:rFonts w:ascii="Arial" w:cs="Arial" w:eastAsia="Arial" w:hAnsi="Arial"/>
                <w:sz w:val="15"/>
                <w:szCs w:val="15"/>
                <w:color w:val="auto"/>
              </w:rPr>
              <w:t>710,600 ​</w:t>
            </w:r>
          </w:p>
        </w:tc>
        <w:tc>
          <w:tcPr>
            <w:tcW w:w="0" w:type="dxa"/>
            <w:vAlign w:val="bottom"/>
          </w:tcPr>
          <w:p>
            <w:pPr>
              <w:spacing w:after="0"/>
              <w:rPr>
                <w:sz w:val="1"/>
                <w:szCs w:val="1"/>
                <w:color w:val="auto"/>
              </w:rPr>
            </w:pPr>
          </w:p>
        </w:tc>
      </w:tr>
      <w:tr>
        <w:trPr>
          <w:trHeight w:val="96"/>
        </w:trPr>
        <w:tc>
          <w:tcPr>
            <w:tcW w:w="1760" w:type="dxa"/>
            <w:vAlign w:val="bottom"/>
            <w:vMerge w:val="continue"/>
          </w:tcPr>
          <w:p>
            <w:pPr>
              <w:spacing w:after="0"/>
              <w:rPr>
                <w:sz w:val="8"/>
                <w:szCs w:val="8"/>
                <w:color w:val="auto"/>
              </w:rPr>
            </w:pPr>
          </w:p>
        </w:tc>
        <w:tc>
          <w:tcPr>
            <w:tcW w:w="1080" w:type="dxa"/>
            <w:vAlign w:val="bottom"/>
            <w:gridSpan w:val="4"/>
            <w:vMerge w:val="continue"/>
          </w:tcPr>
          <w:p>
            <w:pPr>
              <w:spacing w:after="0"/>
              <w:rPr>
                <w:sz w:val="8"/>
                <w:szCs w:val="8"/>
                <w:color w:val="auto"/>
              </w:rPr>
            </w:pPr>
          </w:p>
        </w:tc>
        <w:tc>
          <w:tcPr>
            <w:tcW w:w="220" w:type="dxa"/>
            <w:vAlign w:val="bottom"/>
          </w:tcPr>
          <w:p>
            <w:pPr>
              <w:jc w:val="right"/>
              <w:spacing w:after="0" w:line="96" w:lineRule="exact"/>
              <w:rPr>
                <w:sz w:val="20"/>
                <w:szCs w:val="20"/>
                <w:color w:val="auto"/>
              </w:rPr>
            </w:pPr>
            <w:r>
              <w:rPr>
                <w:rFonts w:ascii="Arial" w:cs="Arial" w:eastAsia="Arial" w:hAnsi="Arial"/>
                <w:sz w:val="11"/>
                <w:szCs w:val="11"/>
                <w:color w:val="auto"/>
              </w:rPr>
              <w:t>​​​$</w:t>
            </w:r>
          </w:p>
        </w:tc>
        <w:tc>
          <w:tcPr>
            <w:tcW w:w="70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760" w:type="dxa"/>
            <w:vAlign w:val="bottom"/>
            <w:vMerge w:val="restart"/>
          </w:tcPr>
          <w:p>
            <w:pPr>
              <w:spacing w:after="0"/>
              <w:rPr>
                <w:sz w:val="20"/>
                <w:szCs w:val="20"/>
                <w:color w:val="auto"/>
              </w:rPr>
            </w:pPr>
            <w:r>
              <w:rPr>
                <w:rFonts w:ascii="Arial" w:cs="Arial" w:eastAsia="Arial" w:hAnsi="Arial"/>
                <w:sz w:val="15"/>
                <w:szCs w:val="15"/>
                <w:color w:val="auto"/>
              </w:rPr>
              <w:t>Chief Financial Officer</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jc w:val="right"/>
              <w:ind w:right="46"/>
              <w:spacing w:after="0" w:line="97" w:lineRule="exact"/>
              <w:rPr>
                <w:sz w:val="20"/>
                <w:szCs w:val="20"/>
                <w:color w:val="auto"/>
              </w:rPr>
            </w:pPr>
            <w:r>
              <w:rPr>
                <w:rFonts w:ascii="Arial" w:cs="Arial" w:eastAsia="Arial" w:hAnsi="Arial"/>
                <w:sz w:val="10"/>
                <w:szCs w:val="10"/>
                <w:color w:val="auto"/>
                <w:w w:val="81"/>
              </w:rPr>
              <w:t>(9)</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256,384​</w:t>
            </w:r>
          </w:p>
        </w:tc>
        <w:tc>
          <w:tcPr>
            <w:tcW w:w="1120" w:type="dxa"/>
            <w:vAlign w:val="bottom"/>
            <w:vMerge w:val="restart"/>
          </w:tcPr>
          <w:p>
            <w:pPr>
              <w:jc w:val="center"/>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360" w:type="dxa"/>
            <w:vAlign w:val="bottom"/>
            <w:vMerge w:val="restart"/>
          </w:tcPr>
          <w:p>
            <w:pPr>
              <w:ind w:left="180"/>
              <w:spacing w:after="0"/>
              <w:rPr>
                <w:sz w:val="20"/>
                <w:szCs w:val="20"/>
                <w:color w:val="auto"/>
              </w:rPr>
            </w:pPr>
            <w:r>
              <w:rPr>
                <w:rFonts w:ascii="Arial" w:cs="Arial" w:eastAsia="Arial" w:hAnsi="Arial"/>
                <w:sz w:val="15"/>
                <w:szCs w:val="15"/>
                <w:color w:val="auto"/>
              </w:rPr>
              <w:t>​</w:t>
            </w: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8"/>
                <w:szCs w:val="8"/>
                <w:color w:val="auto"/>
              </w:rPr>
            </w:pPr>
          </w:p>
        </w:tc>
        <w:tc>
          <w:tcPr>
            <w:tcW w:w="160" w:type="dxa"/>
            <w:vAlign w:val="bottom"/>
            <w:vMerge w:val="restart"/>
          </w:tcPr>
          <w:p>
            <w:pPr>
              <w:spacing w:after="0"/>
              <w:rPr>
                <w:sz w:val="20"/>
                <w:szCs w:val="20"/>
                <w:color w:val="auto"/>
              </w:rPr>
            </w:pPr>
            <w:r>
              <w:rPr>
                <w:rFonts w:ascii="Arial" w:cs="Arial" w:eastAsia="Arial" w:hAnsi="Arial"/>
                <w:sz w:val="15"/>
                <w:szCs w:val="15"/>
                <w:color w:val="auto"/>
              </w:rPr>
              <w:t>​ ​​$</w:t>
            </w:r>
          </w:p>
        </w:tc>
        <w:tc>
          <w:tcPr>
            <w:tcW w:w="680" w:type="dxa"/>
            <w:vAlign w:val="bottom"/>
            <w:gridSpan w:val="2"/>
            <w:vMerge w:val="restart"/>
          </w:tcPr>
          <w:p>
            <w:pPr>
              <w:jc w:val="right"/>
              <w:spacing w:after="0"/>
              <w:rPr>
                <w:sz w:val="20"/>
                <w:szCs w:val="20"/>
                <w:color w:val="auto"/>
              </w:rPr>
            </w:pPr>
            <w:r>
              <w:rPr>
                <w:rFonts w:ascii="Arial" w:cs="Arial" w:eastAsia="Arial" w:hAnsi="Arial"/>
                <w:sz w:val="15"/>
                <w:szCs w:val="15"/>
                <w:color w:val="auto"/>
              </w:rPr>
              <w:t>686,886​</w:t>
            </w:r>
          </w:p>
        </w:tc>
        <w:tc>
          <w:tcPr>
            <w:tcW w:w="0" w:type="dxa"/>
            <w:vAlign w:val="bottom"/>
          </w:tcPr>
          <w:p>
            <w:pPr>
              <w:spacing w:after="0"/>
              <w:rPr>
                <w:sz w:val="1"/>
                <w:szCs w:val="1"/>
                <w:color w:val="auto"/>
              </w:rPr>
            </w:pPr>
          </w:p>
        </w:tc>
      </w:tr>
      <w:tr>
        <w:trPr>
          <w:trHeight w:val="79"/>
        </w:trPr>
        <w:tc>
          <w:tcPr>
            <w:tcW w:w="1760" w:type="dxa"/>
            <w:vAlign w:val="bottom"/>
            <w:vMerge w:val="continue"/>
          </w:tcPr>
          <w:p>
            <w:pPr>
              <w:spacing w:after="0"/>
              <w:rPr>
                <w:sz w:val="6"/>
                <w:szCs w:val="6"/>
                <w:color w:val="auto"/>
              </w:rPr>
            </w:pPr>
          </w:p>
        </w:tc>
        <w:tc>
          <w:tcPr>
            <w:tcW w:w="1300" w:type="dxa"/>
            <w:vAlign w:val="bottom"/>
            <w:gridSpan w:val="5"/>
          </w:tcPr>
          <w:p>
            <w:pPr>
              <w:jc w:val="right"/>
              <w:spacing w:after="0" w:line="79" w:lineRule="exact"/>
              <w:rPr>
                <w:sz w:val="20"/>
                <w:szCs w:val="20"/>
                <w:color w:val="auto"/>
              </w:rPr>
            </w:pPr>
            <w:r>
              <w:rPr>
                <w:rFonts w:ascii="Arial" w:cs="Arial" w:eastAsia="Arial" w:hAnsi="Arial"/>
                <w:sz w:val="9"/>
                <w:szCs w:val="9"/>
                <w:color w:val="auto"/>
              </w:rPr>
              <w:t>​2024​​​$430,502​​​$</w:t>
            </w:r>
          </w:p>
        </w:tc>
        <w:tc>
          <w:tcPr>
            <w:tcW w:w="7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294"/>
        </w:trPr>
        <w:tc>
          <w:tcPr>
            <w:tcW w:w="1760" w:type="dxa"/>
            <w:vAlign w:val="bottom"/>
            <w:tcBorders>
              <w:right w:val="single" w:sz="8" w:color="CCEEFF"/>
            </w:tcBorders>
          </w:tcPr>
          <w:p>
            <w:pPr>
              <w:spacing w:after="0"/>
              <w:rPr>
                <w:sz w:val="20"/>
                <w:szCs w:val="20"/>
                <w:color w:val="auto"/>
              </w:rPr>
            </w:pPr>
            <w:r>
              <w:rPr>
                <w:rFonts w:ascii="Arial" w:cs="Arial" w:eastAsia="Arial" w:hAnsi="Arial"/>
                <w:sz w:val="15"/>
                <w:szCs w:val="15"/>
                <w:b w:val="1"/>
                <w:bCs w:val="1"/>
                <w:color w:val="auto"/>
              </w:rPr>
              <w:t>Gregory J. Ritts</w:t>
            </w:r>
          </w:p>
        </w:tc>
        <w:tc>
          <w:tcPr>
            <w:tcW w:w="1080" w:type="dxa"/>
            <w:vAlign w:val="bottom"/>
            <w:gridSpan w:val="4"/>
            <w:shd w:val="clear" w:color="auto" w:fill="CCEEFF"/>
          </w:tcPr>
          <w:p>
            <w:pPr>
              <w:jc w:val="right"/>
              <w:spacing w:after="0" w:line="29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5"/>
                <w:szCs w:val="15"/>
                <w:color w:val="auto"/>
              </w:rPr>
              <w:t xml:space="preserve">2023 </w:t>
            </w:r>
            <w:r>
              <w:rPr>
                <w:rFonts w:ascii="Arial" w:cs="Arial" w:eastAsia="Arial" w:hAnsi="Arial"/>
                <w:sz w:val="30"/>
                <w:szCs w:val="30"/>
                <w:color w:val="auto"/>
                <w:vertAlign w:val="superscript"/>
              </w:rPr>
              <w:t>​​​</w:t>
            </w:r>
            <w:r>
              <w:rPr>
                <w:rFonts w:ascii="Arial" w:cs="Arial" w:eastAsia="Arial" w:hAnsi="Arial"/>
                <w:sz w:val="15"/>
                <w:szCs w:val="15"/>
                <w:color w:val="auto"/>
              </w:rPr>
              <w:t>$505,317</w:t>
            </w:r>
          </w:p>
        </w:tc>
        <w:tc>
          <w:tcPr>
            <w:tcW w:w="220" w:type="dxa"/>
            <w:vAlign w:val="bottom"/>
            <w:tcBorders>
              <w:left w:val="single" w:sz="8" w:color="CCEEFF"/>
            </w:tcBorders>
            <w:shd w:val="clear" w:color="auto" w:fill="CCEEFF"/>
          </w:tcPr>
          <w:p>
            <w:pPr>
              <w:jc w:val="right"/>
              <w:spacing w:after="0" w:line="294" w:lineRule="exact"/>
              <w:rPr>
                <w:sz w:val="20"/>
                <w:szCs w:val="20"/>
                <w:color w:val="auto"/>
              </w:rPr>
            </w:pPr>
            <w:r>
              <w:rPr>
                <w:rFonts w:ascii="Arial" w:cs="Arial" w:eastAsia="Arial" w:hAnsi="Arial"/>
                <w:sz w:val="15"/>
                <w:szCs w:val="15"/>
                <w:color w:val="auto"/>
              </w:rPr>
              <w:t>​​​</w:t>
            </w:r>
            <w:r>
              <w:rPr>
                <w:rFonts w:ascii="Arial" w:cs="Arial" w:eastAsia="Arial" w:hAnsi="Arial"/>
                <w:sz w:val="30"/>
                <w:szCs w:val="30"/>
                <w:color w:val="auto"/>
                <w:vertAlign w:val="subscript"/>
              </w:rPr>
              <w:t>$</w:t>
            </w:r>
          </w:p>
        </w:tc>
        <w:tc>
          <w:tcPr>
            <w:tcW w:w="700" w:type="dxa"/>
            <w:vAlign w:val="bottom"/>
            <w:tcBorders>
              <w:right w:val="single" w:sz="8" w:color="CCEEFF"/>
            </w:tcBorders>
            <w:shd w:val="clear" w:color="auto" w:fill="CCEEFF"/>
          </w:tcPr>
          <w:p>
            <w:pPr>
              <w:jc w:val="right"/>
              <w:spacing w:after="0" w:line="294" w:lineRule="exact"/>
              <w:rPr>
                <w:sz w:val="20"/>
                <w:szCs w:val="20"/>
                <w:color w:val="auto"/>
              </w:rPr>
            </w:pPr>
            <w:r>
              <w:rPr>
                <w:rFonts w:ascii="Arial" w:cs="Arial" w:eastAsia="Arial" w:hAnsi="Arial"/>
                <w:sz w:val="15"/>
                <w:szCs w:val="15"/>
                <w:color w:val="auto"/>
              </w:rPr>
              <w:t xml:space="preserve">256,348 </w:t>
            </w:r>
            <w:r>
              <w:rPr>
                <w:rFonts w:ascii="Arial" w:cs="Arial" w:eastAsia="Arial" w:hAnsi="Arial"/>
                <w:sz w:val="30"/>
                <w:szCs w:val="30"/>
                <w:color w:val="auto"/>
                <w:vertAlign w:val="superscript"/>
              </w:rPr>
              <w:t>​</w:t>
            </w:r>
          </w:p>
        </w:tc>
        <w:tc>
          <w:tcPr>
            <w:tcW w:w="1120" w:type="dxa"/>
            <w:vAlign w:val="bottom"/>
            <w:shd w:val="clear" w:color="auto" w:fill="CCEEFF"/>
          </w:tcPr>
          <w:p>
            <w:pPr>
              <w:jc w:val="center"/>
              <w:spacing w:after="0" w:line="29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5"/>
                <w:szCs w:val="15"/>
                <w:color w:val="auto"/>
              </w:rPr>
              <w:t>—</w:t>
            </w:r>
          </w:p>
        </w:tc>
        <w:tc>
          <w:tcPr>
            <w:tcW w:w="10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ind w:left="180"/>
              <w:spacing w:after="0" w:line="29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111,046</w:t>
            </w:r>
          </w:p>
        </w:tc>
        <w:tc>
          <w:tcPr>
            <w:tcW w:w="28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line="294" w:lineRule="exact"/>
              <w:rPr>
                <w:sz w:val="20"/>
                <w:szCs w:val="20"/>
                <w:color w:val="auto"/>
              </w:rPr>
            </w:pPr>
            <w:r>
              <w:rPr>
                <w:rFonts w:ascii="Arial" w:cs="Arial" w:eastAsia="Arial" w:hAnsi="Arial"/>
                <w:sz w:val="15"/>
                <w:szCs w:val="15"/>
                <w:color w:val="auto"/>
                <w:w w:val="91"/>
              </w:rPr>
              <w:t>​ ​​</w:t>
            </w:r>
            <w:r>
              <w:rPr>
                <w:rFonts w:ascii="Arial" w:cs="Arial" w:eastAsia="Arial" w:hAnsi="Arial"/>
                <w:sz w:val="30"/>
                <w:szCs w:val="30"/>
                <w:color w:val="auto"/>
                <w:w w:val="91"/>
                <w:vertAlign w:val="subscript"/>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872,711</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760" w:type="dxa"/>
            <w:vAlign w:val="bottom"/>
            <w:vMerge w:val="restart"/>
          </w:tcPr>
          <w:p>
            <w:pPr>
              <w:spacing w:after="0"/>
              <w:rPr>
                <w:sz w:val="20"/>
                <w:szCs w:val="20"/>
                <w:color w:val="auto"/>
              </w:rPr>
            </w:pPr>
            <w:r>
              <w:rPr>
                <w:rFonts w:ascii="Arial" w:cs="Arial" w:eastAsia="Arial" w:hAnsi="Arial"/>
                <w:sz w:val="15"/>
                <w:szCs w:val="15"/>
                <w:color w:val="auto"/>
              </w:rPr>
              <w:t>Chief Legal and</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jc w:val="right"/>
              <w:ind w:right="6"/>
              <w:spacing w:after="0" w:line="68" w:lineRule="exact"/>
              <w:rPr>
                <w:sz w:val="20"/>
                <w:szCs w:val="20"/>
                <w:color w:val="auto"/>
              </w:rPr>
            </w:pPr>
            <w:r>
              <w:rPr>
                <w:rFonts w:ascii="Arial" w:cs="Arial" w:eastAsia="Arial" w:hAnsi="Arial"/>
                <w:sz w:val="7"/>
                <w:szCs w:val="7"/>
                <w:color w:val="auto"/>
              </w:rPr>
              <w:t>(10)</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225,631​</w:t>
            </w:r>
          </w:p>
        </w:tc>
        <w:tc>
          <w:tcPr>
            <w:tcW w:w="1120" w:type="dxa"/>
            <w:vAlign w:val="bottom"/>
            <w:vMerge w:val="restart"/>
          </w:tcPr>
          <w:p>
            <w:pPr>
              <w:jc w:val="center"/>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360" w:type="dxa"/>
            <w:vAlign w:val="bottom"/>
            <w:vMerge w:val="restart"/>
          </w:tcPr>
          <w:p>
            <w:pPr>
              <w:ind w:left="180"/>
              <w:spacing w:after="0"/>
              <w:rPr>
                <w:sz w:val="20"/>
                <w:szCs w:val="20"/>
                <w:color w:val="auto"/>
              </w:rPr>
            </w:pPr>
            <w:r>
              <w:rPr>
                <w:rFonts w:ascii="Arial" w:cs="Arial" w:eastAsia="Arial" w:hAnsi="Arial"/>
                <w:sz w:val="15"/>
                <w:szCs w:val="15"/>
                <w:color w:val="auto"/>
              </w:rPr>
              <w:t>​$</w:t>
            </w: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35,261</w:t>
            </w:r>
          </w:p>
        </w:tc>
        <w:tc>
          <w:tcPr>
            <w:tcW w:w="280" w:type="dxa"/>
            <w:vAlign w:val="bottom"/>
          </w:tcPr>
          <w:p>
            <w:pPr>
              <w:spacing w:after="0" w:line="68" w:lineRule="exact"/>
              <w:rPr>
                <w:sz w:val="20"/>
                <w:szCs w:val="20"/>
                <w:color w:val="auto"/>
              </w:rPr>
            </w:pPr>
            <w:r>
              <w:rPr>
                <w:rFonts w:ascii="Arial" w:cs="Arial" w:eastAsia="Arial" w:hAnsi="Arial"/>
                <w:sz w:val="7"/>
                <w:szCs w:val="7"/>
                <w:color w:val="auto"/>
              </w:rPr>
              <w:t>(11)</w:t>
            </w:r>
          </w:p>
        </w:tc>
        <w:tc>
          <w:tcPr>
            <w:tcW w:w="160" w:type="dxa"/>
            <w:vAlign w:val="bottom"/>
            <w:vMerge w:val="restart"/>
          </w:tcPr>
          <w:p>
            <w:pPr>
              <w:spacing w:after="0"/>
              <w:rPr>
                <w:sz w:val="20"/>
                <w:szCs w:val="20"/>
                <w:color w:val="auto"/>
              </w:rPr>
            </w:pPr>
            <w:r>
              <w:rPr>
                <w:rFonts w:ascii="Arial" w:cs="Arial" w:eastAsia="Arial" w:hAnsi="Arial"/>
                <w:sz w:val="15"/>
                <w:szCs w:val="15"/>
                <w:color w:val="auto"/>
              </w:rPr>
              <w:t>​ ​​$</w:t>
            </w:r>
          </w:p>
        </w:tc>
        <w:tc>
          <w:tcPr>
            <w:tcW w:w="680" w:type="dxa"/>
            <w:vAlign w:val="bottom"/>
            <w:gridSpan w:val="2"/>
            <w:vMerge w:val="restart"/>
          </w:tcPr>
          <w:p>
            <w:pPr>
              <w:jc w:val="right"/>
              <w:spacing w:after="0"/>
              <w:rPr>
                <w:sz w:val="20"/>
                <w:szCs w:val="20"/>
                <w:color w:val="auto"/>
              </w:rPr>
            </w:pPr>
            <w:r>
              <w:rPr>
                <w:rFonts w:ascii="Arial" w:cs="Arial" w:eastAsia="Arial" w:hAnsi="Arial"/>
                <w:sz w:val="15"/>
                <w:szCs w:val="15"/>
                <w:color w:val="auto"/>
              </w:rPr>
              <w:t>725,857​</w:t>
            </w:r>
          </w:p>
        </w:tc>
        <w:tc>
          <w:tcPr>
            <w:tcW w:w="0" w:type="dxa"/>
            <w:vAlign w:val="bottom"/>
          </w:tcPr>
          <w:p>
            <w:pPr>
              <w:spacing w:after="0"/>
              <w:rPr>
                <w:sz w:val="1"/>
                <w:szCs w:val="1"/>
                <w:color w:val="auto"/>
              </w:rPr>
            </w:pPr>
          </w:p>
        </w:tc>
      </w:tr>
      <w:tr>
        <w:trPr>
          <w:trHeight w:val="112"/>
        </w:trPr>
        <w:tc>
          <w:tcPr>
            <w:tcW w:w="1760" w:type="dxa"/>
            <w:vAlign w:val="bottom"/>
            <w:vMerge w:val="continue"/>
          </w:tcPr>
          <w:p>
            <w:pPr>
              <w:spacing w:after="0"/>
              <w:rPr>
                <w:sz w:val="9"/>
                <w:szCs w:val="9"/>
                <w:color w:val="auto"/>
              </w:rPr>
            </w:pPr>
          </w:p>
        </w:tc>
        <w:tc>
          <w:tcPr>
            <w:tcW w:w="1300" w:type="dxa"/>
            <w:vAlign w:val="bottom"/>
            <w:gridSpan w:val="5"/>
          </w:tcPr>
          <w:p>
            <w:pPr>
              <w:jc w:val="right"/>
              <w:spacing w:after="0" w:line="113" w:lineRule="exact"/>
              <w:rPr>
                <w:sz w:val="20"/>
                <w:szCs w:val="20"/>
                <w:color w:val="auto"/>
              </w:rPr>
            </w:pPr>
            <w:r>
              <w:rPr>
                <w:rFonts w:ascii="Arial" w:cs="Arial" w:eastAsia="Arial" w:hAnsi="Arial"/>
                <w:sz w:val="13"/>
                <w:szCs w:val="13"/>
                <w:color w:val="auto"/>
              </w:rPr>
              <w:t>​2024​​​$464,964​​​$</w:t>
            </w:r>
          </w:p>
        </w:tc>
        <w:tc>
          <w:tcPr>
            <w:tcW w:w="7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-300355</wp:posOffset>
            </wp:positionV>
            <wp:extent cx="4460875" cy="4667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460875" cy="466725"/>
                    </a:xfrm>
                    <a:prstGeom prst="rect">
                      <a:avLst/>
                    </a:prstGeom>
                    <a:noFill/>
                  </pic:spPr>
                </pic:pic>
              </a:graphicData>
            </a:graphic>
          </wp:anchor>
        </w:drawing>
        <w:drawing>
          <wp:anchor simplePos="0" relativeHeight="251657728" behindDoc="1" locked="0" layoutInCell="0" allowOverlap="1">
            <wp:simplePos x="0" y="0"/>
            <wp:positionH relativeFrom="column">
              <wp:posOffset>4584065</wp:posOffset>
            </wp:positionH>
            <wp:positionV relativeFrom="paragraph">
              <wp:posOffset>-853440</wp:posOffset>
            </wp:positionV>
            <wp:extent cx="3619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6195" cy="6985"/>
                    </a:xfrm>
                    <a:prstGeom prst="rect">
                      <a:avLst/>
                    </a:prstGeom>
                    <a:noFill/>
                  </pic:spPr>
                </pic:pic>
              </a:graphicData>
            </a:graphic>
          </wp:anchor>
        </w:drawing>
        <w:drawing>
          <wp:anchor simplePos="0" relativeHeight="251657728" behindDoc="1" locked="0" layoutInCell="0" allowOverlap="1">
            <wp:simplePos x="0" y="0"/>
            <wp:positionH relativeFrom="column">
              <wp:posOffset>3808095</wp:posOffset>
            </wp:positionH>
            <wp:positionV relativeFrom="paragraph">
              <wp:posOffset>-853440</wp:posOffset>
            </wp:positionV>
            <wp:extent cx="2857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3032125</wp:posOffset>
            </wp:positionH>
            <wp:positionV relativeFrom="paragraph">
              <wp:posOffset>-853440</wp:posOffset>
            </wp:positionV>
            <wp:extent cx="2857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2472055</wp:posOffset>
            </wp:positionH>
            <wp:positionV relativeFrom="paragraph">
              <wp:posOffset>-853440</wp:posOffset>
            </wp:positionV>
            <wp:extent cx="4318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180" cy="6985"/>
                    </a:xfrm>
                    <a:prstGeom prst="rect">
                      <a:avLst/>
                    </a:prstGeom>
                    <a:noFill/>
                  </pic:spPr>
                </pic:pic>
              </a:graphicData>
            </a:graphic>
          </wp:anchor>
        </w:drawing>
        <w:drawing>
          <wp:anchor simplePos="0" relativeHeight="251657728" behindDoc="1" locked="0" layoutInCell="0" allowOverlap="1">
            <wp:simplePos x="0" y="0"/>
            <wp:positionH relativeFrom="column">
              <wp:posOffset>2012315</wp:posOffset>
            </wp:positionH>
            <wp:positionV relativeFrom="paragraph">
              <wp:posOffset>-853440</wp:posOffset>
            </wp:positionV>
            <wp:extent cx="4318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180" cy="698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-853440</wp:posOffset>
            </wp:positionV>
            <wp:extent cx="2857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575" cy="6985"/>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5"/>
          <w:szCs w:val="15"/>
          <w:color w:val="auto"/>
        </w:rPr>
        <w:t>Compliance Officer</w:t>
      </w:r>
    </w:p>
    <w:p>
      <w:pPr>
        <w:spacing w:after="0" w:line="153" w:lineRule="exact"/>
        <w:rPr>
          <w:sz w:val="20"/>
          <w:szCs w:val="20"/>
          <w:color w:val="auto"/>
        </w:rPr>
      </w:pPr>
    </w:p>
    <w:p>
      <w:pPr>
        <w:ind w:left="1360" w:right="1179" w:hanging="295"/>
        <w:spacing w:after="0"/>
        <w:tabs>
          <w:tab w:leader="none" w:pos="1360" w:val="left"/>
        </w:tabs>
        <w:numPr>
          <w:ilvl w:val="0"/>
          <w:numId w:val="37"/>
        </w:numPr>
        <w:rPr>
          <w:rFonts w:ascii="Arial" w:cs="Arial" w:eastAsia="Arial" w:hAnsi="Arial"/>
          <w:sz w:val="23"/>
          <w:szCs w:val="23"/>
          <w:color w:val="auto"/>
          <w:vertAlign w:val="superscript"/>
        </w:rPr>
      </w:pPr>
      <w:r>
        <w:rPr>
          <w:rFonts w:ascii="Arial" w:cs="Arial" w:eastAsia="Arial" w:hAnsi="Arial"/>
          <w:sz w:val="15"/>
          <w:szCs w:val="15"/>
          <w:color w:val="auto"/>
        </w:rPr>
        <w:t>Represents amounts earned in the corresponding year. From November 1, 2023 until February 1, 2025, Mr. Shepro and Ms. Esterman each provided the Company with the option to pay up to 30% of their salaries with a quarterly grant of unrestricted Altisource common stock in lieu of cash (the “Adjustment”). The Adjustment was determined by dividing the amount of the forgone salary by the lower of (i) the average closing stock price for the covered period and (ii) the closing stock price on the day immediately preceding the date of the grant.</w:t>
      </w:r>
    </w:p>
    <w:p>
      <w:pPr>
        <w:spacing w:after="0" w:line="174" w:lineRule="exact"/>
        <w:rPr>
          <w:rFonts w:ascii="Arial" w:cs="Arial" w:eastAsia="Arial" w:hAnsi="Arial"/>
          <w:sz w:val="23"/>
          <w:szCs w:val="23"/>
          <w:color w:val="auto"/>
          <w:vertAlign w:val="superscript"/>
        </w:rPr>
      </w:pPr>
    </w:p>
    <w:p>
      <w:pPr>
        <w:ind w:left="1360" w:right="1159" w:hanging="295"/>
        <w:spacing w:after="0" w:line="227" w:lineRule="auto"/>
        <w:tabs>
          <w:tab w:leader="none" w:pos="1360" w:val="left"/>
        </w:tabs>
        <w:numPr>
          <w:ilvl w:val="0"/>
          <w:numId w:val="37"/>
        </w:numPr>
        <w:rPr>
          <w:rFonts w:ascii="Arial" w:cs="Arial" w:eastAsia="Arial" w:hAnsi="Arial"/>
          <w:sz w:val="23"/>
          <w:szCs w:val="23"/>
          <w:color w:val="auto"/>
          <w:vertAlign w:val="superscript"/>
        </w:rPr>
      </w:pPr>
      <w:r>
        <w:rPr>
          <w:rFonts w:ascii="Arial" w:cs="Arial" w:eastAsia="Arial" w:hAnsi="Arial"/>
          <w:sz w:val="15"/>
          <w:szCs w:val="15"/>
          <w:color w:val="auto"/>
        </w:rPr>
        <w:t>Represents the grant date fair value in accordance with Financial Accounting Standards Board Accounting Standards Codification Topic 718 of the RSUs granted during each year presented. The value was determined by using the grant date fair value per award multiplied by the shares or RSUs granted, as per the grant date.</w:t>
      </w:r>
    </w:p>
    <w:p>
      <w:pPr>
        <w:spacing w:after="0" w:line="29" w:lineRule="exact"/>
        <w:rPr>
          <w:rFonts w:ascii="Arial" w:cs="Arial" w:eastAsia="Arial" w:hAnsi="Arial"/>
          <w:sz w:val="23"/>
          <w:szCs w:val="23"/>
          <w:color w:val="auto"/>
          <w:vertAlign w:val="superscript"/>
        </w:rPr>
      </w:pPr>
    </w:p>
    <w:p>
      <w:pPr>
        <w:ind w:left="1360" w:right="1139" w:hanging="295"/>
        <w:spacing w:after="0" w:line="208" w:lineRule="auto"/>
        <w:tabs>
          <w:tab w:leader="none" w:pos="1360" w:val="left"/>
        </w:tabs>
        <w:numPr>
          <w:ilvl w:val="0"/>
          <w:numId w:val="37"/>
        </w:numPr>
        <w:rPr>
          <w:rFonts w:ascii="Arial" w:cs="Arial" w:eastAsia="Arial" w:hAnsi="Arial"/>
          <w:sz w:val="23"/>
          <w:szCs w:val="23"/>
          <w:color w:val="auto"/>
          <w:vertAlign w:val="superscript"/>
        </w:rPr>
      </w:pPr>
      <w:r>
        <w:rPr>
          <w:rFonts w:ascii="Arial" w:cs="Arial" w:eastAsia="Arial" w:hAnsi="Arial"/>
          <w:sz w:val="15"/>
          <w:szCs w:val="15"/>
          <w:color w:val="auto"/>
        </w:rPr>
        <w:t>Consists of the cash portion of annual incentive compensation related to performance in the year indicated and awarded in the first quarter of the following year.</w:t>
      </w:r>
    </w:p>
    <w:p>
      <w:pPr>
        <w:spacing w:after="0" w:line="28" w:lineRule="exact"/>
        <w:rPr>
          <w:rFonts w:ascii="Arial" w:cs="Arial" w:eastAsia="Arial" w:hAnsi="Arial"/>
          <w:sz w:val="23"/>
          <w:szCs w:val="23"/>
          <w:color w:val="auto"/>
          <w:vertAlign w:val="superscript"/>
        </w:rPr>
      </w:pPr>
    </w:p>
    <w:p>
      <w:pPr>
        <w:ind w:left="1360" w:right="1119" w:hanging="295"/>
        <w:spacing w:after="0" w:line="220" w:lineRule="auto"/>
        <w:tabs>
          <w:tab w:leader="none" w:pos="1360" w:val="left"/>
        </w:tabs>
        <w:numPr>
          <w:ilvl w:val="0"/>
          <w:numId w:val="37"/>
        </w:numPr>
        <w:rPr>
          <w:rFonts w:ascii="Arial" w:cs="Arial" w:eastAsia="Arial" w:hAnsi="Arial"/>
          <w:sz w:val="23"/>
          <w:szCs w:val="23"/>
          <w:color w:val="auto"/>
          <w:vertAlign w:val="superscript"/>
        </w:rPr>
      </w:pPr>
      <w:r>
        <w:rPr>
          <w:rFonts w:ascii="Arial" w:cs="Arial" w:eastAsia="Arial" w:hAnsi="Arial"/>
          <w:sz w:val="15"/>
          <w:szCs w:val="15"/>
          <w:color w:val="auto"/>
        </w:rPr>
        <w:t>Consists of payments made to each Named Executive Officer or on their behalf pursuant to their respective employment agreements and relocation/expatriate plans, as detailed in the applicable footnotes.</w:t>
      </w:r>
    </w:p>
    <w:p>
      <w:pPr>
        <w:spacing w:after="0" w:line="29" w:lineRule="exact"/>
        <w:rPr>
          <w:rFonts w:ascii="Arial" w:cs="Arial" w:eastAsia="Arial" w:hAnsi="Arial"/>
          <w:sz w:val="23"/>
          <w:szCs w:val="23"/>
          <w:color w:val="auto"/>
          <w:vertAlign w:val="superscript"/>
        </w:rPr>
      </w:pPr>
    </w:p>
    <w:p>
      <w:pPr>
        <w:ind w:left="1360" w:right="1079" w:hanging="295"/>
        <w:spacing w:after="0"/>
        <w:tabs>
          <w:tab w:leader="none" w:pos="1360" w:val="left"/>
        </w:tabs>
        <w:numPr>
          <w:ilvl w:val="0"/>
          <w:numId w:val="37"/>
        </w:numPr>
        <w:rPr>
          <w:rFonts w:ascii="Arial" w:cs="Arial" w:eastAsia="Arial" w:hAnsi="Arial"/>
          <w:sz w:val="23"/>
          <w:szCs w:val="23"/>
          <w:color w:val="auto"/>
          <w:vertAlign w:val="superscript"/>
        </w:rPr>
      </w:pPr>
      <w:r>
        <w:rPr>
          <w:rFonts w:ascii="Arial" w:cs="Arial" w:eastAsia="Arial" w:hAnsi="Arial"/>
          <w:sz w:val="15"/>
          <w:szCs w:val="15"/>
          <w:color w:val="auto"/>
        </w:rPr>
        <w:t>Mr. Shepro’s salary is set in U.S. dollars and paid in euros. His salary was converted to euros using an exchange rate of 0.83 euros to the U.S. dollar. The base salary reported on the table above is the U.S. dollar salary prior to conversion to euros. During 2023, $47,518 of Mr. Shepro’s salary was subject to Adjustment, with the number of shares of common stock granted in lieu of cash determined as follows: Mr. Shepro received 13,348 shares of common stock in lieu of $47,518 for the fourth quarter of 2023. The Adjustment was determined by dividing the amount of the forgone cash compensation by $3.56, the closing share price the day immediately preceding the grant date, December 29, 2023 in this case.</w:t>
      </w:r>
    </w:p>
    <w:p>
      <w:pPr>
        <w:spacing w:after="0" w:line="202" w:lineRule="exact"/>
        <w:rPr>
          <w:rFonts w:ascii="Arial" w:cs="Arial" w:eastAsia="Arial" w:hAnsi="Arial"/>
          <w:sz w:val="23"/>
          <w:szCs w:val="23"/>
          <w:color w:val="auto"/>
          <w:vertAlign w:val="superscript"/>
        </w:rPr>
      </w:pPr>
    </w:p>
    <w:p>
      <w:pPr>
        <w:ind w:left="1360" w:right="1099" w:hanging="295"/>
        <w:spacing w:after="0" w:line="231" w:lineRule="auto"/>
        <w:tabs>
          <w:tab w:leader="none" w:pos="1360" w:val="left"/>
        </w:tabs>
        <w:numPr>
          <w:ilvl w:val="0"/>
          <w:numId w:val="37"/>
        </w:numPr>
        <w:rPr>
          <w:rFonts w:ascii="Arial" w:cs="Arial" w:eastAsia="Arial" w:hAnsi="Arial"/>
          <w:sz w:val="23"/>
          <w:szCs w:val="23"/>
          <w:color w:val="auto"/>
          <w:vertAlign w:val="superscript"/>
        </w:rPr>
      </w:pPr>
      <w:r>
        <w:rPr>
          <w:rFonts w:ascii="Arial" w:cs="Arial" w:eastAsia="Arial" w:hAnsi="Arial"/>
          <w:sz w:val="15"/>
          <w:szCs w:val="15"/>
          <w:color w:val="auto"/>
        </w:rPr>
        <w:t>Mr. Shepro’s salary is set in U.S. dollars and paid in euros. His salary was converted to euros using an exchange rate of 0.83 euros to the U.S. dollar. The base salary reported on the table above is the U.S. dollar salary prior to conversion to euros. During 2024, $285,108 of Mr. Shepro’s salary was subject to Adjustment, with the number of shares of common stock granted in lieu of cash determined on a quarterly basis as follows:</w:t>
      </w:r>
    </w:p>
    <w:p>
      <w:pPr>
        <w:ind w:left="1360" w:right="1239"/>
        <w:spacing w:after="0" w:line="266" w:lineRule="auto"/>
        <w:rPr>
          <w:rFonts w:ascii="Arial" w:cs="Arial" w:eastAsia="Arial" w:hAnsi="Arial"/>
          <w:sz w:val="23"/>
          <w:szCs w:val="23"/>
          <w:color w:val="auto"/>
          <w:vertAlign w:val="superscript"/>
        </w:rPr>
      </w:pPr>
      <w:r>
        <w:rPr>
          <w:rFonts w:ascii="Arial" w:cs="Arial" w:eastAsia="Arial" w:hAnsi="Arial"/>
          <w:sz w:val="15"/>
          <w:szCs w:val="15"/>
          <w:color w:val="auto"/>
        </w:rPr>
        <w:t>Mr. Shepro received 36,741 shares of common stock in lieu of $71,277 for the first quarter of 2024. The Adjustment was determined by dividing the amount of the forgone cash compensation</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3" w:name="page34"/>
    <w:bookmarkEnd w:id="33"/>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6" w:lineRule="exact"/>
        <w:rPr>
          <w:sz w:val="20"/>
          <w:szCs w:val="20"/>
          <w:color w:val="auto"/>
        </w:rPr>
      </w:pPr>
    </w:p>
    <w:p>
      <w:pPr>
        <w:ind w:left="580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3679190</wp:posOffset>
            </wp:positionH>
            <wp:positionV relativeFrom="paragraph">
              <wp:posOffset>-181610</wp:posOffset>
            </wp:positionV>
            <wp:extent cx="1357630" cy="1219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57630" cy="121920"/>
                    </a:xfrm>
                    <a:prstGeom prst="rect">
                      <a:avLst/>
                    </a:prstGeom>
                    <a:noFill/>
                  </pic:spPr>
                </pic:pic>
              </a:graphicData>
            </a:graphic>
          </wp:anchor>
        </w:drawing>
      </w:r>
    </w:p>
    <w:p>
      <w:pPr>
        <w:spacing w:after="0" w:line="97"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by $1.94, the closing share price the day immediately preceding the grant date,</w:t>
      </w:r>
    </w:p>
    <w:p>
      <w:pPr>
        <w:spacing w:after="0" w:line="8"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March 28, 2024 in this case. Mr. Shepro received 50,195 shares of common stock in lieu</w:t>
      </w:r>
    </w:p>
    <w:p>
      <w:pPr>
        <w:ind w:left="1360"/>
        <w:spacing w:after="0"/>
        <w:rPr>
          <w:sz w:val="20"/>
          <w:szCs w:val="20"/>
          <w:color w:val="auto"/>
        </w:rPr>
      </w:pPr>
      <w:r>
        <w:rPr>
          <w:rFonts w:ascii="Arial" w:cs="Arial" w:eastAsia="Arial" w:hAnsi="Arial"/>
          <w:sz w:val="15"/>
          <w:szCs w:val="15"/>
          <w:color w:val="auto"/>
        </w:rPr>
        <w:t>of $71,277 for the second quarter of 2024. The Adjustment was determined by dividing</w:t>
      </w:r>
    </w:p>
    <w:p>
      <w:pPr>
        <w:spacing w:after="0" w:line="6"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the amount of the forgone cash compensation by $1.42, the closing share price the day</w:t>
      </w:r>
    </w:p>
    <w:p>
      <w:pPr>
        <w:ind w:left="1360"/>
        <w:spacing w:after="0" w:line="236" w:lineRule="auto"/>
        <w:rPr>
          <w:sz w:val="20"/>
          <w:szCs w:val="20"/>
          <w:color w:val="auto"/>
        </w:rPr>
      </w:pPr>
      <w:r>
        <w:rPr>
          <w:rFonts w:ascii="Arial" w:cs="Arial" w:eastAsia="Arial" w:hAnsi="Arial"/>
          <w:sz w:val="15"/>
          <w:szCs w:val="15"/>
          <w:color w:val="auto"/>
        </w:rPr>
        <w:t>immediately preceding the grant date, June 27, 2024 in this case. Mr. Shepro received</w:t>
      </w:r>
    </w:p>
    <w:p>
      <w:pPr>
        <w:ind w:left="1360"/>
        <w:spacing w:after="0"/>
        <w:rPr>
          <w:sz w:val="20"/>
          <w:szCs w:val="20"/>
          <w:color w:val="auto"/>
        </w:rPr>
      </w:pPr>
      <w:r>
        <w:rPr>
          <w:rFonts w:ascii="Arial" w:cs="Arial" w:eastAsia="Arial" w:hAnsi="Arial"/>
          <w:sz w:val="15"/>
          <w:szCs w:val="15"/>
          <w:color w:val="auto"/>
        </w:rPr>
        <w:t>59,897 shares of common stock in lieu of $71,277 for the third quarter of 2024. The</w:t>
      </w:r>
    </w:p>
    <w:p>
      <w:pPr>
        <w:spacing w:after="0" w:line="6"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Adjustment was determined by dividing the amount of the forgone cash compensation by</w:t>
      </w:r>
    </w:p>
    <w:p>
      <w:pPr>
        <w:ind w:left="1360"/>
        <w:spacing w:after="0" w:line="236" w:lineRule="auto"/>
        <w:rPr>
          <w:sz w:val="20"/>
          <w:szCs w:val="20"/>
          <w:color w:val="auto"/>
        </w:rPr>
      </w:pPr>
      <w:r>
        <w:rPr>
          <w:rFonts w:ascii="Arial" w:cs="Arial" w:eastAsia="Arial" w:hAnsi="Arial"/>
          <w:sz w:val="15"/>
          <w:szCs w:val="15"/>
          <w:color w:val="auto"/>
        </w:rPr>
        <w:t>$1.19, the closing share price the day immediately preceding the grant date,</w:t>
      </w:r>
    </w:p>
    <w:p>
      <w:pPr>
        <w:ind w:left="1360"/>
        <w:spacing w:after="0"/>
        <w:rPr>
          <w:sz w:val="20"/>
          <w:szCs w:val="20"/>
          <w:color w:val="auto"/>
        </w:rPr>
      </w:pPr>
      <w:r>
        <w:rPr>
          <w:rFonts w:ascii="Arial" w:cs="Arial" w:eastAsia="Arial" w:hAnsi="Arial"/>
          <w:sz w:val="15"/>
          <w:szCs w:val="15"/>
          <w:color w:val="auto"/>
        </w:rPr>
        <w:t>September 27, 2024 in this case. Mr. Shepro received 99,968 shares of common stock in</w:t>
      </w:r>
    </w:p>
    <w:p>
      <w:pPr>
        <w:spacing w:after="0" w:line="6"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lieu of $71,277 for the fourth quarter of 2024. The Adjustment was determined by</w:t>
      </w:r>
    </w:p>
    <w:p>
      <w:pPr>
        <w:ind w:left="1360"/>
        <w:spacing w:after="0" w:line="236" w:lineRule="auto"/>
        <w:rPr>
          <w:sz w:val="20"/>
          <w:szCs w:val="20"/>
          <w:color w:val="auto"/>
        </w:rPr>
      </w:pPr>
      <w:r>
        <w:rPr>
          <w:rFonts w:ascii="Arial" w:cs="Arial" w:eastAsia="Arial" w:hAnsi="Arial"/>
          <w:sz w:val="15"/>
          <w:szCs w:val="15"/>
          <w:color w:val="auto"/>
        </w:rPr>
        <w:t>dividing the amount of the forgone cash compensation by $0.713, the closing share price</w:t>
      </w:r>
    </w:p>
    <w:p>
      <w:pPr>
        <w:ind w:left="1360"/>
        <w:spacing w:after="0"/>
        <w:rPr>
          <w:sz w:val="20"/>
          <w:szCs w:val="20"/>
          <w:color w:val="auto"/>
        </w:rPr>
      </w:pPr>
      <w:r>
        <w:rPr>
          <w:rFonts w:ascii="Arial" w:cs="Arial" w:eastAsia="Arial" w:hAnsi="Arial"/>
          <w:sz w:val="15"/>
          <w:szCs w:val="15"/>
          <w:color w:val="auto"/>
        </w:rPr>
        <w:t>the day immediately preceding the grant date, December 30, 2024 in this case.</w:t>
      </w:r>
    </w:p>
    <w:p>
      <w:pPr>
        <w:spacing w:after="0" w:line="28" w:lineRule="exact"/>
        <w:rPr>
          <w:sz w:val="20"/>
          <w:szCs w:val="20"/>
          <w:color w:val="auto"/>
        </w:rPr>
      </w:pPr>
    </w:p>
    <w:p>
      <w:pPr>
        <w:ind w:left="1360" w:right="1099" w:hanging="295"/>
        <w:spacing w:after="0" w:line="231" w:lineRule="auto"/>
        <w:tabs>
          <w:tab w:leader="none" w:pos="1360" w:val="left"/>
        </w:tabs>
        <w:numPr>
          <w:ilvl w:val="0"/>
          <w:numId w:val="38"/>
        </w:numPr>
        <w:rPr>
          <w:rFonts w:ascii="Arial" w:cs="Arial" w:eastAsia="Arial" w:hAnsi="Arial"/>
          <w:sz w:val="23"/>
          <w:szCs w:val="23"/>
          <w:color w:val="auto"/>
          <w:vertAlign w:val="superscript"/>
        </w:rPr>
      </w:pPr>
      <w:r>
        <w:rPr>
          <w:rFonts w:ascii="Arial" w:cs="Arial" w:eastAsia="Arial" w:hAnsi="Arial"/>
          <w:sz w:val="15"/>
          <w:szCs w:val="15"/>
          <w:color w:val="auto"/>
        </w:rPr>
        <w:t>Includes an education allowance, a goods and services allowance, a travel allowance, medical benefits and $104,882 tax gross-up payments on perquisites. Mr. Shepro’s other compensation includes benefits paid in euros and, for purposes of the table, is converted into U.S. dollars based on the Bloomberg one-year average exchange rate ending on December 31, 2024 of 0.9244 euros to the U.S. dollar.</w:t>
      </w:r>
    </w:p>
    <w:p>
      <w:pPr>
        <w:spacing w:after="0" w:line="20" w:lineRule="exact"/>
        <w:rPr>
          <w:rFonts w:ascii="Arial" w:cs="Arial" w:eastAsia="Arial" w:hAnsi="Arial"/>
          <w:sz w:val="23"/>
          <w:szCs w:val="23"/>
          <w:color w:val="auto"/>
          <w:vertAlign w:val="superscript"/>
        </w:rPr>
      </w:pPr>
    </w:p>
    <w:p>
      <w:pPr>
        <w:ind w:left="1360" w:right="1519" w:hanging="295"/>
        <w:spacing w:after="0" w:line="206" w:lineRule="auto"/>
        <w:tabs>
          <w:tab w:leader="none" w:pos="1360" w:val="left"/>
        </w:tabs>
        <w:numPr>
          <w:ilvl w:val="0"/>
          <w:numId w:val="38"/>
        </w:numPr>
        <w:rPr>
          <w:rFonts w:ascii="Arial" w:cs="Arial" w:eastAsia="Arial" w:hAnsi="Arial"/>
          <w:sz w:val="23"/>
          <w:szCs w:val="23"/>
          <w:color w:val="auto"/>
          <w:vertAlign w:val="superscript"/>
        </w:rPr>
      </w:pPr>
      <w:r>
        <w:rPr>
          <w:rFonts w:ascii="Arial" w:cs="Arial" w:eastAsia="Arial" w:hAnsi="Arial"/>
          <w:sz w:val="15"/>
          <w:szCs w:val="15"/>
          <w:color w:val="auto"/>
        </w:rPr>
        <w:t>During 2023, $21,525 of Ms. Esterman’s salary was subject to Adjustment, with the number of shares of common stock granted in lieu of cash determined as follows:</w:t>
      </w:r>
    </w:p>
    <w:p>
      <w:pPr>
        <w:ind w:left="1360" w:right="1159"/>
        <w:spacing w:after="0" w:line="253" w:lineRule="auto"/>
        <w:rPr>
          <w:rFonts w:ascii="Arial" w:cs="Arial" w:eastAsia="Arial" w:hAnsi="Arial"/>
          <w:sz w:val="23"/>
          <w:szCs w:val="23"/>
          <w:color w:val="auto"/>
          <w:vertAlign w:val="superscript"/>
        </w:rPr>
      </w:pPr>
      <w:r>
        <w:rPr>
          <w:rFonts w:ascii="Arial" w:cs="Arial" w:eastAsia="Arial" w:hAnsi="Arial"/>
          <w:sz w:val="15"/>
          <w:szCs w:val="15"/>
          <w:color w:val="auto"/>
        </w:rPr>
        <w:t>Ms. Esterman received 6,046 shares of common stock in lieu of $21,525 for the fourth quarter of 2023. The Adjustment was determined by dividing the amount of the forgone cash compensation by $3.56, the closing share price the day immediately preceding the grant date, December 29, 2023 in this case.</w:t>
      </w:r>
    </w:p>
    <w:p>
      <w:pPr>
        <w:spacing w:after="0" w:line="16" w:lineRule="exact"/>
        <w:rPr>
          <w:rFonts w:ascii="Arial" w:cs="Arial" w:eastAsia="Arial" w:hAnsi="Arial"/>
          <w:sz w:val="23"/>
          <w:szCs w:val="23"/>
          <w:color w:val="auto"/>
          <w:vertAlign w:val="superscript"/>
        </w:rPr>
      </w:pPr>
    </w:p>
    <w:p>
      <w:pPr>
        <w:ind w:left="1360" w:right="1079" w:hanging="295"/>
        <w:spacing w:after="0" w:line="242" w:lineRule="auto"/>
        <w:tabs>
          <w:tab w:leader="none" w:pos="1360" w:val="left"/>
        </w:tabs>
        <w:numPr>
          <w:ilvl w:val="0"/>
          <w:numId w:val="38"/>
        </w:numPr>
        <w:rPr>
          <w:rFonts w:ascii="Arial" w:cs="Arial" w:eastAsia="Arial" w:hAnsi="Arial"/>
          <w:sz w:val="23"/>
          <w:szCs w:val="23"/>
          <w:color w:val="auto"/>
          <w:vertAlign w:val="superscript"/>
        </w:rPr>
      </w:pPr>
      <w:r>
        <w:rPr>
          <w:rFonts w:ascii="Arial" w:cs="Arial" w:eastAsia="Arial" w:hAnsi="Arial"/>
          <w:sz w:val="15"/>
          <w:szCs w:val="15"/>
          <w:color w:val="auto"/>
        </w:rPr>
        <w:t>During 2024, $129,152 of Ms. Esterman’s salary was subject to Adjustment, with the number of shares of common stock granted in lieu of cash determined on a quarterly basis as follows: Ms. Esterman received 16,643 shares of common stock in lieu of $32,288 for the first quarter of 2024. The Adjustment was determined by dividing the amount of the forgone cash compensation by $1.94, the closing share price the day immediately preceding the grant date, March 28, 2024 in this case. Ms. Esterman received 22,738 shares of common stock in lieu of $32,288 for the second quarter of 2024. The Adjustment was determined by dividing the amount of the forgone cash compensation by $1.42, the closing share price the day immediately preceding the grant date, June 27, 2024 in this case. Ms. Esterman received 27,133 shares of common stock in lieu of $32,288 for the third quarter of 2024. The Adjustment was determined by dividing the amount of the forgone cash compensation by $1.19, the closing share price the day immediately preceding the grant date, September 27, 2024 in this case.</w:t>
      </w:r>
    </w:p>
    <w:p>
      <w:pPr>
        <w:spacing w:after="0" w:line="187" w:lineRule="exact"/>
        <w:rPr>
          <w:rFonts w:ascii="Arial" w:cs="Arial" w:eastAsia="Arial" w:hAnsi="Arial"/>
          <w:sz w:val="23"/>
          <w:szCs w:val="23"/>
          <w:color w:val="auto"/>
          <w:vertAlign w:val="superscript"/>
        </w:rPr>
      </w:pPr>
    </w:p>
    <w:p>
      <w:pPr>
        <w:ind w:left="1360" w:right="1219"/>
        <w:spacing w:after="0" w:line="251" w:lineRule="auto"/>
        <w:rPr>
          <w:rFonts w:ascii="Arial" w:cs="Arial" w:eastAsia="Arial" w:hAnsi="Arial"/>
          <w:sz w:val="23"/>
          <w:szCs w:val="23"/>
          <w:color w:val="auto"/>
          <w:vertAlign w:val="superscript"/>
        </w:rPr>
      </w:pPr>
      <w:r>
        <w:rPr>
          <w:rFonts w:ascii="Arial" w:cs="Arial" w:eastAsia="Arial" w:hAnsi="Arial"/>
          <w:sz w:val="15"/>
          <w:szCs w:val="15"/>
          <w:color w:val="auto"/>
        </w:rPr>
        <w:t>Ms. Esterman received 45,285 shares of common stock in lieu of $32,288 for the fourth quarter of 2024. The Adjustment was determined by dividing the amount of the forgone cash compensation by $0.713, the closing share price the day immediately preceding the grant date, December 30, 2024 in this case.</w:t>
      </w:r>
    </w:p>
    <w:p>
      <w:pPr>
        <w:spacing w:after="0" w:line="22" w:lineRule="exact"/>
        <w:rPr>
          <w:rFonts w:ascii="Arial" w:cs="Arial" w:eastAsia="Arial" w:hAnsi="Arial"/>
          <w:sz w:val="23"/>
          <w:szCs w:val="23"/>
          <w:color w:val="auto"/>
          <w:vertAlign w:val="superscript"/>
        </w:rPr>
      </w:pPr>
    </w:p>
    <w:p>
      <w:pPr>
        <w:ind w:left="1360" w:right="1159" w:hanging="295"/>
        <w:spacing w:after="0" w:line="220" w:lineRule="auto"/>
        <w:tabs>
          <w:tab w:leader="none" w:pos="1360" w:val="left"/>
        </w:tabs>
        <w:numPr>
          <w:ilvl w:val="0"/>
          <w:numId w:val="38"/>
        </w:numPr>
        <w:rPr>
          <w:rFonts w:ascii="Arial" w:cs="Arial" w:eastAsia="Arial" w:hAnsi="Arial"/>
          <w:sz w:val="23"/>
          <w:szCs w:val="23"/>
          <w:color w:val="auto"/>
          <w:vertAlign w:val="superscript"/>
        </w:rPr>
      </w:pPr>
      <w:r>
        <w:rPr>
          <w:rFonts w:ascii="Arial" w:cs="Arial" w:eastAsia="Arial" w:hAnsi="Arial"/>
          <w:sz w:val="15"/>
          <w:szCs w:val="15"/>
          <w:color w:val="auto"/>
        </w:rPr>
        <w:t>Mr. Ritts’ base salary is set and paid in euros. His base salary was converted to U.S. dollars, for purposes of the table, based on Bloomberg one-year average exchange rate ending on December 31, 2024 of 0.9244 euros to the U.S. dollar.</w:t>
      </w:r>
    </w:p>
    <w:p>
      <w:pPr>
        <w:spacing w:after="0" w:line="18" w:lineRule="exact"/>
        <w:rPr>
          <w:rFonts w:ascii="Arial" w:cs="Arial" w:eastAsia="Arial" w:hAnsi="Arial"/>
          <w:sz w:val="23"/>
          <w:szCs w:val="23"/>
          <w:color w:val="auto"/>
          <w:vertAlign w:val="superscript"/>
        </w:rPr>
      </w:pPr>
    </w:p>
    <w:p>
      <w:pPr>
        <w:ind w:left="1360" w:right="1359" w:hanging="295"/>
        <w:spacing w:after="0" w:line="220" w:lineRule="auto"/>
        <w:tabs>
          <w:tab w:leader="none" w:pos="1360" w:val="left"/>
        </w:tabs>
        <w:numPr>
          <w:ilvl w:val="0"/>
          <w:numId w:val="38"/>
        </w:numPr>
        <w:rPr>
          <w:rFonts w:ascii="Arial" w:cs="Arial" w:eastAsia="Arial" w:hAnsi="Arial"/>
          <w:sz w:val="23"/>
          <w:szCs w:val="23"/>
          <w:color w:val="auto"/>
          <w:vertAlign w:val="superscript"/>
        </w:rPr>
      </w:pPr>
      <w:r>
        <w:rPr>
          <w:rFonts w:ascii="Arial" w:cs="Arial" w:eastAsia="Arial" w:hAnsi="Arial"/>
          <w:sz w:val="15"/>
          <w:szCs w:val="15"/>
          <w:color w:val="auto"/>
        </w:rPr>
        <w:t>Includes housing allowance and a travel allowance paid in euros and, for purposes of the table, is converted into U.S. dollars based on Bloomberg one-year average exchange rate ending on December 31, 2024 of 0.9244 euros to the U.S. dollar.</w:t>
      </w:r>
    </w:p>
    <w:p>
      <w:pPr>
        <w:spacing w:after="0" w:line="150"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Narrative Disclosure to Summary Compensation Table</w:t>
      </w:r>
    </w:p>
    <w:p>
      <w:pPr>
        <w:spacing w:after="0" w:line="103" w:lineRule="exact"/>
        <w:rPr>
          <w:sz w:val="20"/>
          <w:szCs w:val="20"/>
          <w:color w:val="auto"/>
        </w:rPr>
      </w:pPr>
    </w:p>
    <w:p>
      <w:pPr>
        <w:ind w:left="1060" w:right="1099"/>
        <w:spacing w:after="0" w:line="253" w:lineRule="auto"/>
        <w:rPr>
          <w:sz w:val="20"/>
          <w:szCs w:val="20"/>
          <w:color w:val="auto"/>
        </w:rPr>
      </w:pPr>
      <w:r>
        <w:rPr>
          <w:rFonts w:ascii="Arial" w:cs="Arial" w:eastAsia="Arial" w:hAnsi="Arial"/>
          <w:sz w:val="15"/>
          <w:szCs w:val="15"/>
          <w:color w:val="auto"/>
        </w:rPr>
        <w:t>For the year ended December 31, 2024, the compensation program for our Named Executive Officers consisted of base salary, annual incentive compensation, equity awards, other benefits, as well as relocation and foreign living allowances for certain of our Luxembourg-based Named Executive Officers.</w:t>
      </w:r>
    </w:p>
    <w:p>
      <w:pPr>
        <w:spacing w:after="0" w:line="76"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Base Salary</w:t>
      </w:r>
    </w:p>
    <w:p>
      <w:pPr>
        <w:spacing w:after="0" w:line="133" w:lineRule="exact"/>
        <w:rPr>
          <w:sz w:val="20"/>
          <w:szCs w:val="20"/>
          <w:color w:val="auto"/>
        </w:rPr>
      </w:pPr>
    </w:p>
    <w:p>
      <w:pPr>
        <w:ind w:left="1060" w:right="1559"/>
        <w:spacing w:after="0" w:line="272" w:lineRule="auto"/>
        <w:rPr>
          <w:sz w:val="20"/>
          <w:szCs w:val="20"/>
          <w:color w:val="auto"/>
        </w:rPr>
      </w:pPr>
      <w:r>
        <w:rPr>
          <w:rFonts w:ascii="Arial" w:cs="Arial" w:eastAsia="Arial" w:hAnsi="Arial"/>
          <w:sz w:val="15"/>
          <w:szCs w:val="15"/>
          <w:color w:val="auto"/>
        </w:rPr>
        <w:t>The Compensation Committee sets the base salary for our Chief Executive Officer and approves the base salaries for all other Named Executive Officers.</w:t>
      </w:r>
    </w:p>
    <w:p>
      <w:pPr>
        <w:spacing w:after="0" w:line="73" w:lineRule="exact"/>
        <w:rPr>
          <w:sz w:val="20"/>
          <w:szCs w:val="20"/>
          <w:color w:val="auto"/>
        </w:rPr>
      </w:pPr>
    </w:p>
    <w:p>
      <w:pPr>
        <w:ind w:left="1060" w:right="1199"/>
        <w:spacing w:after="0" w:line="249" w:lineRule="auto"/>
        <w:rPr>
          <w:sz w:val="20"/>
          <w:szCs w:val="20"/>
          <w:color w:val="auto"/>
        </w:rPr>
      </w:pPr>
      <w:r>
        <w:rPr>
          <w:rFonts w:ascii="Arial" w:cs="Arial" w:eastAsia="Arial" w:hAnsi="Arial"/>
          <w:sz w:val="15"/>
          <w:szCs w:val="15"/>
          <w:color w:val="auto"/>
        </w:rPr>
        <w:t>Base salaries are reviewed periodically, and adjustments may be made based on market information, internal review of the Named Executive Officer’s compensation in relation to other executives, individual performance and corporate performance. Salary levels are also considered upon relocation, promotion or change in job responsibility. In addition, base salaries of our Luxembourg-based Named Executive Officers may be subject to inflationary adjustments from time to time as required by applicable Luxembourg law.</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4" w:name="page35"/>
    <w:bookmarkEnd w:id="34"/>
    <w:p>
      <w:pPr>
        <w:ind w:left="2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ind w:left="580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3679190</wp:posOffset>
            </wp:positionH>
            <wp:positionV relativeFrom="paragraph">
              <wp:posOffset>-181610</wp:posOffset>
            </wp:positionV>
            <wp:extent cx="1357630" cy="1219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57630" cy="121920"/>
                    </a:xfrm>
                    <a:prstGeom prst="rect">
                      <a:avLst/>
                    </a:prstGeom>
                    <a:noFill/>
                  </pic:spPr>
                </pic:pic>
              </a:graphicData>
            </a:graphic>
          </wp:anchor>
        </w:drawing>
      </w:r>
    </w:p>
    <w:p>
      <w:pPr>
        <w:spacing w:after="0" w:line="97" w:lineRule="exact"/>
        <w:rPr>
          <w:sz w:val="20"/>
          <w:szCs w:val="20"/>
          <w:color w:val="auto"/>
        </w:rPr>
      </w:pPr>
    </w:p>
    <w:p>
      <w:pPr>
        <w:ind w:left="1060" w:right="1139"/>
        <w:spacing w:after="0" w:line="278" w:lineRule="auto"/>
        <w:rPr>
          <w:sz w:val="20"/>
          <w:szCs w:val="20"/>
          <w:color w:val="auto"/>
        </w:rPr>
      </w:pPr>
      <w:r>
        <w:rPr>
          <w:rFonts w:ascii="Arial" w:cs="Arial" w:eastAsia="Arial" w:hAnsi="Arial"/>
          <w:sz w:val="15"/>
          <w:szCs w:val="15"/>
          <w:color w:val="auto"/>
        </w:rPr>
        <w:t>The base salary for our Chief Executive Officer is set in U.S. dollars and paid in euros. Base salaries for our other Named Executive Officers are paid in their local currencies, i.e., in euros for our Chief Legal and Compliance Officer and in U.S. dollars for our Chief Financial Officer.</w:t>
      </w:r>
    </w:p>
    <w:p>
      <w:pPr>
        <w:spacing w:after="0" w:line="272"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Annual Incentive Compensation</w:t>
      </w:r>
    </w:p>
    <w:p>
      <w:pPr>
        <w:spacing w:after="0" w:line="133" w:lineRule="exact"/>
        <w:rPr>
          <w:sz w:val="20"/>
          <w:szCs w:val="20"/>
          <w:color w:val="auto"/>
        </w:rPr>
      </w:pPr>
    </w:p>
    <w:p>
      <w:pPr>
        <w:ind w:left="1060" w:right="1099"/>
        <w:spacing w:after="0" w:line="266" w:lineRule="auto"/>
        <w:rPr>
          <w:sz w:val="20"/>
          <w:szCs w:val="20"/>
          <w:color w:val="auto"/>
        </w:rPr>
      </w:pPr>
      <w:r>
        <w:rPr>
          <w:rFonts w:ascii="Arial" w:cs="Arial" w:eastAsia="Arial" w:hAnsi="Arial"/>
          <w:sz w:val="15"/>
          <w:szCs w:val="15"/>
          <w:color w:val="auto"/>
        </w:rPr>
        <w:t>The Compensation Committee sets the target incentive compensation for our Chief Executive Officer and approves the target incentive compensation for all other Named Executive Officers. The annual incentives for our Named Executive Officers (and other employees eligible for an annual incentive) are subject to adjustment based on a variable bonus pool (the “Bonus Pool”). The Bonus Pool may be increased or decreased based on the percentage achievement of (i) the consolidated service revenue budget target (the “Service Revenue Target”) multiplied by the line of business margin target determined by the Compensation Committee (the “Target Margin”) and 6.25%, and (ii) the consolidated adjusted EBITDA budget target (the “Adjusted EBITDA Target”) multiplied by 18.75%.</w:t>
      </w:r>
    </w:p>
    <w:p>
      <w:pPr>
        <w:spacing w:after="0" w:line="281" w:lineRule="exact"/>
        <w:rPr>
          <w:sz w:val="20"/>
          <w:szCs w:val="20"/>
          <w:color w:val="auto"/>
        </w:rPr>
      </w:pPr>
    </w:p>
    <w:p>
      <w:pPr>
        <w:ind w:left="1060" w:right="1099"/>
        <w:spacing w:after="0" w:line="272" w:lineRule="auto"/>
        <w:rPr>
          <w:sz w:val="20"/>
          <w:szCs w:val="20"/>
          <w:color w:val="auto"/>
        </w:rPr>
      </w:pPr>
      <w:r>
        <w:rPr>
          <w:rFonts w:ascii="Arial" w:cs="Arial" w:eastAsia="Arial" w:hAnsi="Arial"/>
          <w:sz w:val="15"/>
          <w:szCs w:val="15"/>
          <w:color w:val="auto"/>
        </w:rPr>
        <w:t>The actual service revenue achieved for the year is compared to the Service Revenue Target and the dollar amount difference from the target is multiplied by (a) the Target Margin and then (b) 6.25% to determine the increase or decrease the Bonus Pool. For example, if the Service Revenue Target is exceeded by $1,000 and the Target Margin is 20%, the Bonus Pool will be increased by (($1000 x 20%) x 6.25%) = $125.</w:t>
      </w:r>
    </w:p>
    <w:p>
      <w:pPr>
        <w:spacing w:after="0" w:line="86" w:lineRule="exact"/>
        <w:rPr>
          <w:sz w:val="20"/>
          <w:szCs w:val="20"/>
          <w:color w:val="auto"/>
        </w:rPr>
      </w:pPr>
    </w:p>
    <w:p>
      <w:pPr>
        <w:ind w:left="1060" w:right="1319"/>
        <w:spacing w:after="0" w:line="274" w:lineRule="auto"/>
        <w:rPr>
          <w:sz w:val="20"/>
          <w:szCs w:val="20"/>
          <w:color w:val="auto"/>
        </w:rPr>
      </w:pPr>
      <w:r>
        <w:rPr>
          <w:rFonts w:ascii="Arial" w:cs="Arial" w:eastAsia="Arial" w:hAnsi="Arial"/>
          <w:sz w:val="15"/>
          <w:szCs w:val="15"/>
          <w:color w:val="auto"/>
        </w:rPr>
        <w:t>The actual adjusted EBITDA achieved for the year is compared to the Adjusted EBITDA Target and the dollar difference from such target is multiplied by 18.75% to determine the increase or decrease in the portion of the Bonus Pool tied to the Adjusted EBITDA Target. For example, if the Adjusted EBITDA Target is exceeded by $2,000, the Bonus Pool is increased by ($2,000 x 18.75%) = $375.</w:t>
      </w:r>
    </w:p>
    <w:p>
      <w:pPr>
        <w:spacing w:after="0" w:line="276" w:lineRule="exact"/>
        <w:rPr>
          <w:sz w:val="20"/>
          <w:szCs w:val="20"/>
          <w:color w:val="auto"/>
        </w:rPr>
      </w:pPr>
    </w:p>
    <w:p>
      <w:pPr>
        <w:ind w:left="1060" w:right="1099"/>
        <w:spacing w:after="0" w:line="268" w:lineRule="auto"/>
        <w:rPr>
          <w:sz w:val="20"/>
          <w:szCs w:val="20"/>
          <w:color w:val="auto"/>
        </w:rPr>
      </w:pPr>
      <w:r>
        <w:rPr>
          <w:rFonts w:ascii="Arial" w:cs="Arial" w:eastAsia="Arial" w:hAnsi="Arial"/>
          <w:sz w:val="15"/>
          <w:szCs w:val="15"/>
          <w:color w:val="auto"/>
        </w:rPr>
        <w:t>Target incentive compensation is reviewed periodically, and adjustments may be made based on market information, internal review of the Named Executive Officer’s compensation in relation to other executives and performance. In addition, the Chief Executive Officer’s target incentive compensation historically has been adjusted commensurate with inflationary salary indexation under Luxembourg law. The incentives are typically paid in a mix of cash and equity as approved by the Compensation Committee.</w:t>
      </w:r>
    </w:p>
    <w:p>
      <w:pPr>
        <w:spacing w:after="0" w:line="100" w:lineRule="exact"/>
        <w:rPr>
          <w:sz w:val="20"/>
          <w:szCs w:val="20"/>
          <w:color w:val="auto"/>
        </w:rPr>
      </w:pPr>
    </w:p>
    <w:p>
      <w:pPr>
        <w:ind w:left="1060" w:right="1539"/>
        <w:spacing w:after="0" w:line="269" w:lineRule="auto"/>
        <w:rPr>
          <w:sz w:val="20"/>
          <w:szCs w:val="20"/>
          <w:color w:val="auto"/>
        </w:rPr>
      </w:pPr>
      <w:r>
        <w:rPr>
          <w:rFonts w:ascii="Arial" w:cs="Arial" w:eastAsia="Arial" w:hAnsi="Arial"/>
          <w:sz w:val="15"/>
          <w:szCs w:val="15"/>
          <w:color w:val="auto"/>
        </w:rPr>
        <w:t>For the year ended December 31, 2024, the target Bonus Pool was $5.734 million. The portion of the target Bonus Pool associated with the Named Executive Officers was $1,971,530. Our Named Executive Officers had the following target annual incentive compensation amounts, subject to adjustment based on changes to the Bonus Pool as described above: Mr. Shepro—$1,425,530; Ms. Esterman—$300,000; and Mr. Ritts— $246,000.</w:t>
      </w:r>
    </w:p>
    <w:p>
      <w:pPr>
        <w:spacing w:after="0" w:line="278" w:lineRule="exact"/>
        <w:rPr>
          <w:sz w:val="20"/>
          <w:szCs w:val="20"/>
          <w:color w:val="auto"/>
        </w:rPr>
      </w:pPr>
    </w:p>
    <w:p>
      <w:pPr>
        <w:ind w:left="1060" w:right="1139"/>
        <w:spacing w:after="0" w:line="285" w:lineRule="auto"/>
        <w:rPr>
          <w:sz w:val="20"/>
          <w:szCs w:val="20"/>
          <w:color w:val="auto"/>
        </w:rPr>
      </w:pPr>
      <w:r>
        <w:rPr>
          <w:rFonts w:ascii="Arial" w:cs="Arial" w:eastAsia="Arial" w:hAnsi="Arial"/>
          <w:sz w:val="15"/>
          <w:szCs w:val="15"/>
          <w:color w:val="auto"/>
        </w:rPr>
        <w:t>The table below includes the performance metrics for the annual incentive compensation and the percentage weight of each metric for the year ended December 31, 2024 for each of the Named Executive Officers:</w:t>
      </w:r>
    </w:p>
    <w:p>
      <w:pPr>
        <w:spacing w:after="0" w:line="76" w:lineRule="exact"/>
        <w:rPr>
          <w:sz w:val="20"/>
          <w:szCs w:val="20"/>
          <w:color w:val="auto"/>
        </w:rPr>
      </w:pPr>
    </w:p>
    <w:tbl>
      <w:tblPr>
        <w:tblLayout w:type="fixed"/>
        <w:tblInd w:w="1060" w:type="dxa"/>
        <w:tblCellMar>
          <w:top w:w="0" w:type="dxa"/>
          <w:left w:w="0" w:type="dxa"/>
          <w:bottom w:w="0" w:type="dxa"/>
          <w:right w:w="0" w:type="dxa"/>
        </w:tblCellMar>
      </w:tblPr>
      <w:tr>
        <w:trPr>
          <w:trHeight w:val="172"/>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80" w:type="dxa"/>
            <w:vAlign w:val="bottom"/>
            <w:gridSpan w:val="11"/>
          </w:tcPr>
          <w:p>
            <w:pPr>
              <w:jc w:val="right"/>
              <w:spacing w:after="0"/>
              <w:rPr>
                <w:sz w:val="20"/>
                <w:szCs w:val="20"/>
                <w:color w:val="auto"/>
              </w:rPr>
            </w:pPr>
            <w:r>
              <w:rPr>
                <w:rFonts w:ascii="Arial" w:cs="Arial" w:eastAsia="Arial" w:hAnsi="Arial"/>
                <w:sz w:val="15"/>
                <w:szCs w:val="15"/>
                <w:b w:val="1"/>
                <w:bCs w:val="1"/>
                <w:color w:val="auto"/>
              </w:rPr>
              <w:t>Consolidated Service  Consolidated Adjusted  Support Function</w:t>
            </w:r>
          </w:p>
        </w:tc>
      </w:tr>
      <w:tr>
        <w:trPr>
          <w:trHeight w:val="192"/>
        </w:trPr>
        <w:tc>
          <w:tcPr>
            <w:tcW w:w="2080" w:type="dxa"/>
            <w:vAlign w:val="bottom"/>
          </w:tcPr>
          <w:p>
            <w:pPr>
              <w:ind w:left="840"/>
              <w:spacing w:after="0"/>
              <w:rPr>
                <w:sz w:val="20"/>
                <w:szCs w:val="20"/>
                <w:color w:val="auto"/>
              </w:rPr>
            </w:pPr>
            <w:r>
              <w:rPr>
                <w:rFonts w:ascii="Arial" w:cs="Arial" w:eastAsia="Arial" w:hAnsi="Arial"/>
                <w:sz w:val="15"/>
                <w:szCs w:val="15"/>
                <w:b w:val="1"/>
                <w:bCs w:val="1"/>
                <w:color w:val="auto"/>
              </w:rPr>
              <w:t>Name</w:t>
            </w:r>
          </w:p>
        </w:tc>
        <w:tc>
          <w:tcPr>
            <w:tcW w:w="220" w:type="dxa"/>
            <w:vAlign w:val="bottom"/>
            <w:gridSpan w:val="2"/>
          </w:tcPr>
          <w:p>
            <w:pPr>
              <w:ind w:left="40"/>
              <w:spacing w:after="0"/>
              <w:rPr>
                <w:sz w:val="20"/>
                <w:szCs w:val="20"/>
                <w:color w:val="auto"/>
              </w:rPr>
            </w:pPr>
            <w:r>
              <w:rPr>
                <w:rFonts w:ascii="Arial" w:cs="Arial" w:eastAsia="Arial" w:hAnsi="Arial"/>
                <w:sz w:val="15"/>
                <w:szCs w:val="15"/>
                <w:b w:val="1"/>
                <w:bCs w:val="1"/>
                <w:color w:val="auto"/>
              </w:rPr>
              <w:t>​​</w:t>
            </w:r>
          </w:p>
        </w:tc>
        <w:tc>
          <w:tcPr>
            <w:tcW w:w="1320" w:type="dxa"/>
            <w:vAlign w:val="bottom"/>
          </w:tcPr>
          <w:p>
            <w:pPr>
              <w:ind w:left="80"/>
              <w:spacing w:after="0"/>
              <w:rPr>
                <w:sz w:val="20"/>
                <w:szCs w:val="20"/>
                <w:color w:val="auto"/>
              </w:rPr>
            </w:pPr>
            <w:r>
              <w:rPr>
                <w:rFonts w:ascii="Arial" w:cs="Arial" w:eastAsia="Arial" w:hAnsi="Arial"/>
                <w:sz w:val="15"/>
                <w:szCs w:val="15"/>
                <w:b w:val="1"/>
                <w:bCs w:val="1"/>
                <w:color w:val="auto"/>
              </w:rPr>
              <w:t>Revenue Budget</w:t>
            </w:r>
          </w:p>
        </w:tc>
        <w:tc>
          <w:tcPr>
            <w:tcW w:w="120" w:type="dxa"/>
            <w:vAlign w:val="bottom"/>
          </w:tcPr>
          <w:p>
            <w:pPr>
              <w:spacing w:after="0"/>
              <w:rPr>
                <w:sz w:val="16"/>
                <w:szCs w:val="16"/>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340" w:type="dxa"/>
            <w:vAlign w:val="bottom"/>
          </w:tcPr>
          <w:p>
            <w:pPr>
              <w:ind w:left="120"/>
              <w:spacing w:after="0"/>
              <w:rPr>
                <w:sz w:val="20"/>
                <w:szCs w:val="20"/>
                <w:color w:val="auto"/>
              </w:rPr>
            </w:pPr>
            <w:r>
              <w:rPr>
                <w:rFonts w:ascii="Arial" w:cs="Arial" w:eastAsia="Arial" w:hAnsi="Arial"/>
                <w:sz w:val="15"/>
                <w:szCs w:val="15"/>
                <w:b w:val="1"/>
                <w:bCs w:val="1"/>
                <w:color w:val="auto"/>
              </w:rPr>
              <w:t>EBITDA Budget</w:t>
            </w:r>
          </w:p>
        </w:tc>
        <w:tc>
          <w:tcPr>
            <w:tcW w:w="160" w:type="dxa"/>
            <w:vAlign w:val="bottom"/>
          </w:tcPr>
          <w:p>
            <w:pPr>
              <w:spacing w:after="0"/>
              <w:rPr>
                <w:sz w:val="16"/>
                <w:szCs w:val="16"/>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ind w:left="180"/>
              <w:spacing w:after="0"/>
              <w:rPr>
                <w:sz w:val="20"/>
                <w:szCs w:val="20"/>
                <w:color w:val="auto"/>
              </w:rPr>
            </w:pPr>
            <w:r>
              <w:rPr>
                <w:rFonts w:ascii="Arial" w:cs="Arial" w:eastAsia="Arial" w:hAnsi="Arial"/>
                <w:sz w:val="15"/>
                <w:szCs w:val="15"/>
                <w:b w:val="1"/>
                <w:bCs w:val="1"/>
                <w:color w:val="auto"/>
              </w:rPr>
              <w:t>Budget</w:t>
            </w:r>
          </w:p>
        </w:tc>
        <w:tc>
          <w:tcPr>
            <w:tcW w:w="200" w:type="dxa"/>
            <w:vAlign w:val="bottom"/>
          </w:tcPr>
          <w:p>
            <w:pPr>
              <w:spacing w:after="0"/>
              <w:rPr>
                <w:sz w:val="16"/>
                <w:szCs w:val="16"/>
                <w:color w:val="auto"/>
              </w:rPr>
            </w:pPr>
          </w:p>
        </w:tc>
      </w:tr>
      <w:tr>
        <w:trPr>
          <w:trHeight w:val="161"/>
        </w:trPr>
        <w:tc>
          <w:tcPr>
            <w:tcW w:w="208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rPr>
              <w:t>William B. Shepro</w:t>
            </w:r>
          </w:p>
        </w:tc>
        <w:tc>
          <w:tcPr>
            <w:tcW w:w="120" w:type="dxa"/>
            <w:vAlign w:val="bottom"/>
            <w:tcBorders>
              <w:top w:val="single" w:sz="8" w:color="CCEEFF"/>
            </w:tcBorders>
            <w:shd w:val="clear" w:color="auto" w:fill="CCEEFF"/>
          </w:tcPr>
          <w:p>
            <w:pPr>
              <w:ind w:left="40"/>
              <w:spacing w:after="0" w:line="161"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ind w:left="560"/>
              <w:spacing w:after="0" w:line="161" w:lineRule="exact"/>
              <w:rPr>
                <w:sz w:val="20"/>
                <w:szCs w:val="20"/>
                <w:color w:val="auto"/>
              </w:rPr>
            </w:pPr>
            <w:r>
              <w:rPr>
                <w:rFonts w:ascii="Arial" w:cs="Arial" w:eastAsia="Arial" w:hAnsi="Arial"/>
                <w:sz w:val="15"/>
                <w:szCs w:val="15"/>
                <w:color w:val="auto"/>
              </w:rPr>
              <w:t>​ 5%</w:t>
            </w:r>
          </w:p>
        </w:tc>
        <w:tc>
          <w:tcPr>
            <w:tcW w:w="120" w:type="dxa"/>
            <w:vAlign w:val="bottom"/>
            <w:tcBorders>
              <w:top w:val="single" w:sz="8" w:color="auto"/>
            </w:tcBorders>
            <w:shd w:val="clear" w:color="auto" w:fill="CCEEFF"/>
          </w:tcPr>
          <w:p>
            <w:pPr>
              <w:ind w:left="60"/>
              <w:spacing w:after="0" w:line="161"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ind w:left="520"/>
              <w:spacing w:after="0" w:line="161" w:lineRule="exact"/>
              <w:rPr>
                <w:sz w:val="20"/>
                <w:szCs w:val="20"/>
                <w:color w:val="auto"/>
              </w:rPr>
            </w:pPr>
            <w:r>
              <w:rPr>
                <w:rFonts w:ascii="Arial" w:cs="Arial" w:eastAsia="Arial" w:hAnsi="Arial"/>
                <w:sz w:val="15"/>
                <w:szCs w:val="15"/>
                <w:color w:val="auto"/>
              </w:rPr>
              <w:t>​ 95%</w:t>
            </w:r>
          </w:p>
        </w:tc>
        <w:tc>
          <w:tcPr>
            <w:tcW w:w="160" w:type="dxa"/>
            <w:vAlign w:val="bottom"/>
            <w:tcBorders>
              <w:top w:val="single" w:sz="8" w:color="auto"/>
            </w:tcBorders>
            <w:shd w:val="clear" w:color="auto" w:fill="CCEEFF"/>
          </w:tcPr>
          <w:p>
            <w:pPr>
              <w:ind w:left="120"/>
              <w:spacing w:after="0" w:line="161"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tcBorders>
            <w:shd w:val="clear" w:color="auto" w:fill="CCEEFF"/>
          </w:tcPr>
          <w:p>
            <w:pPr>
              <w:ind w:left="40"/>
              <w:spacing w:after="0" w:line="161"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ind w:left="320"/>
              <w:spacing w:after="0" w:line="161" w:lineRule="exact"/>
              <w:rPr>
                <w:sz w:val="20"/>
                <w:szCs w:val="20"/>
                <w:color w:val="auto"/>
              </w:rPr>
            </w:pPr>
            <w:r>
              <w:rPr>
                <w:rFonts w:ascii="Arial" w:cs="Arial" w:eastAsia="Arial" w:hAnsi="Arial"/>
                <w:sz w:val="15"/>
                <w:szCs w:val="15"/>
                <w:color w:val="auto"/>
              </w:rPr>
              <w:t>​</w:t>
            </w:r>
          </w:p>
        </w:tc>
        <w:tc>
          <w:tcPr>
            <w:tcW w:w="2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r>
      <w:tr>
        <w:trPr>
          <w:trHeight w:val="170"/>
        </w:trPr>
        <w:tc>
          <w:tcPr>
            <w:tcW w:w="2080" w:type="dxa"/>
            <w:vAlign w:val="bottom"/>
          </w:tcPr>
          <w:p>
            <w:pPr>
              <w:spacing w:after="0" w:line="170" w:lineRule="exact"/>
              <w:rPr>
                <w:sz w:val="20"/>
                <w:szCs w:val="20"/>
                <w:color w:val="auto"/>
              </w:rPr>
            </w:pPr>
            <w:r>
              <w:rPr>
                <w:rFonts w:ascii="Arial" w:cs="Arial" w:eastAsia="Arial" w:hAnsi="Arial"/>
                <w:sz w:val="15"/>
                <w:szCs w:val="15"/>
                <w:color w:val="auto"/>
              </w:rPr>
              <w:t>Michelle D. Esterman</w:t>
            </w:r>
          </w:p>
        </w:tc>
        <w:tc>
          <w:tcPr>
            <w:tcW w:w="220" w:type="dxa"/>
            <w:vAlign w:val="bottom"/>
            <w:gridSpan w:val="2"/>
          </w:tcPr>
          <w:p>
            <w:pPr>
              <w:ind w:left="40"/>
              <w:spacing w:after="0" w:line="170" w:lineRule="exact"/>
              <w:rPr>
                <w:sz w:val="20"/>
                <w:szCs w:val="20"/>
                <w:color w:val="auto"/>
              </w:rPr>
            </w:pPr>
            <w:r>
              <w:rPr>
                <w:rFonts w:ascii="Arial" w:cs="Arial" w:eastAsia="Arial" w:hAnsi="Arial"/>
                <w:sz w:val="15"/>
                <w:szCs w:val="15"/>
                <w:color w:val="auto"/>
              </w:rPr>
              <w:t>​​</w:t>
            </w:r>
          </w:p>
        </w:tc>
        <w:tc>
          <w:tcPr>
            <w:tcW w:w="1320" w:type="dxa"/>
            <w:vAlign w:val="bottom"/>
          </w:tcPr>
          <w:p>
            <w:pPr>
              <w:ind w:left="560"/>
              <w:spacing w:after="0" w:line="170" w:lineRule="exact"/>
              <w:rPr>
                <w:sz w:val="20"/>
                <w:szCs w:val="20"/>
                <w:color w:val="auto"/>
              </w:rPr>
            </w:pPr>
            <w:r>
              <w:rPr>
                <w:rFonts w:ascii="Arial" w:cs="Arial" w:eastAsia="Arial" w:hAnsi="Arial"/>
                <w:sz w:val="15"/>
                <w:szCs w:val="15"/>
                <w:color w:val="auto"/>
              </w:rPr>
              <w:t>​ 5%</w:t>
            </w:r>
          </w:p>
        </w:tc>
        <w:tc>
          <w:tcPr>
            <w:tcW w:w="380" w:type="dxa"/>
            <w:vAlign w:val="bottom"/>
            <w:gridSpan w:val="3"/>
          </w:tcPr>
          <w:p>
            <w:pPr>
              <w:jc w:val="right"/>
              <w:ind w:right="140"/>
              <w:spacing w:after="0" w:line="170" w:lineRule="exact"/>
              <w:rPr>
                <w:sz w:val="20"/>
                <w:szCs w:val="20"/>
                <w:color w:val="auto"/>
              </w:rPr>
            </w:pPr>
            <w:r>
              <w:rPr>
                <w:rFonts w:ascii="Arial" w:cs="Arial" w:eastAsia="Arial" w:hAnsi="Arial"/>
                <w:sz w:val="15"/>
                <w:szCs w:val="15"/>
                <w:color w:val="auto"/>
              </w:rPr>
              <w:t>​ ​​</w:t>
            </w:r>
          </w:p>
        </w:tc>
        <w:tc>
          <w:tcPr>
            <w:tcW w:w="1340" w:type="dxa"/>
            <w:vAlign w:val="bottom"/>
          </w:tcPr>
          <w:p>
            <w:pPr>
              <w:ind w:left="520"/>
              <w:spacing w:after="0" w:line="170" w:lineRule="exact"/>
              <w:rPr>
                <w:sz w:val="20"/>
                <w:szCs w:val="20"/>
                <w:color w:val="auto"/>
              </w:rPr>
            </w:pPr>
            <w:r>
              <w:rPr>
                <w:rFonts w:ascii="Arial" w:cs="Arial" w:eastAsia="Arial" w:hAnsi="Arial"/>
                <w:sz w:val="15"/>
                <w:szCs w:val="15"/>
                <w:color w:val="auto"/>
              </w:rPr>
              <w:t>​ 85%</w:t>
            </w:r>
          </w:p>
        </w:tc>
        <w:tc>
          <w:tcPr>
            <w:tcW w:w="460" w:type="dxa"/>
            <w:vAlign w:val="bottom"/>
            <w:gridSpan w:val="3"/>
          </w:tcPr>
          <w:p>
            <w:pPr>
              <w:jc w:val="right"/>
              <w:ind w:right="180"/>
              <w:spacing w:after="0" w:line="170" w:lineRule="exact"/>
              <w:rPr>
                <w:sz w:val="20"/>
                <w:szCs w:val="20"/>
                <w:color w:val="auto"/>
              </w:rPr>
            </w:pPr>
            <w:r>
              <w:rPr>
                <w:rFonts w:ascii="Arial" w:cs="Arial" w:eastAsia="Arial" w:hAnsi="Arial"/>
                <w:sz w:val="15"/>
                <w:szCs w:val="15"/>
                <w:color w:val="auto"/>
              </w:rPr>
              <w:t>​ ​​</w:t>
            </w:r>
          </w:p>
        </w:tc>
        <w:tc>
          <w:tcPr>
            <w:tcW w:w="880" w:type="dxa"/>
            <w:vAlign w:val="bottom"/>
          </w:tcPr>
          <w:p>
            <w:pPr>
              <w:ind w:left="320"/>
              <w:spacing w:after="0" w:line="170" w:lineRule="exact"/>
              <w:rPr>
                <w:sz w:val="20"/>
                <w:szCs w:val="20"/>
                <w:color w:val="auto"/>
              </w:rPr>
            </w:pPr>
            <w:r>
              <w:rPr>
                <w:rFonts w:ascii="Arial" w:cs="Arial" w:eastAsia="Arial" w:hAnsi="Arial"/>
                <w:sz w:val="15"/>
                <w:szCs w:val="15"/>
                <w:color w:val="auto"/>
              </w:rPr>
              <w:t>​10%</w:t>
            </w:r>
          </w:p>
        </w:tc>
        <w:tc>
          <w:tcPr>
            <w:tcW w:w="20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r>
      <w:tr>
        <w:trPr>
          <w:trHeight w:val="181"/>
        </w:trPr>
        <w:tc>
          <w:tcPr>
            <w:tcW w:w="2080" w:type="dxa"/>
            <w:vAlign w:val="bottom"/>
            <w:shd w:val="clear" w:color="auto" w:fill="CCEEFF"/>
          </w:tcPr>
          <w:p>
            <w:pPr>
              <w:spacing w:after="0"/>
              <w:rPr>
                <w:sz w:val="20"/>
                <w:szCs w:val="20"/>
                <w:color w:val="auto"/>
              </w:rPr>
            </w:pPr>
            <w:r>
              <w:rPr>
                <w:rFonts w:ascii="Arial" w:cs="Arial" w:eastAsia="Arial" w:hAnsi="Arial"/>
                <w:sz w:val="15"/>
                <w:szCs w:val="15"/>
                <w:color w:val="auto"/>
              </w:rPr>
              <w:t>Gregory J. Ritts</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ind w:left="560"/>
              <w:spacing w:after="0"/>
              <w:rPr>
                <w:sz w:val="20"/>
                <w:szCs w:val="20"/>
                <w:color w:val="auto"/>
              </w:rPr>
            </w:pPr>
            <w:r>
              <w:rPr>
                <w:rFonts w:ascii="Arial" w:cs="Arial" w:eastAsia="Arial" w:hAnsi="Arial"/>
                <w:sz w:val="15"/>
                <w:szCs w:val="15"/>
                <w:color w:val="auto"/>
              </w:rPr>
              <w:t>​ 5%</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 ​​</w:t>
            </w:r>
          </w:p>
        </w:tc>
        <w:tc>
          <w:tcPr>
            <w:tcW w:w="1340" w:type="dxa"/>
            <w:vAlign w:val="bottom"/>
            <w:shd w:val="clear" w:color="auto" w:fill="CCEEFF"/>
          </w:tcPr>
          <w:p>
            <w:pPr>
              <w:ind w:left="520"/>
              <w:spacing w:after="0"/>
              <w:rPr>
                <w:sz w:val="20"/>
                <w:szCs w:val="20"/>
                <w:color w:val="auto"/>
              </w:rPr>
            </w:pPr>
            <w:r>
              <w:rPr>
                <w:rFonts w:ascii="Arial" w:cs="Arial" w:eastAsia="Arial" w:hAnsi="Arial"/>
                <w:sz w:val="15"/>
                <w:szCs w:val="15"/>
                <w:color w:val="auto"/>
              </w:rPr>
              <w:t>​ 85%</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 ​​</w:t>
            </w:r>
          </w:p>
        </w:tc>
        <w:tc>
          <w:tcPr>
            <w:tcW w:w="8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​10%</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-337185</wp:posOffset>
            </wp:positionV>
            <wp:extent cx="7175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3046730</wp:posOffset>
            </wp:positionH>
            <wp:positionV relativeFrom="paragraph">
              <wp:posOffset>-337185</wp:posOffset>
            </wp:positionV>
            <wp:extent cx="7175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1998345</wp:posOffset>
            </wp:positionH>
            <wp:positionV relativeFrom="paragraph">
              <wp:posOffset>-337185</wp:posOffset>
            </wp:positionV>
            <wp:extent cx="7175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55" cy="6985"/>
                    </a:xfrm>
                    <a:prstGeom prst="rect">
                      <a:avLst/>
                    </a:prstGeom>
                    <a:noFill/>
                  </pic:spPr>
                </pic:pic>
              </a:graphicData>
            </a:graphic>
          </wp:anchor>
        </w:drawing>
      </w:r>
    </w:p>
    <w:p>
      <w:pPr>
        <w:spacing w:after="0" w:line="101" w:lineRule="exact"/>
        <w:rPr>
          <w:sz w:val="20"/>
          <w:szCs w:val="20"/>
          <w:color w:val="auto"/>
        </w:rPr>
      </w:pPr>
    </w:p>
    <w:p>
      <w:pPr>
        <w:ind w:left="1060" w:right="1119"/>
        <w:spacing w:after="0" w:line="269" w:lineRule="auto"/>
        <w:rPr>
          <w:sz w:val="20"/>
          <w:szCs w:val="20"/>
          <w:color w:val="auto"/>
        </w:rPr>
      </w:pPr>
      <w:r>
        <w:rPr>
          <w:rFonts w:ascii="Arial" w:cs="Arial" w:eastAsia="Arial" w:hAnsi="Arial"/>
          <w:sz w:val="15"/>
          <w:szCs w:val="15"/>
          <w:color w:val="auto"/>
        </w:rPr>
        <w:t>For the Consolidated Service Target and the Adjusted EBITDA Target, individual achievement levels are based on a range of 25%–175% when 75%–125% of the given target is achieved (with a linear application) (e.g., if 75% of the Service Revenue Target is achieved, the Named Executive Officer earns 25% of the 5% target annual incentive compensation allocated to the Service Revenue Target). If achievement level is less than 75%, no annual incentive compensation is earned. If the achievement level is greater than 125%, no amount above 175% of the individual achievement level can be earned.</w:t>
      </w:r>
    </w:p>
    <w:p>
      <w:pPr>
        <w:spacing w:after="0" w:line="277" w:lineRule="exact"/>
        <w:rPr>
          <w:sz w:val="20"/>
          <w:szCs w:val="20"/>
          <w:color w:val="auto"/>
        </w:rPr>
      </w:pPr>
    </w:p>
    <w:p>
      <w:pPr>
        <w:ind w:left="1060" w:right="1179"/>
        <w:spacing w:after="0" w:line="277" w:lineRule="auto"/>
        <w:rPr>
          <w:sz w:val="20"/>
          <w:szCs w:val="20"/>
          <w:color w:val="auto"/>
        </w:rPr>
      </w:pPr>
      <w:r>
        <w:rPr>
          <w:rFonts w:ascii="Arial" w:cs="Arial" w:eastAsia="Arial" w:hAnsi="Arial"/>
          <w:sz w:val="15"/>
          <w:szCs w:val="15"/>
          <w:color w:val="auto"/>
        </w:rPr>
        <w:t>The level of achievement for support function budget target can range from 25% to 175% of target when 75%–125% of the given target is achieved (with a linear application), with scorecard achievement greater than 100% subject to the discretion of the CEO.</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5" w:name="page36"/>
    <w:bookmarkEnd w:id="35"/>
    <w:p>
      <w:pPr>
        <w:ind w:left="20"/>
        <w:spacing w:after="0"/>
        <w:rPr>
          <w:sz w:val="20"/>
          <w:szCs w:val="20"/>
          <w:color w:val="auto"/>
        </w:rPr>
      </w:pPr>
      <w:r>
        <w:rPr>
          <w:rFonts w:ascii="Calibri" w:cs="Calibri" w:eastAsia="Calibri" w:hAnsi="Calibri"/>
          <w:sz w:val="12"/>
          <w:szCs w:val="12"/>
          <w:color w:val="003366"/>
        </w:rPr>
        <w:t>TABLE OF CONTENTS</w:t>
      </w:r>
    </w:p>
    <w:p>
      <w:pPr>
        <w:spacing w:after="0" w:line="270" w:lineRule="exact"/>
        <w:rPr>
          <w:sz w:val="20"/>
          <w:szCs w:val="20"/>
          <w:color w:val="auto"/>
        </w:rPr>
      </w:pPr>
    </w:p>
    <w:tbl>
      <w:tblPr>
        <w:tblLayout w:type="fixed"/>
        <w:tblInd w:w="1060" w:type="dxa"/>
        <w:tblCellMar>
          <w:top w:w="0" w:type="dxa"/>
          <w:left w:w="0" w:type="dxa"/>
          <w:bottom w:w="0" w:type="dxa"/>
          <w:right w:w="0" w:type="dxa"/>
        </w:tblCellMar>
      </w:tblPr>
      <w:tr>
        <w:trPr>
          <w:trHeight w:val="129"/>
        </w:trPr>
        <w:tc>
          <w:tcPr>
            <w:tcW w:w="3720" w:type="dxa"/>
            <w:vAlign w:val="bottom"/>
            <w:gridSpan w:val="5"/>
            <w:vMerge w:val="restart"/>
          </w:tcPr>
          <w:p>
            <w:pPr>
              <w:spacing w:after="0"/>
              <w:rPr>
                <w:sz w:val="20"/>
                <w:szCs w:val="20"/>
                <w:color w:val="auto"/>
              </w:rPr>
            </w:pPr>
            <w:r>
              <w:rPr>
                <w:rFonts w:ascii="Arial" w:cs="Arial" w:eastAsia="Arial" w:hAnsi="Arial"/>
                <w:sz w:val="15"/>
                <w:szCs w:val="15"/>
                <w:color w:val="auto"/>
              </w:rPr>
              <w:t>Named Executive Officer Scorecard Achievement</w:t>
            </w:r>
          </w:p>
        </w:tc>
        <w:tc>
          <w:tcPr>
            <w:tcW w:w="1040" w:type="dxa"/>
            <w:vAlign w:val="bottom"/>
          </w:tcPr>
          <w:p>
            <w:pPr>
              <w:spacing w:after="0"/>
              <w:rPr>
                <w:sz w:val="11"/>
                <w:szCs w:val="11"/>
                <w:color w:val="auto"/>
              </w:rPr>
            </w:pPr>
          </w:p>
        </w:tc>
        <w:tc>
          <w:tcPr>
            <w:tcW w:w="2040" w:type="dxa"/>
            <w:vAlign w:val="bottom"/>
            <w:gridSpan w:val="5"/>
            <w:vMerge w:val="restart"/>
          </w:tcPr>
          <w:p>
            <w:pPr>
              <w:spacing w:after="0"/>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EXECUTIVE COMPENSATION</w:t>
            </w:r>
          </w:p>
        </w:tc>
        <w:tc>
          <w:tcPr>
            <w:tcW w:w="80" w:type="dxa"/>
            <w:vAlign w:val="bottom"/>
          </w:tcPr>
          <w:p>
            <w:pPr>
              <w:spacing w:after="0"/>
              <w:rPr>
                <w:sz w:val="11"/>
                <w:szCs w:val="11"/>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314F60"/>
              </w:rPr>
              <w:t>​</w:t>
            </w:r>
          </w:p>
        </w:tc>
        <w:tc>
          <w:tcPr>
            <w:tcW w:w="0" w:type="dxa"/>
            <w:vAlign w:val="bottom"/>
          </w:tcPr>
          <w:p>
            <w:pPr>
              <w:spacing w:after="0"/>
              <w:rPr>
                <w:sz w:val="1"/>
                <w:szCs w:val="1"/>
                <w:color w:val="auto"/>
              </w:rPr>
            </w:pPr>
          </w:p>
        </w:tc>
      </w:tr>
      <w:tr>
        <w:trPr>
          <w:trHeight w:val="181"/>
        </w:trPr>
        <w:tc>
          <w:tcPr>
            <w:tcW w:w="3720" w:type="dxa"/>
            <w:vAlign w:val="bottom"/>
            <w:gridSpan w:val="5"/>
            <w:vMerge w:val="continue"/>
          </w:tcPr>
          <w:p>
            <w:pPr>
              <w:spacing w:after="0"/>
              <w:rPr>
                <w:sz w:val="15"/>
                <w:szCs w:val="15"/>
                <w:color w:val="auto"/>
              </w:rPr>
            </w:pPr>
          </w:p>
        </w:tc>
        <w:tc>
          <w:tcPr>
            <w:tcW w:w="1040" w:type="dxa"/>
            <w:vAlign w:val="bottom"/>
            <w:tcBorders>
              <w:right w:val="single" w:sz="8" w:color="75FF00"/>
            </w:tcBorders>
          </w:tcPr>
          <w:p>
            <w:pPr>
              <w:spacing w:after="0"/>
              <w:rPr>
                <w:sz w:val="15"/>
                <w:szCs w:val="15"/>
                <w:color w:val="auto"/>
              </w:rPr>
            </w:pPr>
          </w:p>
        </w:tc>
        <w:tc>
          <w:tcPr>
            <w:tcW w:w="2040" w:type="dxa"/>
            <w:vAlign w:val="bottom"/>
            <w:tcBorders>
              <w:bottom w:val="single" w:sz="8" w:color="75FF00"/>
            </w:tcBorders>
            <w:gridSpan w:val="5"/>
            <w:vMerge w:val="continue"/>
          </w:tcPr>
          <w:p>
            <w:pPr>
              <w:spacing w:after="0"/>
              <w:rPr>
                <w:sz w:val="15"/>
                <w:szCs w:val="15"/>
                <w:color w:val="auto"/>
              </w:rPr>
            </w:pPr>
          </w:p>
        </w:tc>
        <w:tc>
          <w:tcPr>
            <w:tcW w:w="80" w:type="dxa"/>
            <w:vAlign w:val="bottom"/>
            <w:tcBorders>
              <w:bottom w:val="single" w:sz="8" w:color="75FF00"/>
            </w:tcBorders>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1"/>
        </w:trPr>
        <w:tc>
          <w:tcPr>
            <w:tcW w:w="3720" w:type="dxa"/>
            <w:vAlign w:val="bottom"/>
            <w:gridSpan w:val="5"/>
            <w:vMerge w:val="continue"/>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gridSpan w:val="3"/>
          </w:tcPr>
          <w:p>
            <w:pPr>
              <w:ind w:left="40"/>
              <w:spacing w:after="0"/>
              <w:rPr>
                <w:sz w:val="20"/>
                <w:szCs w:val="20"/>
                <w:color w:val="auto"/>
              </w:rPr>
            </w:pPr>
            <w:r>
              <w:rPr>
                <w:rFonts w:ascii="Arial" w:cs="Arial" w:eastAsia="Arial" w:hAnsi="Arial"/>
                <w:sz w:val="15"/>
                <w:szCs w:val="15"/>
                <w:b w:val="1"/>
                <w:bCs w:val="1"/>
                <w:color w:val="auto"/>
              </w:rPr>
              <w:t>Consolidated Service</w:t>
            </w:r>
          </w:p>
        </w:tc>
        <w:tc>
          <w:tcPr>
            <w:tcW w:w="1300" w:type="dxa"/>
            <w:vAlign w:val="bottom"/>
            <w:gridSpan w:val="2"/>
          </w:tcPr>
          <w:p>
            <w:pPr>
              <w:ind w:left="460"/>
              <w:spacing w:after="0"/>
              <w:rPr>
                <w:sz w:val="20"/>
                <w:szCs w:val="20"/>
                <w:color w:val="auto"/>
              </w:rPr>
            </w:pPr>
            <w:r>
              <w:rPr>
                <w:rFonts w:ascii="Arial" w:cs="Arial" w:eastAsia="Arial" w:hAnsi="Arial"/>
                <w:sz w:val="15"/>
                <w:szCs w:val="15"/>
                <w:b w:val="1"/>
                <w:bCs w:val="1"/>
                <w:color w:val="auto"/>
              </w:rPr>
              <w:t>Adjusted</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60" w:type="dxa"/>
            <w:vAlign w:val="bottom"/>
          </w:tcPr>
          <w:p>
            <w:pPr>
              <w:ind w:left="60"/>
              <w:spacing w:after="0"/>
              <w:rPr>
                <w:sz w:val="20"/>
                <w:szCs w:val="20"/>
                <w:color w:val="auto"/>
              </w:rPr>
            </w:pPr>
            <w:r>
              <w:rPr>
                <w:rFonts w:ascii="Arial" w:cs="Arial" w:eastAsia="Arial" w:hAnsi="Arial"/>
                <w:sz w:val="15"/>
                <w:szCs w:val="15"/>
                <w:b w:val="1"/>
                <w:bCs w:val="1"/>
                <w:color w:val="auto"/>
              </w:rPr>
              <w:t>Support Function</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2020" w:type="dxa"/>
            <w:vAlign w:val="bottom"/>
            <w:gridSpan w:val="2"/>
          </w:tcPr>
          <w:p>
            <w:pPr>
              <w:ind w:left="760"/>
              <w:spacing w:after="0"/>
              <w:rPr>
                <w:sz w:val="20"/>
                <w:szCs w:val="20"/>
                <w:color w:val="auto"/>
              </w:rPr>
            </w:pPr>
            <w:r>
              <w:rPr>
                <w:rFonts w:ascii="Arial" w:cs="Arial" w:eastAsia="Arial" w:hAnsi="Arial"/>
                <w:sz w:val="15"/>
                <w:szCs w:val="15"/>
                <w:b w:val="1"/>
                <w:bCs w:val="1"/>
                <w:color w:val="auto"/>
              </w:rPr>
              <w:t>Name</w:t>
            </w:r>
          </w:p>
        </w:tc>
        <w:tc>
          <w:tcPr>
            <w:tcW w:w="1700" w:type="dxa"/>
            <w:vAlign w:val="bottom"/>
            <w:gridSpan w:val="3"/>
          </w:tcPr>
          <w:p>
            <w:pPr>
              <w:jc w:val="right"/>
              <w:ind w:right="80"/>
              <w:spacing w:after="0"/>
              <w:rPr>
                <w:sz w:val="20"/>
                <w:szCs w:val="20"/>
                <w:color w:val="auto"/>
              </w:rPr>
            </w:pPr>
            <w:r>
              <w:rPr>
                <w:rFonts w:ascii="Arial" w:cs="Arial" w:eastAsia="Arial" w:hAnsi="Arial"/>
                <w:sz w:val="15"/>
                <w:szCs w:val="15"/>
                <w:b w:val="1"/>
                <w:bCs w:val="1"/>
                <w:color w:val="auto"/>
                <w:w w:val="99"/>
              </w:rPr>
              <w:t>Revenue Achievement</w:t>
            </w:r>
          </w:p>
        </w:tc>
        <w:tc>
          <w:tcPr>
            <w:tcW w:w="3200" w:type="dxa"/>
            <w:vAlign w:val="bottom"/>
            <w:gridSpan w:val="8"/>
          </w:tcPr>
          <w:p>
            <w:pPr>
              <w:jc w:val="right"/>
              <w:spacing w:after="0"/>
              <w:rPr>
                <w:sz w:val="20"/>
                <w:szCs w:val="20"/>
                <w:color w:val="auto"/>
              </w:rPr>
            </w:pPr>
            <w:r>
              <w:rPr>
                <w:rFonts w:ascii="Arial" w:cs="Arial" w:eastAsia="Arial" w:hAnsi="Arial"/>
                <w:sz w:val="15"/>
                <w:szCs w:val="15"/>
                <w:b w:val="1"/>
                <w:bCs w:val="1"/>
                <w:color w:val="auto"/>
              </w:rPr>
              <w:t>EBITDA Achievement ​Budget Achievement</w:t>
            </w:r>
          </w:p>
        </w:tc>
        <w:tc>
          <w:tcPr>
            <w:tcW w:w="0" w:type="dxa"/>
            <w:vAlign w:val="bottom"/>
          </w:tcPr>
          <w:p>
            <w:pPr>
              <w:spacing w:after="0"/>
              <w:rPr>
                <w:sz w:val="1"/>
                <w:szCs w:val="1"/>
                <w:color w:val="auto"/>
              </w:rPr>
            </w:pPr>
          </w:p>
        </w:tc>
      </w:tr>
      <w:tr>
        <w:trPr>
          <w:trHeight w:val="161"/>
        </w:trPr>
        <w:tc>
          <w:tcPr>
            <w:tcW w:w="192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color w:val="auto"/>
              </w:rPr>
              <w:t>William B. Shepro</w:t>
            </w:r>
          </w:p>
        </w:tc>
        <w:tc>
          <w:tcPr>
            <w:tcW w:w="1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ind w:left="660"/>
              <w:spacing w:after="0" w:line="161" w:lineRule="exact"/>
              <w:rPr>
                <w:sz w:val="20"/>
                <w:szCs w:val="20"/>
                <w:color w:val="auto"/>
              </w:rPr>
            </w:pPr>
            <w:r>
              <w:rPr>
                <w:rFonts w:ascii="Arial" w:cs="Arial" w:eastAsia="Arial" w:hAnsi="Arial"/>
                <w:sz w:val="15"/>
                <w:szCs w:val="15"/>
                <w:color w:val="auto"/>
              </w:rPr>
              <w:t>​84%</w:t>
            </w:r>
          </w:p>
        </w:tc>
        <w:tc>
          <w:tcPr>
            <w:tcW w:w="3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gridSpan w:val="2"/>
            <w:shd w:val="clear" w:color="auto" w:fill="CCEEFF"/>
          </w:tcPr>
          <w:p>
            <w:pPr>
              <w:ind w:left="640"/>
              <w:spacing w:after="0" w:line="161" w:lineRule="exact"/>
              <w:rPr>
                <w:sz w:val="20"/>
                <w:szCs w:val="20"/>
                <w:color w:val="auto"/>
              </w:rPr>
            </w:pPr>
            <w:r>
              <w:rPr>
                <w:rFonts w:ascii="Arial" w:cs="Arial" w:eastAsia="Arial" w:hAnsi="Arial"/>
                <w:sz w:val="15"/>
                <w:szCs w:val="15"/>
                <w:color w:val="auto"/>
              </w:rPr>
              <w:t>​ 87%</w:t>
            </w:r>
          </w:p>
        </w:tc>
        <w:tc>
          <w:tcPr>
            <w:tcW w:w="260" w:type="dxa"/>
            <w:vAlign w:val="bottom"/>
            <w:tcBorders>
              <w:top w:val="single" w:sz="8" w:color="auto"/>
            </w:tcBorders>
            <w:shd w:val="clear" w:color="auto" w:fill="CCEEFF"/>
          </w:tcPr>
          <w:p>
            <w:pPr>
              <w:ind w:left="200"/>
              <w:spacing w:after="0" w:line="161" w:lineRule="exact"/>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20" w:type="dxa"/>
            <w:vAlign w:val="bottom"/>
            <w:gridSpan w:val="2"/>
          </w:tcPr>
          <w:p>
            <w:pPr>
              <w:spacing w:after="0" w:line="170" w:lineRule="exact"/>
              <w:rPr>
                <w:sz w:val="20"/>
                <w:szCs w:val="20"/>
                <w:color w:val="auto"/>
              </w:rPr>
            </w:pPr>
            <w:r>
              <w:rPr>
                <w:rFonts w:ascii="Arial" w:cs="Arial" w:eastAsia="Arial" w:hAnsi="Arial"/>
                <w:sz w:val="15"/>
                <w:szCs w:val="15"/>
                <w:color w:val="auto"/>
              </w:rPr>
              <w:t>Michelle D. Esterman</w:t>
            </w:r>
          </w:p>
        </w:tc>
        <w:tc>
          <w:tcPr>
            <w:tcW w:w="1300" w:type="dxa"/>
            <w:vAlign w:val="bottom"/>
          </w:tcPr>
          <w:p>
            <w:pPr>
              <w:ind w:left="660"/>
              <w:spacing w:after="0" w:line="170" w:lineRule="exact"/>
              <w:rPr>
                <w:sz w:val="20"/>
                <w:szCs w:val="20"/>
                <w:color w:val="auto"/>
              </w:rPr>
            </w:pPr>
            <w:r>
              <w:rPr>
                <w:rFonts w:ascii="Arial" w:cs="Arial" w:eastAsia="Arial" w:hAnsi="Arial"/>
                <w:sz w:val="15"/>
                <w:szCs w:val="15"/>
                <w:color w:val="auto"/>
              </w:rPr>
              <w:t>​84%</w:t>
            </w:r>
          </w:p>
        </w:tc>
        <w:tc>
          <w:tcPr>
            <w:tcW w:w="400" w:type="dxa"/>
            <w:vAlign w:val="bottom"/>
            <w:gridSpan w:val="2"/>
          </w:tcPr>
          <w:p>
            <w:pPr>
              <w:jc w:val="right"/>
              <w:ind w:right="100"/>
              <w:spacing w:after="0" w:line="170" w:lineRule="exact"/>
              <w:rPr>
                <w:sz w:val="20"/>
                <w:szCs w:val="20"/>
                <w:color w:val="auto"/>
              </w:rPr>
            </w:pPr>
            <w:r>
              <w:rPr>
                <w:rFonts w:ascii="Arial" w:cs="Arial" w:eastAsia="Arial" w:hAnsi="Arial"/>
                <w:sz w:val="15"/>
                <w:szCs w:val="15"/>
                <w:color w:val="auto"/>
              </w:rPr>
              <w:t>​</w:t>
            </w:r>
          </w:p>
        </w:tc>
        <w:tc>
          <w:tcPr>
            <w:tcW w:w="1300" w:type="dxa"/>
            <w:vAlign w:val="bottom"/>
            <w:gridSpan w:val="2"/>
          </w:tcPr>
          <w:p>
            <w:pPr>
              <w:ind w:left="640"/>
              <w:spacing w:after="0" w:line="170" w:lineRule="exact"/>
              <w:rPr>
                <w:sz w:val="20"/>
                <w:szCs w:val="20"/>
                <w:color w:val="auto"/>
              </w:rPr>
            </w:pPr>
            <w:r>
              <w:rPr>
                <w:rFonts w:ascii="Arial" w:cs="Arial" w:eastAsia="Arial" w:hAnsi="Arial"/>
                <w:sz w:val="15"/>
                <w:szCs w:val="15"/>
                <w:color w:val="auto"/>
              </w:rPr>
              <w:t>​ 87%</w:t>
            </w:r>
          </w:p>
        </w:tc>
        <w:tc>
          <w:tcPr>
            <w:tcW w:w="420" w:type="dxa"/>
            <w:vAlign w:val="bottom"/>
            <w:gridSpan w:val="3"/>
          </w:tcPr>
          <w:p>
            <w:pPr>
              <w:ind w:left="200"/>
              <w:spacing w:after="0" w:line="170" w:lineRule="exact"/>
              <w:rPr>
                <w:sz w:val="20"/>
                <w:szCs w:val="20"/>
                <w:color w:val="auto"/>
              </w:rPr>
            </w:pPr>
            <w:r>
              <w:rPr>
                <w:rFonts w:ascii="Arial" w:cs="Arial" w:eastAsia="Arial" w:hAnsi="Arial"/>
                <w:sz w:val="15"/>
                <w:szCs w:val="15"/>
                <w:color w:val="auto"/>
              </w:rPr>
              <w:t>​ ​</w:t>
            </w:r>
          </w:p>
        </w:tc>
        <w:tc>
          <w:tcPr>
            <w:tcW w:w="1360" w:type="dxa"/>
            <w:vAlign w:val="bottom"/>
          </w:tcPr>
          <w:p>
            <w:pPr>
              <w:ind w:left="500"/>
              <w:spacing w:after="0" w:line="170" w:lineRule="exact"/>
              <w:rPr>
                <w:sz w:val="20"/>
                <w:szCs w:val="20"/>
                <w:color w:val="auto"/>
              </w:rPr>
            </w:pPr>
            <w:r>
              <w:rPr>
                <w:rFonts w:ascii="Arial" w:cs="Arial" w:eastAsia="Arial" w:hAnsi="Arial"/>
                <w:sz w:val="15"/>
                <w:szCs w:val="15"/>
                <w:color w:val="auto"/>
              </w:rPr>
              <w:t>​125%</w:t>
            </w:r>
          </w:p>
        </w:tc>
        <w:tc>
          <w:tcPr>
            <w:tcW w:w="8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Gregory J. Ritts</w:t>
            </w:r>
          </w:p>
        </w:tc>
        <w:tc>
          <w:tcPr>
            <w:tcW w:w="1300" w:type="dxa"/>
            <w:vAlign w:val="bottom"/>
            <w:shd w:val="clear" w:color="auto" w:fill="CCEEFF"/>
          </w:tcPr>
          <w:p>
            <w:pPr>
              <w:ind w:left="660"/>
              <w:spacing w:after="0"/>
              <w:rPr>
                <w:sz w:val="20"/>
                <w:szCs w:val="20"/>
                <w:color w:val="auto"/>
              </w:rPr>
            </w:pPr>
            <w:r>
              <w:rPr>
                <w:rFonts w:ascii="Arial" w:cs="Arial" w:eastAsia="Arial" w:hAnsi="Arial"/>
                <w:sz w:val="15"/>
                <w:szCs w:val="15"/>
                <w:color w:val="auto"/>
              </w:rPr>
              <w:t>​84%</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 87%</w:t>
            </w:r>
          </w:p>
        </w:tc>
        <w:tc>
          <w:tcPr>
            <w:tcW w:w="42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rPr>
              <w:t>​ ​</w:t>
            </w:r>
          </w:p>
        </w:tc>
        <w:tc>
          <w:tcPr>
            <w:tcW w:w="1360" w:type="dxa"/>
            <w:vAlign w:val="bottom"/>
            <w:shd w:val="clear" w:color="auto" w:fill="CCEEFF"/>
          </w:tcPr>
          <w:p>
            <w:pPr>
              <w:ind w:left="500"/>
              <w:spacing w:after="0"/>
              <w:rPr>
                <w:sz w:val="20"/>
                <w:szCs w:val="20"/>
                <w:color w:val="auto"/>
              </w:rPr>
            </w:pPr>
            <w:r>
              <w:rPr>
                <w:rFonts w:ascii="Arial" w:cs="Arial" w:eastAsia="Arial" w:hAnsi="Arial"/>
                <w:sz w:val="15"/>
                <w:szCs w:val="15"/>
                <w:color w:val="auto"/>
              </w:rPr>
              <w:t>​ 110%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4023995</wp:posOffset>
            </wp:positionH>
            <wp:positionV relativeFrom="paragraph">
              <wp:posOffset>-337185</wp:posOffset>
            </wp:positionV>
            <wp:extent cx="101981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19810" cy="6985"/>
                    </a:xfrm>
                    <a:prstGeom prst="rect">
                      <a:avLst/>
                    </a:prstGeom>
                    <a:noFill/>
                  </pic:spPr>
                </pic:pic>
              </a:graphicData>
            </a:graphic>
          </wp:anchor>
        </w:drawing>
        <w:drawing>
          <wp:anchor simplePos="0" relativeHeight="251657728" behindDoc="1" locked="0" layoutInCell="0" allowOverlap="1">
            <wp:simplePos x="0" y="0"/>
            <wp:positionH relativeFrom="column">
              <wp:posOffset>2981960</wp:posOffset>
            </wp:positionH>
            <wp:positionV relativeFrom="paragraph">
              <wp:posOffset>-337185</wp:posOffset>
            </wp:positionV>
            <wp:extent cx="5715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150" cy="6985"/>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-337185</wp:posOffset>
            </wp:positionV>
            <wp:extent cx="5715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150" cy="6985"/>
                    </a:xfrm>
                    <a:prstGeom prst="rect">
                      <a:avLst/>
                    </a:prstGeom>
                    <a:noFill/>
                  </pic:spPr>
                </pic:pic>
              </a:graphicData>
            </a:graphic>
          </wp:anchor>
        </w:drawing>
      </w:r>
    </w:p>
    <w:p>
      <w:pPr>
        <w:spacing w:after="0" w:line="78" w:lineRule="exact"/>
        <w:rPr>
          <w:sz w:val="20"/>
          <w:szCs w:val="20"/>
          <w:color w:val="auto"/>
        </w:rPr>
      </w:pPr>
    </w:p>
    <w:p>
      <w:pPr>
        <w:ind w:left="1060" w:right="1139"/>
        <w:spacing w:after="0" w:line="269" w:lineRule="auto"/>
        <w:rPr>
          <w:sz w:val="20"/>
          <w:szCs w:val="20"/>
          <w:color w:val="auto"/>
        </w:rPr>
      </w:pPr>
      <w:r>
        <w:rPr>
          <w:rFonts w:ascii="Arial" w:cs="Arial" w:eastAsia="Arial" w:hAnsi="Arial"/>
          <w:sz w:val="15"/>
          <w:szCs w:val="15"/>
          <w:color w:val="auto"/>
        </w:rPr>
        <w:t>The table below summarizes the levels of achievement, as determined by the Compensation Committee, for our Named Executive Officers on their scorecards set forth in the table above:</w:t>
      </w:r>
    </w:p>
    <w:p>
      <w:pPr>
        <w:spacing w:after="0" w:line="259" w:lineRule="exact"/>
        <w:rPr>
          <w:sz w:val="20"/>
          <w:szCs w:val="20"/>
          <w:color w:val="auto"/>
        </w:rPr>
      </w:pPr>
    </w:p>
    <w:tbl>
      <w:tblPr>
        <w:tblLayout w:type="fixed"/>
        <w:tblInd w:w="1060" w:type="dxa"/>
        <w:tblCellMar>
          <w:top w:w="0" w:type="dxa"/>
          <w:left w:w="0" w:type="dxa"/>
          <w:bottom w:w="0" w:type="dxa"/>
          <w:right w:w="0" w:type="dxa"/>
        </w:tblCellMar>
      </w:tblPr>
      <w:tr>
        <w:trPr>
          <w:trHeight w:val="172"/>
        </w:trPr>
        <w:tc>
          <w:tcPr>
            <w:tcW w:w="2600" w:type="dxa"/>
            <w:vAlign w:val="bottom"/>
            <w:vMerge w:val="restart"/>
          </w:tcPr>
          <w:p>
            <w:pPr>
              <w:ind w:left="1100"/>
              <w:spacing w:after="0"/>
              <w:rPr>
                <w:sz w:val="20"/>
                <w:szCs w:val="20"/>
                <w:color w:val="auto"/>
              </w:rPr>
            </w:pPr>
            <w:r>
              <w:rPr>
                <w:rFonts w:ascii="Arial" w:cs="Arial" w:eastAsia="Arial" w:hAnsi="Arial"/>
                <w:sz w:val="15"/>
                <w:szCs w:val="15"/>
                <w:b w:val="1"/>
                <w:bCs w:val="1"/>
                <w:color w:val="auto"/>
              </w:rPr>
              <w:t>Name</w:t>
            </w:r>
          </w:p>
        </w:tc>
        <w:tc>
          <w:tcPr>
            <w:tcW w:w="140" w:type="dxa"/>
            <w:vAlign w:val="bottom"/>
            <w:vMerge w:val="restart"/>
          </w:tcPr>
          <w:p>
            <w:pPr>
              <w:spacing w:after="0"/>
              <w:rPr>
                <w:sz w:val="14"/>
                <w:szCs w:val="14"/>
                <w:color w:val="auto"/>
              </w:rPr>
            </w:pPr>
          </w:p>
        </w:tc>
        <w:tc>
          <w:tcPr>
            <w:tcW w:w="1540" w:type="dxa"/>
            <w:vAlign w:val="bottom"/>
            <w:gridSpan w:val="2"/>
          </w:tcPr>
          <w:p>
            <w:pPr>
              <w:jc w:val="center"/>
              <w:ind w:left="105"/>
              <w:spacing w:after="0"/>
              <w:rPr>
                <w:sz w:val="20"/>
                <w:szCs w:val="20"/>
                <w:color w:val="auto"/>
              </w:rPr>
            </w:pPr>
            <w:r>
              <w:rPr>
                <w:rFonts w:ascii="Arial" w:cs="Arial" w:eastAsia="Arial" w:hAnsi="Arial"/>
                <w:sz w:val="15"/>
                <w:szCs w:val="15"/>
                <w:b w:val="1"/>
                <w:bCs w:val="1"/>
                <w:color w:val="auto"/>
                <w:w w:val="99"/>
              </w:rPr>
              <w:t>Target Annual</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rPr>
              <w:t>% Achievement</w:t>
            </w:r>
          </w:p>
        </w:tc>
        <w:tc>
          <w:tcPr>
            <w:tcW w:w="1040" w:type="dxa"/>
            <w:vAlign w:val="bottom"/>
            <w:gridSpan w:val="3"/>
          </w:tcPr>
          <w:p>
            <w:pPr>
              <w:jc w:val="center"/>
              <w:ind w:right="40"/>
              <w:spacing w:after="0"/>
              <w:rPr>
                <w:sz w:val="20"/>
                <w:szCs w:val="20"/>
                <w:color w:val="auto"/>
              </w:rPr>
            </w:pPr>
            <w:r>
              <w:rPr>
                <w:rFonts w:ascii="Arial" w:cs="Arial" w:eastAsia="Arial" w:hAnsi="Arial"/>
                <w:sz w:val="15"/>
                <w:szCs w:val="15"/>
                <w:b w:val="1"/>
                <w:bCs w:val="1"/>
                <w:color w:val="auto"/>
                <w:w w:val="99"/>
              </w:rPr>
              <w:t>Earned Based</w:t>
            </w:r>
          </w:p>
        </w:tc>
        <w:tc>
          <w:tcPr>
            <w:tcW w:w="0" w:type="dxa"/>
            <w:vAlign w:val="bottom"/>
          </w:tcPr>
          <w:p>
            <w:pPr>
              <w:spacing w:after="0"/>
              <w:rPr>
                <w:sz w:val="1"/>
                <w:szCs w:val="1"/>
                <w:color w:val="auto"/>
              </w:rPr>
            </w:pPr>
          </w:p>
        </w:tc>
      </w:tr>
      <w:tr>
        <w:trPr>
          <w:trHeight w:val="192"/>
        </w:trPr>
        <w:tc>
          <w:tcPr>
            <w:tcW w:w="260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rPr>
              <w:t>Incentive Compensation</w:t>
            </w:r>
          </w:p>
        </w:tc>
        <w:tc>
          <w:tcPr>
            <w:tcW w:w="14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on Scorecard</w:t>
            </w:r>
          </w:p>
        </w:tc>
        <w:tc>
          <w:tcPr>
            <w:tcW w:w="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on Scorecard</w:t>
            </w: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600" w:type="dxa"/>
            <w:vAlign w:val="bottom"/>
          </w:tcPr>
          <w:p>
            <w:pPr>
              <w:spacing w:after="0" w:line="161" w:lineRule="exact"/>
              <w:rPr>
                <w:sz w:val="20"/>
                <w:szCs w:val="20"/>
                <w:color w:val="auto"/>
              </w:rPr>
            </w:pPr>
            <w:r>
              <w:rPr>
                <w:rFonts w:ascii="Arial" w:cs="Arial" w:eastAsia="Arial" w:hAnsi="Arial"/>
                <w:sz w:val="15"/>
                <w:szCs w:val="15"/>
                <w:color w:val="auto"/>
              </w:rPr>
              <w:t>William B. Shepro</w:t>
            </w:r>
          </w:p>
        </w:tc>
        <w:tc>
          <w:tcPr>
            <w:tcW w:w="140" w:type="dxa"/>
            <w:vAlign w:val="bottom"/>
          </w:tcPr>
          <w:p>
            <w:pPr>
              <w:spacing w:after="0"/>
              <w:rPr>
                <w:sz w:val="14"/>
                <w:szCs w:val="14"/>
                <w:color w:val="auto"/>
              </w:rPr>
            </w:pPr>
          </w:p>
        </w:tc>
        <w:tc>
          <w:tcPr>
            <w:tcW w:w="580" w:type="dxa"/>
            <w:vAlign w:val="bottom"/>
          </w:tcPr>
          <w:p>
            <w:pPr>
              <w:ind w:left="440"/>
              <w:spacing w:after="0" w:line="161"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205"/>
              <w:spacing w:after="0" w:line="161" w:lineRule="exact"/>
              <w:rPr>
                <w:sz w:val="20"/>
                <w:szCs w:val="20"/>
                <w:color w:val="auto"/>
              </w:rPr>
            </w:pPr>
            <w:r>
              <w:rPr>
                <w:rFonts w:ascii="Arial" w:cs="Arial" w:eastAsia="Arial" w:hAnsi="Arial"/>
                <w:sz w:val="15"/>
                <w:szCs w:val="15"/>
                <w:color w:val="auto"/>
                <w:w w:val="98"/>
              </w:rPr>
              <w:t>1,425,530</w:t>
            </w:r>
          </w:p>
        </w:tc>
        <w:tc>
          <w:tcPr>
            <w:tcW w:w="340" w:type="dxa"/>
            <w:vAlign w:val="bottom"/>
            <w:gridSpan w:val="2"/>
          </w:tcPr>
          <w:p>
            <w:pPr>
              <w:ind w:left="180"/>
              <w:spacing w:after="0" w:line="161" w:lineRule="exact"/>
              <w:rPr>
                <w:sz w:val="20"/>
                <w:szCs w:val="20"/>
                <w:color w:val="auto"/>
              </w:rPr>
            </w:pPr>
            <w:r>
              <w:rPr>
                <w:rFonts w:ascii="Arial" w:cs="Arial" w:eastAsia="Arial" w:hAnsi="Arial"/>
                <w:sz w:val="15"/>
                <w:szCs w:val="15"/>
                <w:color w:val="auto"/>
              </w:rPr>
              <w:t>​</w:t>
            </w:r>
          </w:p>
        </w:tc>
        <w:tc>
          <w:tcPr>
            <w:tcW w:w="1060" w:type="dxa"/>
            <w:vAlign w:val="bottom"/>
          </w:tcPr>
          <w:p>
            <w:pPr>
              <w:ind w:left="380"/>
              <w:spacing w:after="0" w:line="161" w:lineRule="exact"/>
              <w:rPr>
                <w:sz w:val="20"/>
                <w:szCs w:val="20"/>
                <w:color w:val="auto"/>
              </w:rPr>
            </w:pPr>
            <w:r>
              <w:rPr>
                <w:rFonts w:ascii="Arial" w:cs="Arial" w:eastAsia="Arial" w:hAnsi="Arial"/>
                <w:sz w:val="15"/>
                <w:szCs w:val="15"/>
                <w:color w:val="auto"/>
              </w:rPr>
              <w:t>​60.4%</w:t>
            </w:r>
          </w:p>
        </w:tc>
        <w:tc>
          <w:tcPr>
            <w:tcW w:w="200" w:type="dxa"/>
            <w:vAlign w:val="bottom"/>
            <w:gridSpan w:val="2"/>
          </w:tcPr>
          <w:p>
            <w:pPr>
              <w:ind w:left="40"/>
              <w:spacing w:after="0" w:line="161" w:lineRule="exact"/>
              <w:rPr>
                <w:sz w:val="20"/>
                <w:szCs w:val="20"/>
                <w:color w:val="auto"/>
              </w:rPr>
            </w:pPr>
            <w:r>
              <w:rPr>
                <w:rFonts w:ascii="Arial" w:cs="Arial" w:eastAsia="Arial" w:hAnsi="Arial"/>
                <w:sz w:val="15"/>
                <w:szCs w:val="15"/>
                <w:color w:val="auto"/>
              </w:rPr>
              <w:t>​</w:t>
            </w:r>
          </w:p>
        </w:tc>
        <w:tc>
          <w:tcPr>
            <w:tcW w:w="980" w:type="dxa"/>
            <w:vAlign w:val="bottom"/>
          </w:tcPr>
          <w:p>
            <w:pPr>
              <w:jc w:val="center"/>
              <w:spacing w:after="0" w:line="161" w:lineRule="exact"/>
              <w:rPr>
                <w:sz w:val="20"/>
                <w:szCs w:val="20"/>
                <w:color w:val="auto"/>
              </w:rPr>
            </w:pPr>
            <w:r>
              <w:rPr>
                <w:rFonts w:ascii="Arial" w:cs="Arial" w:eastAsia="Arial" w:hAnsi="Arial"/>
                <w:sz w:val="15"/>
                <w:szCs w:val="15"/>
                <w:color w:val="auto"/>
              </w:rPr>
              <w:t>​$ 861,475</w:t>
            </w:r>
          </w:p>
        </w:tc>
        <w:tc>
          <w:tcPr>
            <w:tcW w:w="60" w:type="dxa"/>
            <w:vAlign w:val="bottom"/>
            <w:gridSpan w:val="2"/>
          </w:tcPr>
          <w:p>
            <w:pPr>
              <w:ind w:left="20"/>
              <w:spacing w:after="0" w:line="16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2740" w:type="dxa"/>
            <w:vAlign w:val="bottom"/>
            <w:gridSpan w:val="2"/>
          </w:tcPr>
          <w:p>
            <w:pPr>
              <w:spacing w:after="0" w:line="170" w:lineRule="exact"/>
              <w:rPr>
                <w:sz w:val="20"/>
                <w:szCs w:val="20"/>
                <w:color w:val="auto"/>
              </w:rPr>
            </w:pPr>
            <w:r>
              <w:rPr>
                <w:rFonts w:ascii="Arial" w:cs="Arial" w:eastAsia="Arial" w:hAnsi="Arial"/>
                <w:sz w:val="15"/>
                <w:szCs w:val="15"/>
                <w:color w:val="auto"/>
              </w:rPr>
              <w:t>Michelle D. Esterman</w:t>
            </w:r>
          </w:p>
        </w:tc>
        <w:tc>
          <w:tcPr>
            <w:tcW w:w="580" w:type="dxa"/>
            <w:vAlign w:val="bottom"/>
          </w:tcPr>
          <w:p>
            <w:pPr>
              <w:ind w:left="440"/>
              <w:spacing w:after="0" w:line="170"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205"/>
              <w:spacing w:after="0" w:line="170" w:lineRule="exact"/>
              <w:rPr>
                <w:sz w:val="20"/>
                <w:szCs w:val="20"/>
                <w:color w:val="auto"/>
              </w:rPr>
            </w:pPr>
            <w:r>
              <w:rPr>
                <w:rFonts w:ascii="Arial" w:cs="Arial" w:eastAsia="Arial" w:hAnsi="Arial"/>
                <w:sz w:val="15"/>
                <w:szCs w:val="15"/>
                <w:color w:val="auto"/>
              </w:rPr>
              <w:t>300,000</w:t>
            </w:r>
          </w:p>
        </w:tc>
        <w:tc>
          <w:tcPr>
            <w:tcW w:w="340" w:type="dxa"/>
            <w:vAlign w:val="bottom"/>
            <w:gridSpan w:val="2"/>
          </w:tcPr>
          <w:p>
            <w:pPr>
              <w:ind w:left="180"/>
              <w:spacing w:after="0" w:line="170" w:lineRule="exact"/>
              <w:rPr>
                <w:sz w:val="20"/>
                <w:szCs w:val="20"/>
                <w:color w:val="auto"/>
              </w:rPr>
            </w:pPr>
            <w:r>
              <w:rPr>
                <w:rFonts w:ascii="Arial" w:cs="Arial" w:eastAsia="Arial" w:hAnsi="Arial"/>
                <w:sz w:val="15"/>
                <w:szCs w:val="15"/>
                <w:color w:val="auto"/>
              </w:rPr>
              <w:t>​</w:t>
            </w:r>
          </w:p>
        </w:tc>
        <w:tc>
          <w:tcPr>
            <w:tcW w:w="1060" w:type="dxa"/>
            <w:vAlign w:val="bottom"/>
          </w:tcPr>
          <w:p>
            <w:pPr>
              <w:ind w:left="380"/>
              <w:spacing w:after="0" w:line="170" w:lineRule="exact"/>
              <w:rPr>
                <w:sz w:val="20"/>
                <w:szCs w:val="20"/>
                <w:color w:val="auto"/>
              </w:rPr>
            </w:pPr>
            <w:r>
              <w:rPr>
                <w:rFonts w:ascii="Arial" w:cs="Arial" w:eastAsia="Arial" w:hAnsi="Arial"/>
                <w:sz w:val="15"/>
                <w:szCs w:val="15"/>
                <w:color w:val="auto"/>
              </w:rPr>
              <w:t>​70.6%</w:t>
            </w:r>
          </w:p>
        </w:tc>
        <w:tc>
          <w:tcPr>
            <w:tcW w:w="200" w:type="dxa"/>
            <w:vAlign w:val="bottom"/>
            <w:gridSpan w:val="2"/>
          </w:tcPr>
          <w:p>
            <w:pPr>
              <w:ind w:left="40"/>
              <w:spacing w:after="0" w:line="170" w:lineRule="exact"/>
              <w:rPr>
                <w:sz w:val="20"/>
                <w:szCs w:val="20"/>
                <w:color w:val="auto"/>
              </w:rPr>
            </w:pPr>
            <w:r>
              <w:rPr>
                <w:rFonts w:ascii="Arial" w:cs="Arial" w:eastAsia="Arial" w:hAnsi="Arial"/>
                <w:sz w:val="15"/>
                <w:szCs w:val="15"/>
                <w:color w:val="auto"/>
              </w:rPr>
              <w:t>​</w:t>
            </w:r>
          </w:p>
        </w:tc>
        <w:tc>
          <w:tcPr>
            <w:tcW w:w="980" w:type="dxa"/>
            <w:vAlign w:val="bottom"/>
          </w:tcPr>
          <w:p>
            <w:pPr>
              <w:jc w:val="center"/>
              <w:spacing w:after="0" w:line="170" w:lineRule="exact"/>
              <w:rPr>
                <w:sz w:val="20"/>
                <w:szCs w:val="20"/>
                <w:color w:val="auto"/>
              </w:rPr>
            </w:pPr>
            <w:r>
              <w:rPr>
                <w:rFonts w:ascii="Arial" w:cs="Arial" w:eastAsia="Arial" w:hAnsi="Arial"/>
                <w:sz w:val="15"/>
                <w:szCs w:val="15"/>
                <w:color w:val="auto"/>
              </w:rPr>
              <w:t>​$ 211,663</w:t>
            </w:r>
          </w:p>
        </w:tc>
        <w:tc>
          <w:tcPr>
            <w:tcW w:w="60" w:type="dxa"/>
            <w:vAlign w:val="bottom"/>
            <w:gridSpan w:val="2"/>
          </w:tcPr>
          <w:p>
            <w:pPr>
              <w:ind w:left="20"/>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740" w:type="dxa"/>
            <w:vAlign w:val="bottom"/>
            <w:gridSpan w:val="2"/>
          </w:tcPr>
          <w:p>
            <w:pPr>
              <w:spacing w:after="0"/>
              <w:rPr>
                <w:sz w:val="20"/>
                <w:szCs w:val="20"/>
                <w:color w:val="auto"/>
              </w:rPr>
            </w:pPr>
            <w:r>
              <w:rPr>
                <w:rFonts w:ascii="Arial" w:cs="Arial" w:eastAsia="Arial" w:hAnsi="Arial"/>
                <w:sz w:val="15"/>
                <w:szCs w:val="15"/>
                <w:color w:val="auto"/>
              </w:rPr>
              <w:t>Gregory J. Ritts</w:t>
            </w:r>
          </w:p>
        </w:tc>
        <w:tc>
          <w:tcPr>
            <w:tcW w:w="580" w:type="dxa"/>
            <w:vAlign w:val="bottom"/>
          </w:tcPr>
          <w:p>
            <w:pPr>
              <w:ind w:left="440"/>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05"/>
              <w:spacing w:after="0"/>
              <w:rPr>
                <w:sz w:val="20"/>
                <w:szCs w:val="20"/>
                <w:color w:val="auto"/>
              </w:rPr>
            </w:pPr>
            <w:r>
              <w:rPr>
                <w:rFonts w:ascii="Arial" w:cs="Arial" w:eastAsia="Arial" w:hAnsi="Arial"/>
                <w:sz w:val="15"/>
                <w:szCs w:val="15"/>
                <w:color w:val="auto"/>
              </w:rPr>
              <w:t>246,000</w:t>
            </w:r>
          </w:p>
        </w:tc>
        <w:tc>
          <w:tcPr>
            <w:tcW w:w="340" w:type="dxa"/>
            <w:vAlign w:val="bottom"/>
            <w:gridSpan w:val="2"/>
          </w:tcPr>
          <w:p>
            <w:pPr>
              <w:ind w:left="180"/>
              <w:spacing w:after="0"/>
              <w:rPr>
                <w:sz w:val="20"/>
                <w:szCs w:val="20"/>
                <w:color w:val="auto"/>
              </w:rPr>
            </w:pPr>
            <w:r>
              <w:rPr>
                <w:rFonts w:ascii="Arial" w:cs="Arial" w:eastAsia="Arial" w:hAnsi="Arial"/>
                <w:sz w:val="15"/>
                <w:szCs w:val="15"/>
                <w:color w:val="auto"/>
              </w:rPr>
              <w:t>​</w:t>
            </w:r>
          </w:p>
        </w:tc>
        <w:tc>
          <w:tcPr>
            <w:tcW w:w="1060" w:type="dxa"/>
            <w:vAlign w:val="bottom"/>
          </w:tcPr>
          <w:p>
            <w:pPr>
              <w:ind w:left="380"/>
              <w:spacing w:after="0"/>
              <w:rPr>
                <w:sz w:val="20"/>
                <w:szCs w:val="20"/>
                <w:color w:val="auto"/>
              </w:rPr>
            </w:pPr>
            <w:r>
              <w:rPr>
                <w:rFonts w:ascii="Arial" w:cs="Arial" w:eastAsia="Arial" w:hAnsi="Arial"/>
                <w:sz w:val="15"/>
                <w:szCs w:val="15"/>
                <w:color w:val="auto"/>
              </w:rPr>
              <w:t>​67.2%</w:t>
            </w:r>
          </w:p>
        </w:tc>
        <w:tc>
          <w:tcPr>
            <w:tcW w:w="20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980" w:type="dxa"/>
            <w:vAlign w:val="bottom"/>
          </w:tcPr>
          <w:p>
            <w:pPr>
              <w:jc w:val="center"/>
              <w:spacing w:after="0"/>
              <w:rPr>
                <w:sz w:val="20"/>
                <w:szCs w:val="20"/>
                <w:color w:val="auto"/>
              </w:rPr>
            </w:pPr>
            <w:r>
              <w:rPr>
                <w:rFonts w:ascii="Arial" w:cs="Arial" w:eastAsia="Arial" w:hAnsi="Arial"/>
                <w:sz w:val="15"/>
                <w:szCs w:val="15"/>
                <w:color w:val="auto"/>
              </w:rPr>
              <w:t>​$ 165,210</w:t>
            </w:r>
          </w:p>
        </w:tc>
        <w:tc>
          <w:tcPr>
            <w:tcW w:w="6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-114300</wp:posOffset>
            </wp:positionV>
            <wp:extent cx="4367530" cy="1149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67530" cy="114935"/>
                    </a:xfrm>
                    <a:prstGeom prst="rect">
                      <a:avLst/>
                    </a:prstGeom>
                    <a:noFill/>
                  </pic:spPr>
                </pic:pic>
              </a:graphicData>
            </a:graphic>
          </wp:anchor>
        </w:drawing>
        <w:drawing>
          <wp:anchor simplePos="0" relativeHeight="251657728" behindDoc="1" locked="0" layoutInCell="0" allowOverlap="1">
            <wp:simplePos x="0" y="0"/>
            <wp:positionH relativeFrom="column">
              <wp:posOffset>676275</wp:posOffset>
            </wp:positionH>
            <wp:positionV relativeFrom="paragraph">
              <wp:posOffset>-337185</wp:posOffset>
            </wp:positionV>
            <wp:extent cx="4367530" cy="1149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67530" cy="114935"/>
                    </a:xfrm>
                    <a:prstGeom prst="rect">
                      <a:avLst/>
                    </a:prstGeom>
                    <a:noFill/>
                  </pic:spPr>
                </pic:pic>
              </a:graphicData>
            </a:graphic>
          </wp:anchor>
        </w:drawing>
      </w:r>
    </w:p>
    <w:p>
      <w:pPr>
        <w:spacing w:after="0" w:line="78" w:lineRule="exact"/>
        <w:rPr>
          <w:sz w:val="20"/>
          <w:szCs w:val="20"/>
          <w:color w:val="auto"/>
        </w:rPr>
      </w:pPr>
    </w:p>
    <w:p>
      <w:pPr>
        <w:ind w:left="1060" w:right="1079"/>
        <w:spacing w:after="0" w:line="255" w:lineRule="auto"/>
        <w:rPr>
          <w:sz w:val="20"/>
          <w:szCs w:val="20"/>
          <w:color w:val="auto"/>
        </w:rPr>
      </w:pPr>
      <w:r>
        <w:rPr>
          <w:rFonts w:ascii="Arial" w:cs="Arial" w:eastAsia="Arial" w:hAnsi="Arial"/>
          <w:sz w:val="15"/>
          <w:szCs w:val="15"/>
          <w:color w:val="auto"/>
        </w:rPr>
        <w:t>The Compensation Committee determined that the 2024 annual incentive compensation earned by our Named Executive Officers would be paid entirely in RSUs, rather than a mix of cash and equity. Historically, the cash portion was paid immediately. Under the new structure:</w:t>
      </w:r>
    </w:p>
    <w:p>
      <w:pPr>
        <w:spacing w:after="0" w:line="231" w:lineRule="exact"/>
        <w:rPr>
          <w:sz w:val="20"/>
          <w:szCs w:val="20"/>
          <w:color w:val="auto"/>
        </w:rPr>
      </w:pPr>
    </w:p>
    <w:p>
      <w:pPr>
        <w:ind w:left="1520" w:right="1319" w:hanging="153"/>
        <w:spacing w:after="0" w:line="279" w:lineRule="auto"/>
        <w:tabs>
          <w:tab w:leader="none" w:pos="15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60% of the RSUs, which would have corresponded to the cash portion of the award, will now vest on the first anniversary of the grant date, rather than being paid immediately</w:t>
      </w:r>
    </w:p>
    <w:p>
      <w:pPr>
        <w:spacing w:after="0" w:line="232" w:lineRule="exact"/>
        <w:rPr>
          <w:rFonts w:ascii="Arial" w:cs="Arial" w:eastAsia="Arial" w:hAnsi="Arial"/>
          <w:sz w:val="15"/>
          <w:szCs w:val="15"/>
          <w:color w:val="auto"/>
        </w:rPr>
      </w:pPr>
    </w:p>
    <w:p>
      <w:pPr>
        <w:ind w:left="1520" w:right="1439" w:hanging="153"/>
        <w:spacing w:after="0" w:line="264" w:lineRule="auto"/>
        <w:tabs>
          <w:tab w:leader="none" w:pos="15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remaining 40% vest equally on the first and second anniversaries of the grant date</w:t>
      </w:r>
    </w:p>
    <w:p>
      <w:pPr>
        <w:spacing w:after="0" w:line="262" w:lineRule="exact"/>
        <w:rPr>
          <w:rFonts w:ascii="Arial" w:cs="Arial" w:eastAsia="Arial" w:hAnsi="Arial"/>
          <w:sz w:val="15"/>
          <w:szCs w:val="15"/>
          <w:color w:val="auto"/>
        </w:rPr>
      </w:pPr>
    </w:p>
    <w:p>
      <w:pPr>
        <w:ind w:left="1520" w:hanging="153"/>
        <w:spacing w:after="0"/>
        <w:tabs>
          <w:tab w:leader="none" w:pos="15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Vesting is subject to continued employment</w:t>
      </w:r>
    </w:p>
    <w:p>
      <w:pPr>
        <w:spacing w:after="0" w:line="122" w:lineRule="exact"/>
        <w:rPr>
          <w:sz w:val="20"/>
          <w:szCs w:val="20"/>
          <w:color w:val="auto"/>
        </w:rPr>
      </w:pPr>
    </w:p>
    <w:p>
      <w:pPr>
        <w:ind w:left="1060" w:right="1099"/>
        <w:spacing w:after="0" w:line="246" w:lineRule="auto"/>
        <w:rPr>
          <w:sz w:val="20"/>
          <w:szCs w:val="20"/>
          <w:color w:val="auto"/>
        </w:rPr>
      </w:pPr>
      <w:r>
        <w:rPr>
          <w:rFonts w:ascii="Arial" w:cs="Arial" w:eastAsia="Arial" w:hAnsi="Arial"/>
          <w:sz w:val="15"/>
          <w:szCs w:val="15"/>
          <w:color w:val="auto"/>
        </w:rPr>
        <w:t>The Compensation Committee exercised its discretion to pay the annual incentive compensation in RSUs and set the number of RSUs available for distribution in the Bonus Pool at 1.827 million, representing approximately 2.1% of the Company’s outstanding shares as of February 25, 2025. The resulting value of the Bonus Pool was $1.297 million as of the February 25, 2025 grant date, based on a per share price of $0.71, the average of the high and low trading prices of the Company’s common stock on the grant date. The final Bonus Pool of $1.297 million divided by $3.666 million, representing the achievement levels of all employees participating in the annual incentive plan is 35.38%. As a result, each Named Executive Officer received 35.38% of their scorecard achievement.</w:t>
      </w:r>
    </w:p>
    <w:p>
      <w:pPr>
        <w:spacing w:after="0" w:line="271" w:lineRule="exact"/>
        <w:rPr>
          <w:sz w:val="20"/>
          <w:szCs w:val="20"/>
          <w:color w:val="auto"/>
        </w:rPr>
      </w:pPr>
    </w:p>
    <w:p>
      <w:pPr>
        <w:ind w:left="1060" w:right="1139"/>
        <w:spacing w:after="0" w:line="272" w:lineRule="auto"/>
        <w:rPr>
          <w:sz w:val="20"/>
          <w:szCs w:val="20"/>
          <w:color w:val="auto"/>
        </w:rPr>
      </w:pPr>
      <w:r>
        <w:rPr>
          <w:rFonts w:ascii="Arial" w:cs="Arial" w:eastAsia="Arial" w:hAnsi="Arial"/>
          <w:sz w:val="15"/>
          <w:szCs w:val="15"/>
          <w:color w:val="auto"/>
        </w:rPr>
        <w:t>Awards for our Named Executive Officers were determined based on (i) performance on the scorecard metrics, (ii) available Bonus Pool and (iii) certain discretionary reallocations.</w:t>
      </w:r>
    </w:p>
    <w:p>
      <w:pPr>
        <w:spacing w:after="0" w:line="73" w:lineRule="exact"/>
        <w:rPr>
          <w:sz w:val="20"/>
          <w:szCs w:val="20"/>
          <w:color w:val="auto"/>
        </w:rPr>
      </w:pPr>
    </w:p>
    <w:p>
      <w:pPr>
        <w:ind w:left="1060" w:right="1159"/>
        <w:spacing w:after="0" w:line="250" w:lineRule="auto"/>
        <w:rPr>
          <w:sz w:val="20"/>
          <w:szCs w:val="20"/>
          <w:color w:val="auto"/>
        </w:rPr>
      </w:pPr>
      <w:r>
        <w:rPr>
          <w:rFonts w:ascii="Arial" w:cs="Arial" w:eastAsia="Arial" w:hAnsi="Arial"/>
          <w:sz w:val="15"/>
          <w:szCs w:val="15"/>
          <w:color w:val="auto"/>
        </w:rPr>
        <w:t>Under the Compensation Committee’s approved level of achievement, Mr. Shepro earned 429,303 RSUs, Ms. Esterman would have received 105,479 RSUs and Mr. Ritts would have received 82,330 RSUs. However, at Mr. Shepro’s request, the Compensation Committee approved a voluntary reallocation of 329,303 of his earned RSUs (representing 76.7% of his total earned RSUs) to other Altisource employees, without increasing the total number of RSUs granted.</w:t>
      </w:r>
    </w:p>
    <w:p>
      <w:pPr>
        <w:spacing w:after="0" w:line="267" w:lineRule="exact"/>
        <w:rPr>
          <w:sz w:val="20"/>
          <w:szCs w:val="20"/>
          <w:color w:val="auto"/>
        </w:rPr>
      </w:pPr>
    </w:p>
    <w:p>
      <w:pPr>
        <w:ind w:left="1060" w:right="1519"/>
        <w:spacing w:after="0" w:line="254" w:lineRule="auto"/>
        <w:rPr>
          <w:sz w:val="20"/>
          <w:szCs w:val="20"/>
          <w:color w:val="auto"/>
        </w:rPr>
      </w:pPr>
      <w:r>
        <w:rPr>
          <w:rFonts w:ascii="Arial" w:cs="Arial" w:eastAsia="Arial" w:hAnsi="Arial"/>
          <w:sz w:val="15"/>
          <w:szCs w:val="15"/>
          <w:color w:val="auto"/>
        </w:rPr>
        <w:t>As part of Mr. Shepro’s voluntary RSU reduction and reallocation, Ms. Esterman and Mr. Ritts each received an additional 75,000 RSUs, in recognition of their extraordinary contributions to the successful execution of the Transaction.</w:t>
      </w:r>
    </w:p>
    <w:p>
      <w:pPr>
        <w:spacing w:after="0" w:line="86" w:lineRule="exact"/>
        <w:rPr>
          <w:sz w:val="20"/>
          <w:szCs w:val="20"/>
          <w:color w:val="auto"/>
        </w:rPr>
      </w:pPr>
    </w:p>
    <w:p>
      <w:pPr>
        <w:ind w:left="1060" w:right="1259"/>
        <w:spacing w:after="0" w:line="255" w:lineRule="auto"/>
        <w:rPr>
          <w:sz w:val="20"/>
          <w:szCs w:val="20"/>
          <w:color w:val="auto"/>
        </w:rPr>
      </w:pPr>
      <w:r>
        <w:rPr>
          <w:rFonts w:ascii="Arial" w:cs="Arial" w:eastAsia="Arial" w:hAnsi="Arial"/>
          <w:sz w:val="15"/>
          <w:szCs w:val="15"/>
          <w:color w:val="auto"/>
        </w:rPr>
        <w:t>The table below summarizes the equity award actually received by each Named Executive Officer as an annual incentive, as of the February 25, 2025 grant date. These awards are based on a per share price of $0.71, the average of the high and low trading prices on that date:</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1040" w:type="dxa"/>
            <w:vAlign w:val="bottom"/>
          </w:tcPr>
          <w:p>
            <w:pPr>
              <w:spacing w:after="0"/>
              <w:rPr>
                <w:sz w:val="15"/>
                <w:szCs w:val="15"/>
                <w:color w:val="auto"/>
              </w:rPr>
            </w:pPr>
          </w:p>
        </w:tc>
        <w:tc>
          <w:tcPr>
            <w:tcW w:w="2700" w:type="dxa"/>
            <w:vAlign w:val="bottom"/>
            <w:vMerge w:val="restart"/>
          </w:tcPr>
          <w:p>
            <w:pPr>
              <w:ind w:left="1140"/>
              <w:spacing w:after="0"/>
              <w:rPr>
                <w:sz w:val="20"/>
                <w:szCs w:val="20"/>
                <w:color w:val="auto"/>
              </w:rPr>
            </w:pPr>
            <w:r>
              <w:rPr>
                <w:rFonts w:ascii="Arial" w:cs="Arial" w:eastAsia="Arial" w:hAnsi="Arial"/>
                <w:sz w:val="15"/>
                <w:szCs w:val="15"/>
                <w:b w:val="1"/>
                <w:bCs w:val="1"/>
                <w:color w:val="auto"/>
              </w:rPr>
              <w:t>Name</w:t>
            </w:r>
          </w:p>
        </w:tc>
        <w:tc>
          <w:tcPr>
            <w:tcW w:w="140" w:type="dxa"/>
            <w:vAlign w:val="bottom"/>
            <w:vMerge w:val="restart"/>
          </w:tcPr>
          <w:p>
            <w:pPr>
              <w:spacing w:after="0"/>
              <w:rPr>
                <w:sz w:val="15"/>
                <w:szCs w:val="15"/>
                <w:color w:val="auto"/>
              </w:rPr>
            </w:pP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5"/>
                <w:szCs w:val="15"/>
                <w:b w:val="1"/>
                <w:bCs w:val="1"/>
                <w:color w:val="auto"/>
                <w:w w:val="99"/>
              </w:rPr>
              <w:t># RSUs Granted</w:t>
            </w:r>
          </w:p>
        </w:tc>
        <w:tc>
          <w:tcPr>
            <w:tcW w:w="1220" w:type="dxa"/>
            <w:vAlign w:val="bottom"/>
            <w:gridSpan w:val="3"/>
            <w:vMerge w:val="restart"/>
          </w:tcPr>
          <w:p>
            <w:pPr>
              <w:jc w:val="center"/>
              <w:ind w:right="140"/>
              <w:spacing w:after="0"/>
              <w:rPr>
                <w:sz w:val="20"/>
                <w:szCs w:val="20"/>
                <w:color w:val="auto"/>
              </w:rPr>
            </w:pPr>
            <w:r>
              <w:rPr>
                <w:rFonts w:ascii="Arial" w:cs="Arial" w:eastAsia="Arial" w:hAnsi="Arial"/>
                <w:sz w:val="15"/>
                <w:szCs w:val="15"/>
                <w:b w:val="1"/>
                <w:bCs w:val="1"/>
                <w:color w:val="auto"/>
              </w:rPr>
              <w:t>Effective Value</w:t>
            </w:r>
          </w:p>
        </w:tc>
        <w:tc>
          <w:tcPr>
            <w:tcW w:w="1540" w:type="dxa"/>
            <w:vAlign w:val="bottom"/>
            <w:gridSpan w:val="2"/>
          </w:tcPr>
          <w:p>
            <w:pPr>
              <w:jc w:val="center"/>
              <w:spacing w:after="0"/>
              <w:rPr>
                <w:sz w:val="20"/>
                <w:szCs w:val="20"/>
                <w:color w:val="auto"/>
              </w:rPr>
            </w:pPr>
            <w:r>
              <w:rPr>
                <w:rFonts w:ascii="Arial" w:cs="Arial" w:eastAsia="Arial" w:hAnsi="Arial"/>
                <w:sz w:val="15"/>
                <w:szCs w:val="15"/>
                <w:b w:val="1"/>
                <w:bCs w:val="1"/>
                <w:color w:val="auto"/>
              </w:rPr>
              <w:t>Percentage Earnings</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40" w:type="dxa"/>
            <w:vAlign w:val="bottom"/>
          </w:tcPr>
          <w:p>
            <w:pPr>
              <w:spacing w:after="0"/>
              <w:rPr>
                <w:sz w:val="16"/>
                <w:szCs w:val="16"/>
                <w:color w:val="auto"/>
              </w:rPr>
            </w:pPr>
          </w:p>
        </w:tc>
        <w:tc>
          <w:tcPr>
            <w:tcW w:w="270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320" w:type="dxa"/>
            <w:vAlign w:val="bottom"/>
          </w:tcPr>
          <w:p>
            <w:pPr>
              <w:jc w:val="center"/>
              <w:ind w:left="145"/>
              <w:spacing w:after="0"/>
              <w:rPr>
                <w:sz w:val="20"/>
                <w:szCs w:val="20"/>
                <w:color w:val="auto"/>
              </w:rPr>
            </w:pPr>
            <w:r>
              <w:rPr>
                <w:rFonts w:ascii="Arial" w:cs="Arial" w:eastAsia="Arial" w:hAnsi="Arial"/>
                <w:sz w:val="15"/>
                <w:szCs w:val="15"/>
                <w:b w:val="1"/>
                <w:bCs w:val="1"/>
                <w:color w:val="auto"/>
                <w:w w:val="99"/>
              </w:rPr>
              <w:t>(of Target)</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040" w:type="dxa"/>
            <w:vAlign w:val="bottom"/>
          </w:tcPr>
          <w:p>
            <w:pPr>
              <w:spacing w:after="0"/>
              <w:rPr>
                <w:sz w:val="14"/>
                <w:szCs w:val="14"/>
                <w:color w:val="auto"/>
              </w:rPr>
            </w:pPr>
          </w:p>
        </w:tc>
        <w:tc>
          <w:tcPr>
            <w:tcW w:w="270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William B. Shepro</w:t>
            </w:r>
          </w:p>
        </w:tc>
        <w:tc>
          <w:tcPr>
            <w:tcW w:w="140" w:type="dxa"/>
            <w:vAlign w:val="bottom"/>
            <w:vMerge w:val="continue"/>
            <w:shd w:val="clear" w:color="auto" w:fill="CCEEFF"/>
          </w:tcPr>
          <w:p>
            <w:pPr>
              <w:spacing w:after="0"/>
              <w:rPr>
                <w:sz w:val="14"/>
                <w:szCs w:val="14"/>
                <w:color w:val="auto"/>
              </w:rPr>
            </w:pPr>
          </w:p>
        </w:tc>
        <w:tc>
          <w:tcPr>
            <w:tcW w:w="1140" w:type="dxa"/>
            <w:vAlign w:val="bottom"/>
            <w:shd w:val="clear" w:color="auto" w:fill="CCEEFF"/>
          </w:tcPr>
          <w:p>
            <w:pPr>
              <w:jc w:val="center"/>
              <w:spacing w:after="0" w:line="161" w:lineRule="exact"/>
              <w:rPr>
                <w:sz w:val="20"/>
                <w:szCs w:val="20"/>
                <w:color w:val="auto"/>
              </w:rPr>
            </w:pPr>
            <w:r>
              <w:rPr>
                <w:rFonts w:ascii="Arial" w:cs="Arial" w:eastAsia="Arial" w:hAnsi="Arial"/>
                <w:sz w:val="15"/>
                <w:szCs w:val="15"/>
                <w:color w:val="auto"/>
              </w:rPr>
              <w:t>​ 100,000</w:t>
            </w:r>
          </w:p>
        </w:tc>
        <w:tc>
          <w:tcPr>
            <w:tcW w:w="140" w:type="dxa"/>
            <w:vAlign w:val="bottom"/>
            <w:vMerge w:val="continue"/>
            <w:shd w:val="clear" w:color="auto" w:fill="CCEEFF"/>
          </w:tcPr>
          <w:p>
            <w:pPr>
              <w:spacing w:after="0"/>
              <w:rPr>
                <w:sz w:val="14"/>
                <w:szCs w:val="14"/>
                <w:color w:val="auto"/>
              </w:rPr>
            </w:pPr>
          </w:p>
        </w:tc>
        <w:tc>
          <w:tcPr>
            <w:tcW w:w="960" w:type="dxa"/>
            <w:vAlign w:val="bottom"/>
            <w:shd w:val="clear" w:color="auto" w:fill="CCEEFF"/>
          </w:tcPr>
          <w:p>
            <w:pPr>
              <w:jc w:val="center"/>
              <w:ind w:left="25"/>
              <w:spacing w:after="0" w:line="161" w:lineRule="exact"/>
              <w:rPr>
                <w:sz w:val="20"/>
                <w:szCs w:val="20"/>
                <w:color w:val="auto"/>
              </w:rPr>
            </w:pPr>
            <w:r>
              <w:rPr>
                <w:rFonts w:ascii="Arial" w:cs="Arial" w:eastAsia="Arial" w:hAnsi="Arial"/>
                <w:sz w:val="15"/>
                <w:szCs w:val="15"/>
                <w:color w:val="auto"/>
              </w:rPr>
              <w:t>​$  71,000</w:t>
            </w:r>
          </w:p>
        </w:tc>
        <w:tc>
          <w:tcPr>
            <w:tcW w:w="260" w:type="dxa"/>
            <w:vAlign w:val="bottom"/>
            <w:gridSpan w:val="2"/>
            <w:shd w:val="clear" w:color="auto" w:fill="CCEEFF"/>
          </w:tcPr>
          <w:p>
            <w:pPr>
              <w:ind w:left="100"/>
              <w:spacing w:after="0" w:line="161" w:lineRule="exact"/>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ind w:left="540"/>
              <w:spacing w:after="0" w:line="161" w:lineRule="exact"/>
              <w:rPr>
                <w:sz w:val="20"/>
                <w:szCs w:val="20"/>
                <w:color w:val="auto"/>
              </w:rPr>
            </w:pPr>
            <w:r>
              <w:rPr>
                <w:rFonts w:ascii="Arial" w:cs="Arial" w:eastAsia="Arial" w:hAnsi="Arial"/>
                <w:sz w:val="15"/>
                <w:szCs w:val="15"/>
                <w:color w:val="auto"/>
              </w:rPr>
              <w:t>​  5.0%</w:t>
            </w:r>
          </w:p>
        </w:tc>
        <w:tc>
          <w:tcPr>
            <w:tcW w:w="220" w:type="dxa"/>
            <w:vAlign w:val="bottom"/>
            <w:shd w:val="clear" w:color="auto" w:fill="CCEEFF"/>
          </w:tcPr>
          <w:p>
            <w:pPr>
              <w:ind w:left="160"/>
              <w:spacing w:after="0" w:line="161" w:lineRule="exact"/>
              <w:rPr>
                <w:sz w:val="20"/>
                <w:szCs w:val="20"/>
                <w:color w:val="auto"/>
              </w:rPr>
            </w:pPr>
            <w:r>
              <w:rPr>
                <w:rFonts w:ascii="Arial" w:cs="Arial" w:eastAsia="Arial" w:hAnsi="Arial"/>
                <w:sz w:val="15"/>
                <w:szCs w:val="15"/>
                <w:color w:val="auto"/>
              </w:rPr>
              <w:t>​</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2840" w:type="dxa"/>
            <w:vAlign w:val="bottom"/>
            <w:gridSpan w:val="2"/>
          </w:tcPr>
          <w:p>
            <w:pPr>
              <w:spacing w:after="0" w:line="170" w:lineRule="exact"/>
              <w:rPr>
                <w:sz w:val="20"/>
                <w:szCs w:val="20"/>
                <w:color w:val="auto"/>
              </w:rPr>
            </w:pPr>
            <w:r>
              <w:rPr>
                <w:rFonts w:ascii="Arial" w:cs="Arial" w:eastAsia="Arial" w:hAnsi="Arial"/>
                <w:sz w:val="15"/>
                <w:szCs w:val="15"/>
                <w:color w:val="auto"/>
              </w:rPr>
              <w:t>Michelle D. Esterman</w:t>
            </w:r>
          </w:p>
        </w:tc>
        <w:tc>
          <w:tcPr>
            <w:tcW w:w="1280" w:type="dxa"/>
            <w:vAlign w:val="bottom"/>
            <w:gridSpan w:val="2"/>
          </w:tcPr>
          <w:p>
            <w:pPr>
              <w:jc w:val="center"/>
              <w:ind w:right="180"/>
              <w:spacing w:after="0" w:line="170" w:lineRule="exact"/>
              <w:rPr>
                <w:sz w:val="20"/>
                <w:szCs w:val="20"/>
                <w:color w:val="auto"/>
              </w:rPr>
            </w:pPr>
            <w:r>
              <w:rPr>
                <w:rFonts w:ascii="Arial" w:cs="Arial" w:eastAsia="Arial" w:hAnsi="Arial"/>
                <w:sz w:val="15"/>
                <w:szCs w:val="15"/>
                <w:color w:val="auto"/>
              </w:rPr>
              <w:t>​ 180,479</w:t>
            </w:r>
          </w:p>
        </w:tc>
        <w:tc>
          <w:tcPr>
            <w:tcW w:w="960" w:type="dxa"/>
            <w:vAlign w:val="bottom"/>
          </w:tcPr>
          <w:p>
            <w:pPr>
              <w:jc w:val="center"/>
              <w:ind w:left="25"/>
              <w:spacing w:after="0" w:line="170" w:lineRule="exact"/>
              <w:rPr>
                <w:sz w:val="20"/>
                <w:szCs w:val="20"/>
                <w:color w:val="auto"/>
              </w:rPr>
            </w:pPr>
            <w:r>
              <w:rPr>
                <w:rFonts w:ascii="Arial" w:cs="Arial" w:eastAsia="Arial" w:hAnsi="Arial"/>
                <w:sz w:val="15"/>
                <w:szCs w:val="15"/>
                <w:color w:val="auto"/>
                <w:w w:val="98"/>
              </w:rPr>
              <w:t>​$ 128,140</w:t>
            </w:r>
          </w:p>
        </w:tc>
        <w:tc>
          <w:tcPr>
            <w:tcW w:w="260" w:type="dxa"/>
            <w:vAlign w:val="bottom"/>
            <w:gridSpan w:val="2"/>
          </w:tcPr>
          <w:p>
            <w:pPr>
              <w:ind w:left="100"/>
              <w:spacing w:after="0" w:line="170" w:lineRule="exact"/>
              <w:rPr>
                <w:sz w:val="20"/>
                <w:szCs w:val="20"/>
                <w:color w:val="auto"/>
              </w:rPr>
            </w:pPr>
            <w:r>
              <w:rPr>
                <w:rFonts w:ascii="Arial" w:cs="Arial" w:eastAsia="Arial" w:hAnsi="Arial"/>
                <w:sz w:val="15"/>
                <w:szCs w:val="15"/>
                <w:color w:val="auto"/>
              </w:rPr>
              <w:t>​</w:t>
            </w:r>
          </w:p>
        </w:tc>
        <w:tc>
          <w:tcPr>
            <w:tcW w:w="1320" w:type="dxa"/>
            <w:vAlign w:val="bottom"/>
          </w:tcPr>
          <w:p>
            <w:pPr>
              <w:ind w:left="540"/>
              <w:spacing w:after="0" w:line="170" w:lineRule="exact"/>
              <w:rPr>
                <w:sz w:val="20"/>
                <w:szCs w:val="20"/>
                <w:color w:val="auto"/>
              </w:rPr>
            </w:pPr>
            <w:r>
              <w:rPr>
                <w:rFonts w:ascii="Arial" w:cs="Arial" w:eastAsia="Arial" w:hAnsi="Arial"/>
                <w:sz w:val="15"/>
                <w:szCs w:val="15"/>
                <w:color w:val="auto"/>
              </w:rPr>
              <w:t>​ 42.7%</w:t>
            </w:r>
          </w:p>
        </w:tc>
        <w:tc>
          <w:tcPr>
            <w:tcW w:w="220" w:type="dxa"/>
            <w:vAlign w:val="bottom"/>
          </w:tcPr>
          <w:p>
            <w:pPr>
              <w:ind w:left="160"/>
              <w:spacing w:after="0" w:line="170" w:lineRule="exact"/>
              <w:rPr>
                <w:sz w:val="20"/>
                <w:szCs w:val="20"/>
                <w:color w:val="auto"/>
              </w:rPr>
            </w:pPr>
            <w:r>
              <w:rPr>
                <w:rFonts w:ascii="Arial" w:cs="Arial" w:eastAsia="Arial" w:hAnsi="Arial"/>
                <w:sz w:val="15"/>
                <w:szCs w:val="15"/>
                <w:color w:val="auto"/>
              </w:rPr>
              <w:t>​</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040" w:type="dxa"/>
            <w:vAlign w:val="bottom"/>
          </w:tcPr>
          <w:p>
            <w:pPr>
              <w:spacing w:after="0"/>
              <w:rPr>
                <w:sz w:val="15"/>
                <w:szCs w:val="15"/>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Gregory J. Ritts</w:t>
            </w:r>
          </w:p>
        </w:tc>
        <w:tc>
          <w:tcPr>
            <w:tcW w:w="128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rPr>
              <w:t>​ 157,330</w:t>
            </w:r>
          </w:p>
        </w:tc>
        <w:tc>
          <w:tcPr>
            <w:tcW w:w="960" w:type="dxa"/>
            <w:vAlign w:val="bottom"/>
            <w:shd w:val="clear" w:color="auto" w:fill="CCEEFF"/>
          </w:tcPr>
          <w:p>
            <w:pPr>
              <w:jc w:val="center"/>
              <w:ind w:left="25"/>
              <w:spacing w:after="0"/>
              <w:rPr>
                <w:sz w:val="20"/>
                <w:szCs w:val="20"/>
                <w:color w:val="auto"/>
              </w:rPr>
            </w:pPr>
            <w:r>
              <w:rPr>
                <w:rFonts w:ascii="Arial" w:cs="Arial" w:eastAsia="Arial" w:hAnsi="Arial"/>
                <w:sz w:val="15"/>
                <w:szCs w:val="15"/>
                <w:color w:val="auto"/>
                <w:w w:val="98"/>
              </w:rPr>
              <w:t>​$ 111,704</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ind w:left="540"/>
              <w:spacing w:after="0"/>
              <w:rPr>
                <w:sz w:val="20"/>
                <w:szCs w:val="20"/>
                <w:color w:val="auto"/>
              </w:rPr>
            </w:pPr>
            <w:r>
              <w:rPr>
                <w:rFonts w:ascii="Arial" w:cs="Arial" w:eastAsia="Arial" w:hAnsi="Arial"/>
                <w:sz w:val="15"/>
                <w:szCs w:val="15"/>
                <w:color w:val="auto"/>
              </w:rPr>
              <w:t>​ 45.4%</w:t>
            </w:r>
          </w:p>
        </w:tc>
        <w:tc>
          <w:tcPr>
            <w:tcW w:w="2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2"/>
        </w:trPr>
        <w:tc>
          <w:tcPr>
            <w:tcW w:w="10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385"/>
              <w:spacing w:after="0"/>
              <w:rPr>
                <w:sz w:val="20"/>
                <w:szCs w:val="20"/>
                <w:color w:val="auto"/>
              </w:rPr>
            </w:pPr>
            <w:r>
              <w:rPr>
                <w:rFonts w:ascii="Arial" w:cs="Arial" w:eastAsia="Arial" w:hAnsi="Arial"/>
                <w:sz w:val="15"/>
                <w:szCs w:val="15"/>
                <w:color w:val="auto"/>
              </w:rPr>
              <w:t>35</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10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3973195</wp:posOffset>
            </wp:positionH>
            <wp:positionV relativeFrom="paragraph">
              <wp:posOffset>-890270</wp:posOffset>
            </wp:positionV>
            <wp:extent cx="8636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6360" cy="6985"/>
                    </a:xfrm>
                    <a:prstGeom prst="rect">
                      <a:avLst/>
                    </a:prstGeom>
                    <a:noFill/>
                  </pic:spPr>
                </pic:pic>
              </a:graphicData>
            </a:graphic>
          </wp:anchor>
        </w:drawing>
        <w:drawing>
          <wp:anchor simplePos="0" relativeHeight="251657728" behindDoc="1" locked="0" layoutInCell="0" allowOverlap="1">
            <wp:simplePos x="0" y="0"/>
            <wp:positionH relativeFrom="column">
              <wp:posOffset>3204845</wp:posOffset>
            </wp:positionH>
            <wp:positionV relativeFrom="paragraph">
              <wp:posOffset>-890270</wp:posOffset>
            </wp:positionV>
            <wp:extent cx="8636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6360" cy="6985"/>
                    </a:xfrm>
                    <a:prstGeom prst="rect">
                      <a:avLst/>
                    </a:prstGeom>
                    <a:noFill/>
                  </pic:spPr>
                </pic:pic>
              </a:graphicData>
            </a:graphic>
          </wp:anchor>
        </w:drawing>
        <w:drawing>
          <wp:anchor simplePos="0" relativeHeight="251657728" behindDoc="1" locked="0" layoutInCell="0" allowOverlap="1">
            <wp:simplePos x="0" y="0"/>
            <wp:positionH relativeFrom="column">
              <wp:posOffset>2385695</wp:posOffset>
            </wp:positionH>
            <wp:positionV relativeFrom="paragraph">
              <wp:posOffset>-890270</wp:posOffset>
            </wp:positionV>
            <wp:extent cx="8636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6360" cy="6985"/>
                    </a:xfrm>
                    <a:prstGeom prst="rect">
                      <a:avLst/>
                    </a:prstGeom>
                    <a:noFill/>
                  </pic:spPr>
                </pic:pic>
              </a:graphicData>
            </a:graphic>
          </wp:anchor>
        </w:drawing>
        <w:drawing>
          <wp:anchor simplePos="0" relativeHeight="251657728" behindDoc="1" locked="0" layoutInCell="0" allowOverlap="1">
            <wp:simplePos x="0" y="0"/>
            <wp:positionH relativeFrom="column">
              <wp:posOffset>5692140</wp:posOffset>
            </wp:positionH>
            <wp:positionV relativeFrom="paragraph">
              <wp:posOffset>-26670</wp:posOffset>
            </wp:positionV>
            <wp:extent cx="32385"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-26670</wp:posOffset>
            </wp:positionV>
            <wp:extent cx="32385" cy="40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6" w:name="page37"/>
    <w:bookmarkEnd w:id="36"/>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6" w:lineRule="exact"/>
        <w:rPr>
          <w:sz w:val="20"/>
          <w:szCs w:val="20"/>
          <w:color w:val="auto"/>
        </w:rPr>
      </w:pPr>
    </w:p>
    <w:p>
      <w:pPr>
        <w:jc w:val="right"/>
        <w:ind w:right="103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3679190</wp:posOffset>
            </wp:positionH>
            <wp:positionV relativeFrom="paragraph">
              <wp:posOffset>-181610</wp:posOffset>
            </wp:positionV>
            <wp:extent cx="1357630" cy="1219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57630" cy="121920"/>
                    </a:xfrm>
                    <a:prstGeom prst="rect">
                      <a:avLst/>
                    </a:prstGeom>
                    <a:noFill/>
                  </pic:spPr>
                </pic:pic>
              </a:graphicData>
            </a:graphic>
          </wp:anchor>
        </w:drawing>
      </w:r>
    </w:p>
    <w:p>
      <w:pPr>
        <w:spacing w:after="0" w:line="97"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2024 Long-Term Incentive Plan Awards</w:t>
      </w:r>
    </w:p>
    <w:p>
      <w:pPr>
        <w:spacing w:after="0" w:line="122" w:lineRule="exact"/>
        <w:rPr>
          <w:sz w:val="20"/>
          <w:szCs w:val="20"/>
          <w:color w:val="auto"/>
        </w:rPr>
      </w:pPr>
    </w:p>
    <w:p>
      <w:pPr>
        <w:jc w:val="both"/>
        <w:ind w:left="1060" w:right="1359"/>
        <w:spacing w:after="0" w:line="269" w:lineRule="auto"/>
        <w:rPr>
          <w:sz w:val="20"/>
          <w:szCs w:val="20"/>
          <w:color w:val="auto"/>
        </w:rPr>
      </w:pPr>
      <w:r>
        <w:rPr>
          <w:rFonts w:ascii="Arial" w:cs="Arial" w:eastAsia="Arial" w:hAnsi="Arial"/>
          <w:sz w:val="15"/>
          <w:szCs w:val="15"/>
          <w:color w:val="auto"/>
        </w:rPr>
        <w:t>In February 2024, the Compensation Committee approved the 2024 Long-Term Incentive Plan (“LTIP”) equity awards for our Named Executive Officers. The awards are comprised equally of time-based RSUs and performance and market-based RSUs.</w:t>
      </w:r>
    </w:p>
    <w:p>
      <w:pPr>
        <w:spacing w:after="0" w:line="87" w:lineRule="exact"/>
        <w:rPr>
          <w:sz w:val="20"/>
          <w:szCs w:val="20"/>
          <w:color w:val="auto"/>
        </w:rPr>
      </w:pPr>
    </w:p>
    <w:p>
      <w:pPr>
        <w:ind w:left="1060" w:right="1379"/>
        <w:spacing w:after="0" w:line="269" w:lineRule="auto"/>
        <w:rPr>
          <w:sz w:val="20"/>
          <w:szCs w:val="20"/>
          <w:color w:val="auto"/>
        </w:rPr>
      </w:pPr>
      <w:r>
        <w:rPr>
          <w:rFonts w:ascii="Arial" w:cs="Arial" w:eastAsia="Arial" w:hAnsi="Arial"/>
          <w:sz w:val="15"/>
          <w:szCs w:val="15"/>
          <w:color w:val="auto"/>
        </w:rPr>
        <w:t>The time-based RSUs vest in three equal annual increments on each of the first three anniversaries of the grant date, subject to employment status and other conditions as set forth in the applicable award agreements.</w:t>
      </w:r>
    </w:p>
    <w:p>
      <w:pPr>
        <w:spacing w:after="0" w:line="87" w:lineRule="exact"/>
        <w:rPr>
          <w:sz w:val="20"/>
          <w:szCs w:val="20"/>
          <w:color w:val="auto"/>
        </w:rPr>
      </w:pPr>
    </w:p>
    <w:p>
      <w:pPr>
        <w:ind w:left="1060" w:right="1099"/>
        <w:spacing w:after="0" w:line="254" w:lineRule="auto"/>
        <w:rPr>
          <w:sz w:val="20"/>
          <w:szCs w:val="20"/>
          <w:color w:val="auto"/>
        </w:rPr>
      </w:pPr>
      <w:r>
        <w:rPr>
          <w:rFonts w:ascii="Arial" w:cs="Arial" w:eastAsia="Arial" w:hAnsi="Arial"/>
          <w:sz w:val="15"/>
          <w:szCs w:val="15"/>
          <w:color w:val="auto"/>
        </w:rPr>
        <w:t>The earned performance and market-based RSUs will cliff vest entirely on the third anniversary of the grant date, subject to continued employment and other conditions as set forth in the applicable award agreements. The determination of the amount of the award that vests will be based on a two-step process. In the first step, the number of RSUs that vest will be based on the Company’s achievement of pre-established goals tied to the Company’s 2024, 2025 and 2026 adjusted earnings per share (a non-GAAP measure). Based on the Company’s level of performance versus the adjusted earnings per share goals, the RSUs will have the opportunity to vest between zero percent (0%) and up to one hundred fifty percent (150%) of the initial target levels (the “Initial Award Size”). In the second step, the Initial Award Size may be further modified based on Altisource’s Total Shareholder Return (“TSR”) versus the return of the Russell 2000 Index during the applicable performance period (2024-2026), resulting in final vested RSUs ranging from zero percent (0%) to two hundred twenty-five percent (225%) of the Initial Award Size.</w:t>
      </w:r>
    </w:p>
    <w:p>
      <w:pPr>
        <w:spacing w:after="0" w:line="276" w:lineRule="exact"/>
        <w:rPr>
          <w:sz w:val="20"/>
          <w:szCs w:val="20"/>
          <w:color w:val="auto"/>
        </w:rPr>
      </w:pPr>
    </w:p>
    <w:p>
      <w:pPr>
        <w:ind w:left="1060" w:right="1499"/>
        <w:spacing w:after="0" w:line="288" w:lineRule="auto"/>
        <w:rPr>
          <w:sz w:val="20"/>
          <w:szCs w:val="20"/>
          <w:color w:val="auto"/>
        </w:rPr>
      </w:pPr>
      <w:r>
        <w:rPr>
          <w:rFonts w:ascii="Arial" w:cs="Arial" w:eastAsia="Arial" w:hAnsi="Arial"/>
          <w:sz w:val="15"/>
          <w:szCs w:val="15"/>
          <w:color w:val="auto"/>
        </w:rPr>
        <w:t>As illustrated in the graphic below, adjusted EPS (earnings per share) and relative TSR results will determine the portion of the performance and market-based RSUs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76835</wp:posOffset>
            </wp:positionV>
            <wp:extent cx="4044315" cy="11061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044315"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60" w:right="1139"/>
        <w:spacing w:after="0" w:line="262" w:lineRule="auto"/>
        <w:rPr>
          <w:sz w:val="20"/>
          <w:szCs w:val="20"/>
          <w:color w:val="auto"/>
        </w:rPr>
      </w:pPr>
      <w:r>
        <w:rPr>
          <w:rFonts w:ascii="Arial" w:cs="Arial" w:eastAsia="Arial" w:hAnsi="Arial"/>
          <w:sz w:val="15"/>
          <w:szCs w:val="15"/>
          <w:color w:val="auto"/>
        </w:rPr>
        <w:t>The 2024 LTIP equity awards are designed to incentivize the achievement of adjusted earnings per share goals and stock-price appreciation compared to the Russell 2000, over a multi-year period. This approach supports a long-term focus, further aligns executive compensation with shareholder interests and market practice, and aids in the retention of our executives.</w:t>
      </w:r>
    </w:p>
    <w:p>
      <w:pPr>
        <w:spacing w:after="0" w:line="276"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The 2024 LTIP equity awards were approved for our Named Executive Officers, as follows:</w:t>
      </w:r>
    </w:p>
    <w:p>
      <w:pPr>
        <w:spacing w:after="0" w:line="122" w:lineRule="exact"/>
        <w:rPr>
          <w:sz w:val="20"/>
          <w:szCs w:val="20"/>
          <w:color w:val="auto"/>
        </w:rPr>
      </w:pPr>
    </w:p>
    <w:tbl>
      <w:tblPr>
        <w:tblLayout w:type="fixed"/>
        <w:tblInd w:w="1060" w:type="dxa"/>
        <w:tblCellMar>
          <w:top w:w="0" w:type="dxa"/>
          <w:left w:w="0" w:type="dxa"/>
          <w:bottom w:w="0" w:type="dxa"/>
          <w:right w:w="0" w:type="dxa"/>
        </w:tblCellMar>
      </w:tblPr>
      <w:tr>
        <w:trPr>
          <w:trHeight w:val="172"/>
        </w:trPr>
        <w:tc>
          <w:tcPr>
            <w:tcW w:w="2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5"/>
                <w:szCs w:val="15"/>
                <w:b w:val="1"/>
                <w:bCs w:val="1"/>
                <w:color w:val="auto"/>
                <w:w w:val="99"/>
              </w:rPr>
              <w:t>Performance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840" w:type="dxa"/>
            <w:vAlign w:val="bottom"/>
          </w:tcPr>
          <w:p>
            <w:pPr>
              <w:ind w:left="1220"/>
              <w:spacing w:after="0"/>
              <w:rPr>
                <w:sz w:val="20"/>
                <w:szCs w:val="20"/>
                <w:color w:val="auto"/>
              </w:rPr>
            </w:pPr>
            <w:r>
              <w:rPr>
                <w:rFonts w:ascii="Arial" w:cs="Arial" w:eastAsia="Arial" w:hAnsi="Arial"/>
                <w:sz w:val="15"/>
                <w:szCs w:val="15"/>
                <w:b w:val="1"/>
                <w:bCs w:val="1"/>
                <w:color w:val="auto"/>
              </w:rPr>
              <w:t>Name</w:t>
            </w:r>
          </w:p>
        </w:tc>
        <w:tc>
          <w:tcPr>
            <w:tcW w:w="14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Arial" w:cs="Arial" w:eastAsia="Arial" w:hAnsi="Arial"/>
                <w:sz w:val="15"/>
                <w:szCs w:val="15"/>
                <w:b w:val="1"/>
                <w:bCs w:val="1"/>
                <w:color w:val="auto"/>
              </w:rPr>
              <w:t>Time-Based RSUs</w:t>
            </w:r>
          </w:p>
        </w:tc>
        <w:tc>
          <w:tcPr>
            <w:tcW w:w="2540" w:type="dxa"/>
            <w:vAlign w:val="bottom"/>
            <w:gridSpan w:val="6"/>
          </w:tcPr>
          <w:p>
            <w:pPr>
              <w:ind w:left="40"/>
              <w:spacing w:after="0"/>
              <w:rPr>
                <w:sz w:val="20"/>
                <w:szCs w:val="20"/>
                <w:color w:val="auto"/>
              </w:rPr>
            </w:pPr>
            <w:r>
              <w:rPr>
                <w:rFonts w:ascii="Arial" w:cs="Arial" w:eastAsia="Arial" w:hAnsi="Arial"/>
                <w:sz w:val="15"/>
                <w:szCs w:val="15"/>
                <w:b w:val="1"/>
                <w:bCs w:val="1"/>
                <w:color w:val="auto"/>
              </w:rPr>
              <w:t>​Market-Based RSUs ​ ​Total Award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vMerge w:val="restart"/>
            <w:shd w:val="clear" w:color="auto" w:fill="CCEEFF"/>
          </w:tcPr>
          <w:p>
            <w:pPr>
              <w:ind w:left="40"/>
              <w:spacing w:after="0"/>
              <w:rPr>
                <w:sz w:val="20"/>
                <w:szCs w:val="20"/>
                <w:color w:val="auto"/>
              </w:rPr>
            </w:pPr>
            <w:r>
              <w:rPr>
                <w:rFonts w:ascii="Arial" w:cs="Arial" w:eastAsia="Arial" w:hAnsi="Arial"/>
                <w:sz w:val="1"/>
                <w:szCs w:val="1"/>
                <w:color w:val="auto"/>
                <w:w w:val="4294942296"/>
              </w:rPr>
              <w:t>​</w:t>
            </w:r>
          </w:p>
        </w:tc>
        <w:tc>
          <w:tcPr>
            <w:tcW w:w="14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61"/>
        </w:trPr>
        <w:tc>
          <w:tcPr>
            <w:tcW w:w="284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William B. Shepro</w:t>
            </w:r>
          </w:p>
        </w:tc>
        <w:tc>
          <w:tcPr>
            <w:tcW w:w="140" w:type="dxa"/>
            <w:vAlign w:val="bottom"/>
            <w:vMerge w:val="continue"/>
            <w:shd w:val="clear" w:color="auto" w:fill="CCEEFF"/>
          </w:tcPr>
          <w:p>
            <w:pPr>
              <w:spacing w:after="0"/>
              <w:rPr>
                <w:sz w:val="14"/>
                <w:szCs w:val="14"/>
                <w:color w:val="auto"/>
              </w:rPr>
            </w:pPr>
          </w:p>
        </w:tc>
        <w:tc>
          <w:tcPr>
            <w:tcW w:w="1080" w:type="dxa"/>
            <w:vAlign w:val="bottom"/>
            <w:shd w:val="clear" w:color="auto" w:fill="CCEEFF"/>
          </w:tcPr>
          <w:p>
            <w:pPr>
              <w:jc w:val="center"/>
              <w:ind w:left="105"/>
              <w:spacing w:after="0" w:line="161" w:lineRule="exact"/>
              <w:rPr>
                <w:sz w:val="20"/>
                <w:szCs w:val="20"/>
                <w:color w:val="auto"/>
              </w:rPr>
            </w:pPr>
            <w:r>
              <w:rPr>
                <w:rFonts w:ascii="Arial" w:cs="Arial" w:eastAsia="Arial" w:hAnsi="Arial"/>
                <w:sz w:val="15"/>
                <w:szCs w:val="15"/>
                <w:color w:val="auto"/>
              </w:rPr>
              <w:t>​ 78,146</w:t>
            </w:r>
          </w:p>
        </w:tc>
        <w:tc>
          <w:tcPr>
            <w:tcW w:w="280" w:type="dxa"/>
            <w:vAlign w:val="bottom"/>
            <w:tcBorders>
              <w:right w:val="single" w:sz="8" w:color="CCEEFF"/>
            </w:tcBorders>
            <w:shd w:val="clear" w:color="auto" w:fill="CCEEFF"/>
          </w:tcPr>
          <w:p>
            <w:pPr>
              <w:ind w:left="180"/>
              <w:spacing w:after="0" w:line="161" w:lineRule="exact"/>
              <w:rPr>
                <w:sz w:val="20"/>
                <w:szCs w:val="20"/>
                <w:color w:val="auto"/>
              </w:rPr>
            </w:pPr>
            <w:r>
              <w:rPr>
                <w:rFonts w:ascii="Arial" w:cs="Arial" w:eastAsia="Arial" w:hAnsi="Arial"/>
                <w:sz w:val="15"/>
                <w:szCs w:val="15"/>
                <w:color w:val="auto"/>
              </w:rPr>
              <w:t>​</w:t>
            </w:r>
          </w:p>
        </w:tc>
        <w:tc>
          <w:tcPr>
            <w:tcW w:w="80" w:type="dxa"/>
            <w:vAlign w:val="bottom"/>
            <w:vMerge w:val="continue"/>
            <w:shd w:val="clear" w:color="auto" w:fill="CCEEFF"/>
          </w:tcPr>
          <w:p>
            <w:pPr>
              <w:spacing w:after="0"/>
              <w:rPr>
                <w:sz w:val="14"/>
                <w:szCs w:val="14"/>
                <w:color w:val="auto"/>
              </w:rPr>
            </w:pPr>
          </w:p>
        </w:tc>
        <w:tc>
          <w:tcPr>
            <w:tcW w:w="1440" w:type="dxa"/>
            <w:vAlign w:val="bottom"/>
            <w:tcBorders>
              <w:left w:val="single" w:sz="8" w:color="CCEEFF"/>
              <w:right w:val="single" w:sz="8" w:color="CCEEFF"/>
            </w:tcBorders>
            <w:shd w:val="clear" w:color="auto" w:fill="CCEEFF"/>
          </w:tcPr>
          <w:p>
            <w:pPr>
              <w:jc w:val="center"/>
              <w:spacing w:after="0" w:line="161" w:lineRule="exact"/>
              <w:rPr>
                <w:sz w:val="20"/>
                <w:szCs w:val="20"/>
                <w:color w:val="auto"/>
              </w:rPr>
            </w:pPr>
            <w:r>
              <w:rPr>
                <w:rFonts w:ascii="Arial" w:cs="Arial" w:eastAsia="Arial" w:hAnsi="Arial"/>
                <w:sz w:val="15"/>
                <w:szCs w:val="15"/>
                <w:color w:val="auto"/>
              </w:rPr>
              <w:t>​ 78,146</w:t>
            </w:r>
          </w:p>
        </w:tc>
        <w:tc>
          <w:tcPr>
            <w:tcW w:w="16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 ​ ​</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5"/>
              <w:spacing w:after="0" w:line="161" w:lineRule="exact"/>
              <w:rPr>
                <w:sz w:val="20"/>
                <w:szCs w:val="20"/>
                <w:color w:val="auto"/>
              </w:rPr>
            </w:pPr>
            <w:r>
              <w:rPr>
                <w:rFonts w:ascii="Arial" w:cs="Arial" w:eastAsia="Arial" w:hAnsi="Arial"/>
                <w:sz w:val="15"/>
                <w:szCs w:val="15"/>
                <w:color w:val="auto"/>
              </w:rPr>
              <w:t>​156,292</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80" w:type="dxa"/>
            <w:vAlign w:val="bottom"/>
            <w:gridSpan w:val="2"/>
          </w:tcPr>
          <w:p>
            <w:pPr>
              <w:spacing w:after="0" w:line="170" w:lineRule="exact"/>
              <w:rPr>
                <w:sz w:val="20"/>
                <w:szCs w:val="20"/>
                <w:color w:val="auto"/>
              </w:rPr>
            </w:pPr>
            <w:r>
              <w:rPr>
                <w:rFonts w:ascii="Arial" w:cs="Arial" w:eastAsia="Arial" w:hAnsi="Arial"/>
                <w:sz w:val="15"/>
                <w:szCs w:val="15"/>
                <w:color w:val="auto"/>
              </w:rPr>
              <w:t>Michelle D. Esterman</w:t>
            </w:r>
          </w:p>
        </w:tc>
        <w:tc>
          <w:tcPr>
            <w:tcW w:w="1080" w:type="dxa"/>
            <w:vAlign w:val="bottom"/>
          </w:tcPr>
          <w:p>
            <w:pPr>
              <w:jc w:val="center"/>
              <w:ind w:left="105"/>
              <w:spacing w:after="0" w:line="170" w:lineRule="exact"/>
              <w:rPr>
                <w:sz w:val="20"/>
                <w:szCs w:val="20"/>
                <w:color w:val="auto"/>
              </w:rPr>
            </w:pPr>
            <w:r>
              <w:rPr>
                <w:rFonts w:ascii="Arial" w:cs="Arial" w:eastAsia="Arial" w:hAnsi="Arial"/>
                <w:sz w:val="15"/>
                <w:szCs w:val="15"/>
                <w:color w:val="auto"/>
              </w:rPr>
              <w:t>​ 19,072</w:t>
            </w:r>
          </w:p>
        </w:tc>
        <w:tc>
          <w:tcPr>
            <w:tcW w:w="280" w:type="dxa"/>
            <w:vAlign w:val="bottom"/>
          </w:tcPr>
          <w:p>
            <w:pPr>
              <w:ind w:left="180"/>
              <w:spacing w:after="0" w:line="170" w:lineRule="exact"/>
              <w:rPr>
                <w:sz w:val="20"/>
                <w:szCs w:val="20"/>
                <w:color w:val="auto"/>
              </w:rPr>
            </w:pPr>
            <w:r>
              <w:rPr>
                <w:rFonts w:ascii="Arial" w:cs="Arial" w:eastAsia="Arial" w:hAnsi="Arial"/>
                <w:sz w:val="15"/>
                <w:szCs w:val="15"/>
                <w:color w:val="auto"/>
              </w:rPr>
              <w:t>​</w:t>
            </w:r>
          </w:p>
        </w:tc>
        <w:tc>
          <w:tcPr>
            <w:tcW w:w="80" w:type="dxa"/>
            <w:vAlign w:val="bottom"/>
          </w:tcPr>
          <w:p>
            <w:pPr>
              <w:ind w:left="40"/>
              <w:spacing w:after="0"/>
              <w:rPr>
                <w:sz w:val="20"/>
                <w:szCs w:val="20"/>
                <w:color w:val="auto"/>
              </w:rPr>
            </w:pPr>
            <w:r>
              <w:rPr>
                <w:rFonts w:ascii="Arial" w:cs="Arial" w:eastAsia="Arial" w:hAnsi="Arial"/>
                <w:sz w:val="1"/>
                <w:szCs w:val="1"/>
                <w:color w:val="auto"/>
                <w:w w:val="4294942296"/>
              </w:rPr>
              <w:t>​</w:t>
            </w:r>
          </w:p>
        </w:tc>
        <w:tc>
          <w:tcPr>
            <w:tcW w:w="1440" w:type="dxa"/>
            <w:vAlign w:val="bottom"/>
          </w:tcPr>
          <w:p>
            <w:pPr>
              <w:jc w:val="center"/>
              <w:spacing w:after="0" w:line="170" w:lineRule="exact"/>
              <w:rPr>
                <w:sz w:val="20"/>
                <w:szCs w:val="20"/>
                <w:color w:val="auto"/>
              </w:rPr>
            </w:pPr>
            <w:r>
              <w:rPr>
                <w:rFonts w:ascii="Arial" w:cs="Arial" w:eastAsia="Arial" w:hAnsi="Arial"/>
                <w:sz w:val="15"/>
                <w:szCs w:val="15"/>
                <w:color w:val="auto"/>
              </w:rPr>
              <w:t>​ 19,072</w:t>
            </w:r>
          </w:p>
        </w:tc>
        <w:tc>
          <w:tcPr>
            <w:tcW w:w="240" w:type="dxa"/>
            <w:vAlign w:val="bottom"/>
            <w:gridSpan w:val="2"/>
          </w:tcPr>
          <w:p>
            <w:pPr>
              <w:spacing w:after="0" w:line="170" w:lineRule="exact"/>
              <w:rPr>
                <w:sz w:val="20"/>
                <w:szCs w:val="20"/>
                <w:color w:val="auto"/>
              </w:rPr>
            </w:pPr>
            <w:r>
              <w:rPr>
                <w:rFonts w:ascii="Arial" w:cs="Arial" w:eastAsia="Arial" w:hAnsi="Arial"/>
                <w:sz w:val="15"/>
                <w:szCs w:val="15"/>
                <w:color w:val="auto"/>
              </w:rPr>
              <w:t>​ ​ ​</w:t>
            </w:r>
          </w:p>
        </w:tc>
        <w:tc>
          <w:tcPr>
            <w:tcW w:w="140" w:type="dxa"/>
            <w:vAlign w:val="bottom"/>
          </w:tcPr>
          <w:p>
            <w:pPr>
              <w:ind w:left="60"/>
              <w:spacing w:after="0" w:line="170" w:lineRule="exact"/>
              <w:rPr>
                <w:sz w:val="20"/>
                <w:szCs w:val="20"/>
                <w:color w:val="auto"/>
              </w:rPr>
            </w:pPr>
            <w:r>
              <w:rPr>
                <w:rFonts w:ascii="Arial" w:cs="Arial" w:eastAsia="Arial" w:hAnsi="Arial"/>
                <w:sz w:val="15"/>
                <w:szCs w:val="15"/>
                <w:color w:val="auto"/>
              </w:rPr>
              <w:t>​</w:t>
            </w:r>
          </w:p>
        </w:tc>
        <w:tc>
          <w:tcPr>
            <w:tcW w:w="640" w:type="dxa"/>
            <w:vAlign w:val="bottom"/>
          </w:tcPr>
          <w:p>
            <w:pPr>
              <w:jc w:val="right"/>
              <w:ind w:right="65"/>
              <w:spacing w:after="0" w:line="170" w:lineRule="exact"/>
              <w:rPr>
                <w:sz w:val="20"/>
                <w:szCs w:val="20"/>
                <w:color w:val="auto"/>
              </w:rPr>
            </w:pPr>
            <w:r>
              <w:rPr>
                <w:rFonts w:ascii="Arial" w:cs="Arial" w:eastAsia="Arial" w:hAnsi="Arial"/>
                <w:sz w:val="15"/>
                <w:szCs w:val="15"/>
                <w:color w:val="auto"/>
              </w:rPr>
              <w:t>38,144</w:t>
            </w:r>
          </w:p>
        </w:tc>
        <w:tc>
          <w:tcPr>
            <w:tcW w:w="40" w:type="dxa"/>
            <w:vAlign w:val="bottom"/>
          </w:tcPr>
          <w:p>
            <w:pPr>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9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Gregory J. Ritts</w:t>
            </w:r>
          </w:p>
        </w:tc>
        <w:tc>
          <w:tcPr>
            <w:tcW w:w="1080" w:type="dxa"/>
            <w:vAlign w:val="bottom"/>
            <w:shd w:val="clear" w:color="auto" w:fill="CCEEFF"/>
          </w:tcPr>
          <w:p>
            <w:pPr>
              <w:jc w:val="center"/>
              <w:ind w:left="105"/>
              <w:spacing w:after="0"/>
              <w:rPr>
                <w:sz w:val="20"/>
                <w:szCs w:val="20"/>
                <w:color w:val="auto"/>
              </w:rPr>
            </w:pPr>
            <w:r>
              <w:rPr>
                <w:rFonts w:ascii="Arial" w:cs="Arial" w:eastAsia="Arial" w:hAnsi="Arial"/>
                <w:sz w:val="15"/>
                <w:szCs w:val="15"/>
                <w:color w:val="auto"/>
              </w:rPr>
              <w:t>​ 19,072</w:t>
            </w:r>
          </w:p>
        </w:tc>
        <w:tc>
          <w:tcPr>
            <w:tcW w:w="2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ind w:left="40"/>
              <w:spacing w:after="0"/>
              <w:rPr>
                <w:sz w:val="20"/>
                <w:szCs w:val="20"/>
                <w:color w:val="auto"/>
              </w:rPr>
            </w:pPr>
            <w:r>
              <w:rPr>
                <w:rFonts w:ascii="Arial" w:cs="Arial" w:eastAsia="Arial" w:hAnsi="Arial"/>
                <w:sz w:val="1"/>
                <w:szCs w:val="1"/>
                <w:color w:val="auto"/>
                <w:w w:val="4294942296"/>
              </w:rPr>
              <w:t>​</w:t>
            </w:r>
          </w:p>
        </w:tc>
        <w:tc>
          <w:tcPr>
            <w:tcW w:w="144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 19,072</w:t>
            </w:r>
          </w:p>
        </w:tc>
        <w:tc>
          <w:tcPr>
            <w:tcW w:w="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 ​</w:t>
            </w: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38,144</w:t>
            </w:r>
          </w:p>
        </w:tc>
        <w:tc>
          <w:tcPr>
            <w:tcW w:w="40" w:type="dxa"/>
            <w:vAlign w:val="bottom"/>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-337185</wp:posOffset>
            </wp:positionV>
            <wp:extent cx="10033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0330" cy="698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-337185</wp:posOffset>
            </wp:positionV>
            <wp:extent cx="9334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345" cy="6985"/>
                    </a:xfrm>
                    <a:prstGeom prst="rect">
                      <a:avLst/>
                    </a:prstGeom>
                    <a:noFill/>
                  </pic:spPr>
                </pic:pic>
              </a:graphicData>
            </a:graphic>
          </wp:anchor>
        </w:drawing>
        <w:drawing>
          <wp:anchor simplePos="0" relativeHeight="251657728" behindDoc="1" locked="0" layoutInCell="0" allowOverlap="1">
            <wp:simplePos x="0" y="0"/>
            <wp:positionH relativeFrom="column">
              <wp:posOffset>2479040</wp:posOffset>
            </wp:positionH>
            <wp:positionV relativeFrom="paragraph">
              <wp:posOffset>-337185</wp:posOffset>
            </wp:positionV>
            <wp:extent cx="8636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6360" cy="6985"/>
                    </a:xfrm>
                    <a:prstGeom prst="rect">
                      <a:avLst/>
                    </a:prstGeom>
                    <a:noFill/>
                  </pic:spPr>
                </pic:pic>
              </a:graphicData>
            </a:graphic>
          </wp:anchor>
        </w:drawing>
      </w:r>
    </w:p>
    <w:p>
      <w:pPr>
        <w:spacing w:after="0" w:line="142"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92" w:lineRule="exact"/>
        <w:rPr>
          <w:sz w:val="20"/>
          <w:szCs w:val="20"/>
          <w:color w:val="auto"/>
        </w:rPr>
      </w:pPr>
    </w:p>
    <w:p>
      <w:pPr>
        <w:ind w:left="1060" w:right="1099"/>
        <w:spacing w:after="0" w:line="287" w:lineRule="auto"/>
        <w:rPr>
          <w:sz w:val="20"/>
          <w:szCs w:val="20"/>
          <w:color w:val="auto"/>
        </w:rPr>
      </w:pPr>
      <w:r>
        <w:rPr>
          <w:rFonts w:ascii="Arial" w:cs="Arial" w:eastAsia="Arial" w:hAnsi="Arial"/>
          <w:sz w:val="15"/>
          <w:szCs w:val="15"/>
          <w:color w:val="auto"/>
        </w:rPr>
        <w:t>The table below contains outstanding equity awards at the end of 2024; details regarding the vesting terms of each award are described in the notes to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7" w:name="page38"/>
    <w:bookmarkEnd w:id="37"/>
    <w:p>
      <w:pPr>
        <w:ind w:left="20"/>
        <w:spacing w:after="0"/>
        <w:rPr>
          <w:sz w:val="20"/>
          <w:szCs w:val="20"/>
          <w:color w:val="auto"/>
        </w:rPr>
      </w:pPr>
      <w:r>
        <w:rPr>
          <w:rFonts w:ascii="Calibri" w:cs="Calibri" w:eastAsia="Calibri" w:hAnsi="Calibri"/>
          <w:sz w:val="12"/>
          <w:szCs w:val="12"/>
          <w:color w:val="003366"/>
        </w:rPr>
        <w:t>TABLE OF CONTENTS</w:t>
      </w:r>
    </w:p>
    <w:p>
      <w:pPr>
        <w:spacing w:after="0" w:line="270" w:lineRule="exact"/>
        <w:rPr>
          <w:sz w:val="20"/>
          <w:szCs w:val="20"/>
          <w:color w:val="auto"/>
        </w:rPr>
      </w:pPr>
    </w:p>
    <w:tbl>
      <w:tblPr>
        <w:tblLayout w:type="fixed"/>
        <w:tblInd w:w="420" w:type="dxa"/>
        <w:tblCellMar>
          <w:top w:w="0" w:type="dxa"/>
          <w:left w:w="0" w:type="dxa"/>
          <w:bottom w:w="0" w:type="dxa"/>
          <w:right w:w="0" w:type="dxa"/>
        </w:tblCellMar>
      </w:tblPr>
      <w:tr>
        <w:trPr>
          <w:trHeight w:val="129"/>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60" w:type="dxa"/>
            <w:vAlign w:val="bottom"/>
            <w:gridSpan w:val="11"/>
            <w:vMerge w:val="restart"/>
          </w:tcPr>
          <w:p>
            <w:pPr>
              <w:jc w:val="right"/>
              <w:ind w:right="1"/>
              <w:spacing w:after="0"/>
              <w:rPr>
                <w:sz w:val="20"/>
                <w:szCs w:val="20"/>
                <w:color w:val="auto"/>
              </w:rPr>
            </w:pPr>
            <w:r>
              <w:rPr>
                <w:rFonts w:ascii="Arial" w:cs="Arial" w:eastAsia="Arial" w:hAnsi="Arial"/>
                <w:sz w:val="27"/>
                <w:szCs w:val="27"/>
                <w:b w:val="1"/>
                <w:bCs w:val="1"/>
                <w:color w:val="314F60"/>
                <w:w w:val="98"/>
                <w:vertAlign w:val="superscript"/>
              </w:rPr>
              <w:t>​</w:t>
            </w:r>
            <w:r>
              <w:rPr>
                <w:rFonts w:ascii="Arial" w:cs="Arial" w:eastAsia="Arial" w:hAnsi="Arial"/>
                <w:sz w:val="14"/>
                <w:szCs w:val="14"/>
                <w:b w:val="1"/>
                <w:bCs w:val="1"/>
                <w:color w:val="314F60"/>
                <w:w w:val="98"/>
              </w:rPr>
              <w:t xml:space="preserve"> EXECUTIVE COMPENSATION</w:t>
            </w:r>
          </w:p>
        </w:tc>
        <w:tc>
          <w:tcPr>
            <w:tcW w:w="8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314F60"/>
              </w:rPr>
              <w:t>​</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right w:val="single" w:sz="8" w:color="75FF00"/>
            </w:tcBorders>
          </w:tcPr>
          <w:p>
            <w:pPr>
              <w:spacing w:after="0"/>
              <w:rPr>
                <w:sz w:val="15"/>
                <w:szCs w:val="15"/>
                <w:color w:val="auto"/>
              </w:rPr>
            </w:pPr>
          </w:p>
        </w:tc>
        <w:tc>
          <w:tcPr>
            <w:tcW w:w="2060" w:type="dxa"/>
            <w:vAlign w:val="bottom"/>
            <w:tcBorders>
              <w:bottom w:val="single" w:sz="8" w:color="75FF00"/>
            </w:tcBorders>
            <w:gridSpan w:val="11"/>
            <w:vMerge w:val="continue"/>
          </w:tcPr>
          <w:p>
            <w:pPr>
              <w:spacing w:after="0"/>
              <w:rPr>
                <w:sz w:val="15"/>
                <w:szCs w:val="15"/>
                <w:color w:val="auto"/>
              </w:rPr>
            </w:pPr>
          </w:p>
        </w:tc>
        <w:tc>
          <w:tcPr>
            <w:tcW w:w="80" w:type="dxa"/>
            <w:vAlign w:val="bottom"/>
            <w:tcBorders>
              <w:bottom w:val="single" w:sz="8" w:color="75FF00"/>
            </w:tcBorders>
          </w:tcPr>
          <w:p>
            <w:pPr>
              <w:spacing w:after="0"/>
              <w:rPr>
                <w:sz w:val="15"/>
                <w:szCs w:val="15"/>
                <w:color w:val="auto"/>
              </w:rPr>
            </w:pPr>
          </w:p>
        </w:tc>
        <w:tc>
          <w:tcPr>
            <w:tcW w:w="1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7"/>
        </w:trPr>
        <w:tc>
          <w:tcPr>
            <w:tcW w:w="260" w:type="dxa"/>
            <w:vAlign w:val="bottom"/>
          </w:tcPr>
          <w:p>
            <w:pPr>
              <w:spacing w:after="0"/>
              <w:rPr>
                <w:sz w:val="20"/>
                <w:szCs w:val="20"/>
                <w:color w:val="auto"/>
              </w:rPr>
            </w:pPr>
            <w:r>
              <w:rPr>
                <w:rFonts w:ascii="Arial" w:cs="Arial" w:eastAsia="Arial" w:hAnsi="Arial"/>
                <w:sz w:val="12"/>
                <w:szCs w:val="12"/>
                <w:b w:val="1"/>
                <w:bCs w:val="1"/>
                <w:color w:val="auto"/>
              </w:rPr>
              <w:t>​</w:t>
            </w:r>
          </w:p>
        </w:tc>
        <w:tc>
          <w:tcPr>
            <w:tcW w:w="1000" w:type="dxa"/>
            <w:vAlign w:val="bottom"/>
          </w:tcPr>
          <w:p>
            <w:pPr>
              <w:jc w:val="center"/>
              <w:ind w:right="140"/>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ind w:left="2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gridSpan w:val="5"/>
          </w:tcPr>
          <w:p>
            <w:pPr>
              <w:ind w:left="240"/>
              <w:spacing w:after="0"/>
              <w:rPr>
                <w:sz w:val="20"/>
                <w:szCs w:val="20"/>
                <w:color w:val="auto"/>
              </w:rPr>
            </w:pPr>
            <w:r>
              <w:rPr>
                <w:rFonts w:ascii="Arial" w:cs="Arial" w:eastAsia="Arial" w:hAnsi="Arial"/>
                <w:sz w:val="12"/>
                <w:szCs w:val="12"/>
                <w:b w:val="1"/>
                <w:bCs w:val="1"/>
                <w:color w:val="auto"/>
              </w:rPr>
              <w:t>Option Awards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w w:val="98"/>
              </w:rPr>
              <w:t>Stock Awards</w:t>
            </w:r>
            <w:r>
              <w:rPr>
                <w:rFonts w:ascii="Arial" w:cs="Arial" w:eastAsia="Arial" w:hAnsi="Arial"/>
                <w:sz w:val="15"/>
                <w:szCs w:val="15"/>
                <w:b w:val="1"/>
                <w:bCs w:val="1"/>
                <w:color w:val="auto"/>
                <w:w w:val="98"/>
                <w:vertAlign w:val="superscript"/>
              </w:rPr>
              <w:t>(5)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2"/>
                <w:szCs w:val="12"/>
                <w:b w:val="1"/>
                <w:bCs w:val="1"/>
                <w:color w:val="auto"/>
              </w:rPr>
              <w:t>Equity</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4"/>
          </w:tcPr>
          <w:p>
            <w:pPr>
              <w:jc w:val="center"/>
              <w:ind w:right="20"/>
              <w:spacing w:after="0" w:line="136" w:lineRule="exact"/>
              <w:rPr>
                <w:sz w:val="20"/>
                <w:szCs w:val="20"/>
                <w:color w:val="auto"/>
              </w:rPr>
            </w:pPr>
            <w:r>
              <w:rPr>
                <w:rFonts w:ascii="Arial" w:cs="Arial" w:eastAsia="Arial" w:hAnsi="Arial"/>
                <w:sz w:val="12"/>
                <w:szCs w:val="12"/>
                <w:b w:val="1"/>
                <w:bCs w:val="1"/>
                <w:color w:val="auto"/>
                <w:w w:val="99"/>
              </w:rPr>
              <w:t>Incentive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center"/>
              <w:ind w:left="33"/>
              <w:spacing w:after="0" w:line="136" w:lineRule="exact"/>
              <w:rPr>
                <w:sz w:val="20"/>
                <w:szCs w:val="20"/>
                <w:color w:val="auto"/>
              </w:rPr>
            </w:pPr>
            <w:r>
              <w:rPr>
                <w:rFonts w:ascii="Arial" w:cs="Arial" w:eastAsia="Arial" w:hAnsi="Arial"/>
                <w:sz w:val="12"/>
                <w:szCs w:val="12"/>
                <w:b w:val="1"/>
                <w:bCs w:val="1"/>
                <w:color w:val="auto"/>
              </w:rPr>
              <w:t>Equity</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Plan</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jc w:val="center"/>
              <w:ind w:right="22"/>
              <w:spacing w:after="0" w:line="136" w:lineRule="exact"/>
              <w:rPr>
                <w:sz w:val="20"/>
                <w:szCs w:val="20"/>
                <w:color w:val="auto"/>
              </w:rPr>
            </w:pPr>
            <w:r>
              <w:rPr>
                <w:rFonts w:ascii="Arial" w:cs="Arial" w:eastAsia="Arial" w:hAnsi="Arial"/>
                <w:sz w:val="12"/>
                <w:szCs w:val="12"/>
                <w:b w:val="1"/>
                <w:bCs w:val="1"/>
                <w:color w:val="auto"/>
              </w:rPr>
              <w:t>Incentive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jc w:val="center"/>
              <w:ind w:right="120"/>
              <w:spacing w:after="0" w:line="136" w:lineRule="exact"/>
              <w:rPr>
                <w:sz w:val="20"/>
                <w:szCs w:val="20"/>
                <w:color w:val="auto"/>
              </w:rPr>
            </w:pPr>
            <w:r>
              <w:rPr>
                <w:rFonts w:ascii="Arial" w:cs="Arial" w:eastAsia="Arial" w:hAnsi="Arial"/>
                <w:sz w:val="12"/>
                <w:szCs w:val="12"/>
                <w:b w:val="1"/>
                <w:bCs w:val="1"/>
                <w:color w:val="auto"/>
                <w:w w:val="97"/>
              </w:rPr>
              <w:t>Awards: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center"/>
              <w:ind w:right="2"/>
              <w:spacing w:after="0" w:line="136" w:lineRule="exact"/>
              <w:rPr>
                <w:sz w:val="20"/>
                <w:szCs w:val="20"/>
                <w:color w:val="auto"/>
              </w:rPr>
            </w:pPr>
            <w:r>
              <w:rPr>
                <w:rFonts w:ascii="Arial" w:cs="Arial" w:eastAsia="Arial" w:hAnsi="Arial"/>
                <w:sz w:val="12"/>
                <w:szCs w:val="12"/>
                <w:b w:val="1"/>
                <w:bCs w:val="1"/>
                <w:color w:val="auto"/>
              </w:rPr>
              <w:t>Equity</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Plan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jc w:val="center"/>
              <w:ind w:right="120"/>
              <w:spacing w:after="0" w:line="136" w:lineRule="exact"/>
              <w:rPr>
                <w:sz w:val="20"/>
                <w:szCs w:val="20"/>
                <w:color w:val="auto"/>
              </w:rPr>
            </w:pPr>
            <w:r>
              <w:rPr>
                <w:rFonts w:ascii="Arial" w:cs="Arial" w:eastAsia="Arial" w:hAnsi="Arial"/>
                <w:sz w:val="12"/>
                <w:szCs w:val="12"/>
                <w:b w:val="1"/>
                <w:bCs w:val="1"/>
                <w:color w:val="auto"/>
                <w:w w:val="98"/>
              </w:rPr>
              <w:t>Market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center"/>
              <w:ind w:right="22"/>
              <w:spacing w:after="0" w:line="136" w:lineRule="exact"/>
              <w:rPr>
                <w:sz w:val="20"/>
                <w:szCs w:val="20"/>
                <w:color w:val="auto"/>
              </w:rPr>
            </w:pPr>
            <w:r>
              <w:rPr>
                <w:rFonts w:ascii="Arial" w:cs="Arial" w:eastAsia="Arial" w:hAnsi="Arial"/>
                <w:sz w:val="12"/>
                <w:szCs w:val="12"/>
                <w:b w:val="1"/>
                <w:bCs w:val="1"/>
                <w:color w:val="auto"/>
                <w:w w:val="99"/>
              </w:rPr>
              <w:t>Incentive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jc w:val="right"/>
              <w:ind w:right="102"/>
              <w:spacing w:after="0" w:line="136" w:lineRule="exact"/>
              <w:rPr>
                <w:sz w:val="20"/>
                <w:szCs w:val="20"/>
                <w:color w:val="auto"/>
              </w:rPr>
            </w:pPr>
            <w:r>
              <w:rPr>
                <w:rFonts w:ascii="Arial" w:cs="Arial" w:eastAsia="Arial" w:hAnsi="Arial"/>
                <w:sz w:val="12"/>
                <w:szCs w:val="12"/>
                <w:b w:val="1"/>
                <w:bCs w:val="1"/>
                <w:color w:val="auto"/>
              </w:rPr>
              <w:t>Awards: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jc w:val="center"/>
              <w:ind w:right="120"/>
              <w:spacing w:after="0" w:line="136" w:lineRule="exact"/>
              <w:rPr>
                <w:sz w:val="20"/>
                <w:szCs w:val="20"/>
                <w:color w:val="auto"/>
              </w:rPr>
            </w:pPr>
            <w:r>
              <w:rPr>
                <w:rFonts w:ascii="Arial" w:cs="Arial" w:eastAsia="Arial" w:hAnsi="Arial"/>
                <w:sz w:val="12"/>
                <w:szCs w:val="12"/>
                <w:b w:val="1"/>
                <w:bCs w:val="1"/>
                <w:color w:val="auto"/>
                <w:w w:val="97"/>
              </w:rPr>
              <w:t>Value or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center"/>
              <w:ind w:left="113"/>
              <w:spacing w:after="0" w:line="136" w:lineRule="exact"/>
              <w:rPr>
                <w:sz w:val="20"/>
                <w:szCs w:val="20"/>
                <w:color w:val="auto"/>
              </w:rPr>
            </w:pPr>
            <w:r>
              <w:rPr>
                <w:rFonts w:ascii="Arial" w:cs="Arial" w:eastAsia="Arial" w:hAnsi="Arial"/>
                <w:sz w:val="12"/>
                <w:szCs w:val="12"/>
                <w:b w:val="1"/>
                <w:bCs w:val="1"/>
                <w:color w:val="auto"/>
              </w:rPr>
              <w:t>Plan</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jc w:val="center"/>
              <w:ind w:right="22"/>
              <w:spacing w:after="0" w:line="136" w:lineRule="exact"/>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1"/>
                <w:szCs w:val="11"/>
                <w:color w:val="auto"/>
              </w:rPr>
            </w:pPr>
          </w:p>
        </w:tc>
        <w:tc>
          <w:tcPr>
            <w:tcW w:w="720" w:type="dxa"/>
            <w:vAlign w:val="bottom"/>
            <w:gridSpan w:val="4"/>
          </w:tcPr>
          <w:p>
            <w:pPr>
              <w:jc w:val="center"/>
              <w:ind w:right="40"/>
              <w:spacing w:after="0" w:line="136" w:lineRule="exact"/>
              <w:rPr>
                <w:sz w:val="20"/>
                <w:szCs w:val="20"/>
                <w:color w:val="auto"/>
              </w:rPr>
            </w:pPr>
            <w:r>
              <w:rPr>
                <w:rFonts w:ascii="Arial" w:cs="Arial" w:eastAsia="Arial" w:hAnsi="Arial"/>
                <w:sz w:val="12"/>
                <w:szCs w:val="12"/>
                <w:b w:val="1"/>
                <w:bCs w:val="1"/>
                <w:color w:val="auto"/>
                <w:w w:val="98"/>
              </w:rPr>
              <w:t>Payout of</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center"/>
              <w:ind w:right="2"/>
              <w:spacing w:after="0" w:line="136" w:lineRule="exact"/>
              <w:rPr>
                <w:sz w:val="20"/>
                <w:szCs w:val="20"/>
                <w:color w:val="auto"/>
              </w:rPr>
            </w:pPr>
            <w:r>
              <w:rPr>
                <w:rFonts w:ascii="Arial" w:cs="Arial" w:eastAsia="Arial" w:hAnsi="Arial"/>
                <w:sz w:val="12"/>
                <w:szCs w:val="12"/>
                <w:b w:val="1"/>
                <w:bCs w:val="1"/>
                <w:color w:val="auto"/>
                <w:w w:val="97"/>
              </w:rPr>
              <w:t>Awards: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jc w:val="center"/>
              <w:ind w:right="22"/>
              <w:spacing w:after="0" w:line="136" w:lineRule="exact"/>
              <w:rPr>
                <w:sz w:val="20"/>
                <w:szCs w:val="20"/>
                <w:color w:val="auto"/>
              </w:rPr>
            </w:pPr>
            <w:r>
              <w:rPr>
                <w:rFonts w:ascii="Arial" w:cs="Arial" w:eastAsia="Arial" w:hAnsi="Arial"/>
                <w:sz w:val="12"/>
                <w:szCs w:val="12"/>
                <w:b w:val="1"/>
                <w:bCs w:val="1"/>
                <w:color w:val="auto"/>
                <w:w w:val="97"/>
              </w:rPr>
              <w:t>Unearned</w:t>
            </w:r>
          </w:p>
        </w:tc>
        <w:tc>
          <w:tcPr>
            <w:tcW w:w="80" w:type="dxa"/>
            <w:vAlign w:val="bottom"/>
          </w:tcPr>
          <w:p>
            <w:pPr>
              <w:spacing w:after="0"/>
              <w:rPr>
                <w:sz w:val="11"/>
                <w:szCs w:val="11"/>
                <w:color w:val="auto"/>
              </w:rPr>
            </w:pPr>
          </w:p>
        </w:tc>
        <w:tc>
          <w:tcPr>
            <w:tcW w:w="720" w:type="dxa"/>
            <w:vAlign w:val="bottom"/>
            <w:gridSpan w:val="4"/>
          </w:tcPr>
          <w:p>
            <w:pPr>
              <w:jc w:val="center"/>
              <w:ind w:right="20"/>
              <w:spacing w:after="0" w:line="136" w:lineRule="exact"/>
              <w:rPr>
                <w:sz w:val="20"/>
                <w:szCs w:val="20"/>
                <w:color w:val="auto"/>
              </w:rPr>
            </w:pPr>
            <w:r>
              <w:rPr>
                <w:rFonts w:ascii="Arial" w:cs="Arial" w:eastAsia="Arial" w:hAnsi="Arial"/>
                <w:sz w:val="12"/>
                <w:szCs w:val="12"/>
                <w:b w:val="1"/>
                <w:bCs w:val="1"/>
                <w:color w:val="auto"/>
              </w:rPr>
              <w:t>Unearned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4"/>
          </w:tcPr>
          <w:p>
            <w:pPr>
              <w:jc w:val="center"/>
              <w:ind w:right="60"/>
              <w:spacing w:after="0" w:line="136" w:lineRule="exact"/>
              <w:rPr>
                <w:sz w:val="20"/>
                <w:szCs w:val="20"/>
                <w:color w:val="auto"/>
              </w:rPr>
            </w:pPr>
            <w:r>
              <w:rPr>
                <w:rFonts w:ascii="Arial" w:cs="Arial" w:eastAsia="Arial" w:hAnsi="Arial"/>
                <w:sz w:val="12"/>
                <w:szCs w:val="12"/>
                <w:b w:val="1"/>
                <w:bCs w:val="1"/>
                <w:color w:val="auto"/>
                <w:w w:val="99"/>
              </w:rPr>
              <w:t>Number of</w:t>
            </w:r>
          </w:p>
        </w:tc>
        <w:tc>
          <w:tcPr>
            <w:tcW w:w="60" w:type="dxa"/>
            <w:vAlign w:val="bottom"/>
          </w:tcPr>
          <w:p>
            <w:pPr>
              <w:spacing w:after="0"/>
              <w:rPr>
                <w:sz w:val="11"/>
                <w:szCs w:val="11"/>
                <w:color w:val="auto"/>
              </w:rPr>
            </w:pPr>
          </w:p>
        </w:tc>
        <w:tc>
          <w:tcPr>
            <w:tcW w:w="80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rPr>
              <w:t>Number of</w:t>
            </w:r>
          </w:p>
        </w:tc>
        <w:tc>
          <w:tcPr>
            <w:tcW w:w="100" w:type="dxa"/>
            <w:vAlign w:val="bottom"/>
          </w:tcPr>
          <w:p>
            <w:pPr>
              <w:spacing w:after="0"/>
              <w:rPr>
                <w:sz w:val="11"/>
                <w:szCs w:val="11"/>
                <w:color w:val="auto"/>
              </w:rPr>
            </w:pPr>
          </w:p>
        </w:tc>
        <w:tc>
          <w:tcPr>
            <w:tcW w:w="700" w:type="dxa"/>
            <w:vAlign w:val="bottom"/>
            <w:gridSpan w:val="3"/>
          </w:tcPr>
          <w:p>
            <w:pPr>
              <w:jc w:val="center"/>
              <w:ind w:right="22"/>
              <w:spacing w:after="0" w:line="136" w:lineRule="exact"/>
              <w:rPr>
                <w:sz w:val="20"/>
                <w:szCs w:val="20"/>
                <w:color w:val="auto"/>
              </w:rPr>
            </w:pPr>
            <w:r>
              <w:rPr>
                <w:rFonts w:ascii="Arial" w:cs="Arial" w:eastAsia="Arial" w:hAnsi="Arial"/>
                <w:sz w:val="12"/>
                <w:szCs w:val="12"/>
                <w:b w:val="1"/>
                <w:bCs w:val="1"/>
                <w:color w:val="auto"/>
                <w:w w:val="99"/>
              </w:rPr>
              <w:t>Number 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rPr>
              <w:t>Market</w:t>
            </w:r>
          </w:p>
        </w:tc>
        <w:tc>
          <w:tcPr>
            <w:tcW w:w="60" w:type="dxa"/>
            <w:vAlign w:val="bottom"/>
          </w:tcPr>
          <w:p>
            <w:pPr>
              <w:spacing w:after="0"/>
              <w:rPr>
                <w:sz w:val="11"/>
                <w:szCs w:val="11"/>
                <w:color w:val="auto"/>
              </w:rPr>
            </w:pPr>
          </w:p>
        </w:tc>
        <w:tc>
          <w:tcPr>
            <w:tcW w:w="540" w:type="dxa"/>
            <w:vAlign w:val="bottom"/>
            <w:gridSpan w:val="2"/>
          </w:tcPr>
          <w:p>
            <w:pPr>
              <w:jc w:val="center"/>
              <w:ind w:left="33"/>
              <w:spacing w:after="0" w:line="136" w:lineRule="exact"/>
              <w:rPr>
                <w:sz w:val="20"/>
                <w:szCs w:val="20"/>
                <w:color w:val="auto"/>
              </w:rPr>
            </w:pPr>
            <w:r>
              <w:rPr>
                <w:rFonts w:ascii="Arial" w:cs="Arial" w:eastAsia="Arial" w:hAnsi="Arial"/>
                <w:sz w:val="12"/>
                <w:szCs w:val="12"/>
                <w:b w:val="1"/>
                <w:bCs w:val="1"/>
                <w:color w:val="auto"/>
                <w:w w:val="96"/>
              </w:rPr>
              <w:t>Shares,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jc w:val="center"/>
              <w:ind w:right="100"/>
              <w:spacing w:after="0" w:line="136" w:lineRule="exact"/>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4"/>
          </w:tcPr>
          <w:p>
            <w:pPr>
              <w:jc w:val="center"/>
              <w:ind w:right="80"/>
              <w:spacing w:after="0" w:line="136"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00" w:type="dxa"/>
            <w:vAlign w:val="bottom"/>
            <w:gridSpan w:val="3"/>
          </w:tcPr>
          <w:p>
            <w:pPr>
              <w:jc w:val="center"/>
              <w:ind w:right="2"/>
              <w:spacing w:after="0" w:line="136"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jc w:val="center"/>
              <w:ind w:right="29"/>
              <w:spacing w:after="0" w:line="136" w:lineRule="exact"/>
              <w:rPr>
                <w:sz w:val="20"/>
                <w:szCs w:val="20"/>
                <w:color w:val="auto"/>
              </w:rPr>
            </w:pPr>
            <w:r>
              <w:rPr>
                <w:rFonts w:ascii="Arial" w:cs="Arial" w:eastAsia="Arial" w:hAnsi="Arial"/>
                <w:sz w:val="12"/>
                <w:szCs w:val="12"/>
                <w:b w:val="1"/>
                <w:bCs w:val="1"/>
                <w:color w:val="auto"/>
                <w:w w:val="99"/>
              </w:rPr>
              <w:t>Number of</w:t>
            </w:r>
          </w:p>
        </w:tc>
        <w:tc>
          <w:tcPr>
            <w:tcW w:w="60" w:type="dxa"/>
            <w:vAlign w:val="bottom"/>
          </w:tcPr>
          <w:p>
            <w:pPr>
              <w:spacing w:after="0"/>
              <w:rPr>
                <w:sz w:val="11"/>
                <w:szCs w:val="11"/>
                <w:color w:val="auto"/>
              </w:rPr>
            </w:pPr>
          </w:p>
        </w:tc>
        <w:tc>
          <w:tcPr>
            <w:tcW w:w="660" w:type="dxa"/>
            <w:vAlign w:val="bottom"/>
            <w:gridSpan w:val="3"/>
          </w:tcPr>
          <w:p>
            <w:pPr>
              <w:jc w:val="right"/>
              <w:ind w:right="60"/>
              <w:spacing w:after="0" w:line="136" w:lineRule="exact"/>
              <w:rPr>
                <w:sz w:val="20"/>
                <w:szCs w:val="20"/>
                <w:color w:val="auto"/>
              </w:rPr>
            </w:pPr>
            <w:r>
              <w:rPr>
                <w:rFonts w:ascii="Arial" w:cs="Arial" w:eastAsia="Arial" w:hAnsi="Arial"/>
                <w:sz w:val="12"/>
                <w:szCs w:val="12"/>
                <w:b w:val="1"/>
                <w:bCs w:val="1"/>
                <w:color w:val="auto"/>
              </w:rPr>
              <w:t>Value of</w:t>
            </w:r>
          </w:p>
        </w:tc>
        <w:tc>
          <w:tcPr>
            <w:tcW w:w="60" w:type="dxa"/>
            <w:vAlign w:val="bottom"/>
          </w:tcPr>
          <w:p>
            <w:pPr>
              <w:spacing w:after="0"/>
              <w:rPr>
                <w:sz w:val="11"/>
                <w:szCs w:val="11"/>
                <w:color w:val="auto"/>
              </w:rPr>
            </w:pPr>
          </w:p>
        </w:tc>
        <w:tc>
          <w:tcPr>
            <w:tcW w:w="540" w:type="dxa"/>
            <w:vAlign w:val="bottom"/>
            <w:gridSpan w:val="2"/>
          </w:tcPr>
          <w:p>
            <w:pPr>
              <w:jc w:val="right"/>
              <w:spacing w:after="0" w:line="136" w:lineRule="exact"/>
              <w:rPr>
                <w:sz w:val="20"/>
                <w:szCs w:val="20"/>
                <w:color w:val="auto"/>
              </w:rPr>
            </w:pPr>
            <w:r>
              <w:rPr>
                <w:rFonts w:ascii="Arial" w:cs="Arial" w:eastAsia="Arial" w:hAnsi="Arial"/>
                <w:sz w:val="12"/>
                <w:szCs w:val="12"/>
                <w:b w:val="1"/>
                <w:bCs w:val="1"/>
                <w:color w:val="auto"/>
              </w:rPr>
              <w:t>Units or</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jc w:val="center"/>
              <w:ind w:right="120"/>
              <w:spacing w:after="0" w:line="136" w:lineRule="exact"/>
              <w:rPr>
                <w:sz w:val="20"/>
                <w:szCs w:val="20"/>
                <w:color w:val="auto"/>
              </w:rPr>
            </w:pPr>
            <w:r>
              <w:rPr>
                <w:rFonts w:ascii="Arial" w:cs="Arial" w:eastAsia="Arial" w:hAnsi="Arial"/>
                <w:sz w:val="12"/>
                <w:szCs w:val="12"/>
                <w:b w:val="1"/>
                <w:bCs w:val="1"/>
                <w:color w:val="auto"/>
              </w:rPr>
              <w:t>Units or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4"/>
          </w:tcPr>
          <w:p>
            <w:pPr>
              <w:jc w:val="center"/>
              <w:ind w:right="80"/>
              <w:spacing w:after="0" w:line="136" w:lineRule="exact"/>
              <w:rPr>
                <w:sz w:val="20"/>
                <w:szCs w:val="20"/>
                <w:color w:val="auto"/>
              </w:rPr>
            </w:pPr>
            <w:r>
              <w:rPr>
                <w:rFonts w:ascii="Arial" w:cs="Arial" w:eastAsia="Arial" w:hAnsi="Arial"/>
                <w:sz w:val="12"/>
                <w:szCs w:val="12"/>
                <w:b w:val="1"/>
                <w:bCs w:val="1"/>
                <w:color w:val="auto"/>
                <w:w w:val="98"/>
              </w:rPr>
              <w:t>Underlying</w:t>
            </w:r>
          </w:p>
        </w:tc>
        <w:tc>
          <w:tcPr>
            <w:tcW w:w="60" w:type="dxa"/>
            <w:vAlign w:val="bottom"/>
          </w:tcPr>
          <w:p>
            <w:pPr>
              <w:spacing w:after="0"/>
              <w:rPr>
                <w:sz w:val="11"/>
                <w:szCs w:val="11"/>
                <w:color w:val="auto"/>
              </w:rPr>
            </w:pPr>
          </w:p>
        </w:tc>
        <w:tc>
          <w:tcPr>
            <w:tcW w:w="80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700" w:type="dxa"/>
            <w:vAlign w:val="bottom"/>
            <w:gridSpan w:val="3"/>
          </w:tcPr>
          <w:p>
            <w:pPr>
              <w:jc w:val="center"/>
              <w:ind w:right="2"/>
              <w:spacing w:after="0" w:line="136" w:lineRule="exact"/>
              <w:rPr>
                <w:sz w:val="20"/>
                <w:szCs w:val="20"/>
                <w:color w:val="auto"/>
              </w:rPr>
            </w:pPr>
            <w:r>
              <w:rPr>
                <w:rFonts w:ascii="Arial" w:cs="Arial" w:eastAsia="Arial" w:hAnsi="Arial"/>
                <w:sz w:val="12"/>
                <w:szCs w:val="12"/>
                <w:b w:val="1"/>
                <w:bCs w:val="1"/>
                <w:color w:val="auto"/>
                <w:w w:val="98"/>
              </w:rPr>
              <w:t>Underlying</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jc w:val="right"/>
              <w:ind w:right="103"/>
              <w:spacing w:after="0"/>
              <w:rPr>
                <w:sz w:val="20"/>
                <w:szCs w:val="20"/>
                <w:color w:val="auto"/>
              </w:rPr>
            </w:pPr>
            <w:r>
              <w:rPr>
                <w:rFonts w:ascii="Arial" w:cs="Arial" w:eastAsia="Arial" w:hAnsi="Arial"/>
                <w:sz w:val="12"/>
                <w:szCs w:val="12"/>
                <w:b w:val="1"/>
                <w:bCs w:val="1"/>
                <w:color w:val="auto"/>
              </w:rPr>
              <w:t>Option</w:t>
            </w:r>
          </w:p>
        </w:tc>
        <w:tc>
          <w:tcPr>
            <w:tcW w:w="20" w:type="dxa"/>
            <w:vAlign w:val="bottom"/>
          </w:tcPr>
          <w:p>
            <w:pPr>
              <w:spacing w:after="0"/>
              <w:rPr>
                <w:sz w:val="11"/>
                <w:szCs w:val="11"/>
                <w:color w:val="auto"/>
              </w:rPr>
            </w:pPr>
          </w:p>
        </w:tc>
        <w:tc>
          <w:tcPr>
            <w:tcW w:w="700" w:type="dxa"/>
            <w:vAlign w:val="bottom"/>
            <w:gridSpan w:val="3"/>
          </w:tcPr>
          <w:p>
            <w:pPr>
              <w:jc w:val="center"/>
              <w:ind w:right="29"/>
              <w:spacing w:after="0" w:line="136" w:lineRule="exact"/>
              <w:rPr>
                <w:sz w:val="20"/>
                <w:szCs w:val="20"/>
                <w:color w:val="auto"/>
              </w:rPr>
            </w:pPr>
            <w:r>
              <w:rPr>
                <w:rFonts w:ascii="Arial" w:cs="Arial" w:eastAsia="Arial" w:hAnsi="Arial"/>
                <w:sz w:val="12"/>
                <w:szCs w:val="12"/>
                <w:b w:val="1"/>
                <w:bCs w:val="1"/>
                <w:color w:val="auto"/>
              </w:rPr>
              <w:t>Shares or</w:t>
            </w:r>
          </w:p>
        </w:tc>
        <w:tc>
          <w:tcPr>
            <w:tcW w:w="60" w:type="dxa"/>
            <w:vAlign w:val="bottom"/>
          </w:tcPr>
          <w:p>
            <w:pPr>
              <w:spacing w:after="0"/>
              <w:rPr>
                <w:sz w:val="11"/>
                <w:szCs w:val="11"/>
                <w:color w:val="auto"/>
              </w:rPr>
            </w:pPr>
          </w:p>
        </w:tc>
        <w:tc>
          <w:tcPr>
            <w:tcW w:w="66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rPr>
              <w:t>Shares or</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Other</w:t>
            </w:r>
          </w:p>
        </w:tc>
        <w:tc>
          <w:tcPr>
            <w:tcW w:w="140" w:type="dxa"/>
            <w:vAlign w:val="bottom"/>
          </w:tcPr>
          <w:p>
            <w:pPr>
              <w:spacing w:after="0"/>
              <w:rPr>
                <w:sz w:val="11"/>
                <w:szCs w:val="11"/>
                <w:color w:val="auto"/>
              </w:rPr>
            </w:pPr>
          </w:p>
        </w:tc>
        <w:tc>
          <w:tcPr>
            <w:tcW w:w="800" w:type="dxa"/>
            <w:vAlign w:val="bottom"/>
            <w:gridSpan w:val="5"/>
          </w:tcPr>
          <w:p>
            <w:pPr>
              <w:jc w:val="center"/>
              <w:spacing w:after="0" w:line="136" w:lineRule="exact"/>
              <w:rPr>
                <w:sz w:val="20"/>
                <w:szCs w:val="20"/>
                <w:color w:val="auto"/>
              </w:rPr>
            </w:pPr>
            <w:r>
              <w:rPr>
                <w:rFonts w:ascii="Arial" w:cs="Arial" w:eastAsia="Arial" w:hAnsi="Arial"/>
                <w:sz w:val="12"/>
                <w:szCs w:val="12"/>
                <w:b w:val="1"/>
                <w:bCs w:val="1"/>
                <w:color w:val="auto"/>
              </w:rPr>
              <w:t>Other Rights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gridSpan w:val="5"/>
          </w:tcPr>
          <w:p>
            <w:pPr>
              <w:ind w:left="20"/>
              <w:spacing w:after="0" w:line="125" w:lineRule="exact"/>
              <w:rPr>
                <w:sz w:val="20"/>
                <w:szCs w:val="20"/>
                <w:color w:val="auto"/>
              </w:rPr>
            </w:pPr>
            <w:r>
              <w:rPr>
                <w:rFonts w:ascii="Arial" w:cs="Arial" w:eastAsia="Arial" w:hAnsi="Arial"/>
                <w:sz w:val="12"/>
                <w:szCs w:val="12"/>
                <w:b w:val="1"/>
                <w:bCs w:val="1"/>
                <w:color w:val="auto"/>
                <w:w w:val="98"/>
              </w:rPr>
              <w:t>Unexercised</w:t>
            </w:r>
          </w:p>
        </w:tc>
        <w:tc>
          <w:tcPr>
            <w:tcW w:w="60" w:type="dxa"/>
            <w:vAlign w:val="bottom"/>
          </w:tcPr>
          <w:p>
            <w:pPr>
              <w:spacing w:after="0"/>
              <w:rPr>
                <w:sz w:val="10"/>
                <w:szCs w:val="10"/>
                <w:color w:val="auto"/>
              </w:rPr>
            </w:pPr>
          </w:p>
        </w:tc>
        <w:tc>
          <w:tcPr>
            <w:tcW w:w="800" w:type="dxa"/>
            <w:vAlign w:val="bottom"/>
            <w:gridSpan w:val="2"/>
          </w:tcPr>
          <w:p>
            <w:pPr>
              <w:jc w:val="center"/>
              <w:spacing w:after="0" w:line="125" w:lineRule="exact"/>
              <w:rPr>
                <w:sz w:val="20"/>
                <w:szCs w:val="20"/>
                <w:color w:val="auto"/>
              </w:rPr>
            </w:pPr>
            <w:r>
              <w:rPr>
                <w:rFonts w:ascii="Arial" w:cs="Arial" w:eastAsia="Arial" w:hAnsi="Arial"/>
                <w:sz w:val="12"/>
                <w:szCs w:val="12"/>
                <w:b w:val="1"/>
                <w:bCs w:val="1"/>
                <w:color w:val="auto"/>
                <w:w w:val="98"/>
              </w:rPr>
              <w:t>Unexercised</w:t>
            </w:r>
          </w:p>
        </w:tc>
        <w:tc>
          <w:tcPr>
            <w:tcW w:w="800" w:type="dxa"/>
            <w:vAlign w:val="bottom"/>
            <w:gridSpan w:val="4"/>
          </w:tcPr>
          <w:p>
            <w:pPr>
              <w:jc w:val="center"/>
              <w:spacing w:after="0" w:line="125" w:lineRule="exact"/>
              <w:rPr>
                <w:sz w:val="20"/>
                <w:szCs w:val="20"/>
                <w:color w:val="auto"/>
              </w:rPr>
            </w:pPr>
            <w:r>
              <w:rPr>
                <w:rFonts w:ascii="Arial" w:cs="Arial" w:eastAsia="Arial" w:hAnsi="Arial"/>
                <w:sz w:val="12"/>
                <w:szCs w:val="12"/>
                <w:b w:val="1"/>
                <w:bCs w:val="1"/>
                <w:color w:val="auto"/>
              </w:rPr>
              <w:t>Unexercised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jc w:val="center"/>
              <w:ind w:right="39"/>
              <w:spacing w:after="0" w:line="125" w:lineRule="exact"/>
              <w:rPr>
                <w:sz w:val="20"/>
                <w:szCs w:val="20"/>
                <w:color w:val="auto"/>
              </w:rPr>
            </w:pPr>
            <w:r>
              <w:rPr>
                <w:rFonts w:ascii="Arial" w:cs="Arial" w:eastAsia="Arial" w:hAnsi="Arial"/>
                <w:sz w:val="12"/>
                <w:szCs w:val="12"/>
                <w:b w:val="1"/>
                <w:bCs w:val="1"/>
                <w:color w:val="auto"/>
                <w:w w:val="93"/>
              </w:rPr>
              <w:t>Units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Units</w:t>
            </w:r>
          </w:p>
        </w:tc>
        <w:tc>
          <w:tcPr>
            <w:tcW w:w="740" w:type="dxa"/>
            <w:vAlign w:val="bottom"/>
            <w:gridSpan w:val="4"/>
          </w:tcPr>
          <w:p>
            <w:pPr>
              <w:jc w:val="center"/>
              <w:spacing w:after="0" w:line="125" w:lineRule="exact"/>
              <w:rPr>
                <w:sz w:val="20"/>
                <w:szCs w:val="20"/>
                <w:color w:val="auto"/>
              </w:rPr>
            </w:pPr>
            <w:r>
              <w:rPr>
                <w:rFonts w:ascii="Arial" w:cs="Arial" w:eastAsia="Arial" w:hAnsi="Arial"/>
                <w:sz w:val="12"/>
                <w:szCs w:val="12"/>
                <w:b w:val="1"/>
                <w:bCs w:val="1"/>
                <w:color w:val="auto"/>
                <w:w w:val="99"/>
              </w:rPr>
              <w:t>Rights That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That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3"/>
          </w:tcPr>
          <w:p>
            <w:pPr>
              <w:jc w:val="center"/>
              <w:ind w:right="160"/>
              <w:spacing w:after="0" w:line="136" w:lineRule="exact"/>
              <w:rPr>
                <w:sz w:val="20"/>
                <w:szCs w:val="20"/>
                <w:color w:val="auto"/>
              </w:rPr>
            </w:pPr>
            <w:r>
              <w:rPr>
                <w:rFonts w:ascii="Arial" w:cs="Arial" w:eastAsia="Arial" w:hAnsi="Arial"/>
                <w:sz w:val="12"/>
                <w:szCs w:val="12"/>
                <w:b w:val="1"/>
                <w:bCs w:val="1"/>
                <w:color w:val="auto"/>
              </w:rPr>
              <w:t>Options</w:t>
            </w:r>
          </w:p>
        </w:tc>
        <w:tc>
          <w:tcPr>
            <w:tcW w:w="60" w:type="dxa"/>
            <w:vAlign w:val="bottom"/>
          </w:tcPr>
          <w:p>
            <w:pPr>
              <w:spacing w:after="0"/>
              <w:rPr>
                <w:sz w:val="11"/>
                <w:szCs w:val="11"/>
                <w:color w:val="auto"/>
              </w:rPr>
            </w:pPr>
          </w:p>
        </w:tc>
        <w:tc>
          <w:tcPr>
            <w:tcW w:w="80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rPr>
              <w:t>Options</w:t>
            </w:r>
          </w:p>
        </w:tc>
        <w:tc>
          <w:tcPr>
            <w:tcW w:w="100" w:type="dxa"/>
            <w:vAlign w:val="bottom"/>
          </w:tcPr>
          <w:p>
            <w:pPr>
              <w:spacing w:after="0"/>
              <w:rPr>
                <w:sz w:val="11"/>
                <w:szCs w:val="11"/>
                <w:color w:val="auto"/>
              </w:rPr>
            </w:pPr>
          </w:p>
        </w:tc>
        <w:tc>
          <w:tcPr>
            <w:tcW w:w="700" w:type="dxa"/>
            <w:vAlign w:val="bottom"/>
            <w:gridSpan w:val="3"/>
          </w:tcPr>
          <w:p>
            <w:pPr>
              <w:jc w:val="center"/>
              <w:ind w:right="22"/>
              <w:spacing w:after="0" w:line="136" w:lineRule="exact"/>
              <w:rPr>
                <w:sz w:val="20"/>
                <w:szCs w:val="20"/>
                <w:color w:val="auto"/>
              </w:rPr>
            </w:pPr>
            <w:r>
              <w:rPr>
                <w:rFonts w:ascii="Arial" w:cs="Arial" w:eastAsia="Arial" w:hAnsi="Arial"/>
                <w:sz w:val="12"/>
                <w:szCs w:val="12"/>
                <w:b w:val="1"/>
                <w:bCs w:val="1"/>
                <w:color w:val="auto"/>
              </w:rPr>
              <w:t>Unearned</w:t>
            </w:r>
          </w:p>
        </w:tc>
        <w:tc>
          <w:tcPr>
            <w:tcW w:w="140" w:type="dxa"/>
            <w:vAlign w:val="bottom"/>
          </w:tcPr>
          <w:p>
            <w:pPr>
              <w:spacing w:after="0"/>
              <w:rPr>
                <w:sz w:val="11"/>
                <w:szCs w:val="11"/>
                <w:color w:val="auto"/>
              </w:rPr>
            </w:pPr>
          </w:p>
        </w:tc>
        <w:tc>
          <w:tcPr>
            <w:tcW w:w="700" w:type="dxa"/>
            <w:vAlign w:val="bottom"/>
            <w:gridSpan w:val="5"/>
          </w:tcPr>
          <w:p>
            <w:pPr>
              <w:ind w:left="80"/>
              <w:spacing w:after="0" w:line="136" w:lineRule="exact"/>
              <w:rPr>
                <w:sz w:val="20"/>
                <w:szCs w:val="20"/>
                <w:color w:val="auto"/>
              </w:rPr>
            </w:pPr>
            <w:r>
              <w:rPr>
                <w:rFonts w:ascii="Arial" w:cs="Arial" w:eastAsia="Arial" w:hAnsi="Arial"/>
                <w:sz w:val="12"/>
                <w:szCs w:val="12"/>
                <w:b w:val="1"/>
                <w:bCs w:val="1"/>
                <w:color w:val="auto"/>
              </w:rPr>
              <w:t>Option</w:t>
            </w:r>
          </w:p>
        </w:tc>
        <w:tc>
          <w:tcPr>
            <w:tcW w:w="660" w:type="dxa"/>
            <w:vAlign w:val="bottom"/>
            <w:gridSpan w:val="2"/>
          </w:tcPr>
          <w:p>
            <w:pPr>
              <w:jc w:val="right"/>
              <w:ind w:right="3"/>
              <w:spacing w:after="0" w:line="136" w:lineRule="exact"/>
              <w:rPr>
                <w:sz w:val="20"/>
                <w:szCs w:val="20"/>
                <w:color w:val="auto"/>
              </w:rPr>
            </w:pPr>
            <w:r>
              <w:rPr>
                <w:rFonts w:ascii="Arial" w:cs="Arial" w:eastAsia="Arial" w:hAnsi="Arial"/>
                <w:sz w:val="12"/>
                <w:szCs w:val="12"/>
                <w:b w:val="1"/>
                <w:bCs w:val="1"/>
                <w:color w:val="auto"/>
                <w:w w:val="98"/>
              </w:rPr>
              <w:t>Expiration</w:t>
            </w:r>
          </w:p>
        </w:tc>
        <w:tc>
          <w:tcPr>
            <w:tcW w:w="20" w:type="dxa"/>
            <w:vAlign w:val="bottom"/>
          </w:tcPr>
          <w:p>
            <w:pPr>
              <w:spacing w:after="0"/>
              <w:rPr>
                <w:sz w:val="11"/>
                <w:szCs w:val="11"/>
                <w:color w:val="auto"/>
              </w:rPr>
            </w:pPr>
          </w:p>
        </w:tc>
        <w:tc>
          <w:tcPr>
            <w:tcW w:w="700" w:type="dxa"/>
            <w:vAlign w:val="bottom"/>
            <w:gridSpan w:val="3"/>
          </w:tcPr>
          <w:p>
            <w:pPr>
              <w:jc w:val="center"/>
              <w:ind w:right="29"/>
              <w:spacing w:after="0" w:line="136" w:lineRule="exact"/>
              <w:rPr>
                <w:sz w:val="20"/>
                <w:szCs w:val="20"/>
                <w:color w:val="auto"/>
              </w:rPr>
            </w:pPr>
            <w:r>
              <w:rPr>
                <w:rFonts w:ascii="Arial" w:cs="Arial" w:eastAsia="Arial" w:hAnsi="Arial"/>
                <w:sz w:val="12"/>
                <w:szCs w:val="12"/>
                <w:b w:val="1"/>
                <w:bCs w:val="1"/>
                <w:color w:val="auto"/>
                <w:w w:val="97"/>
              </w:rPr>
              <w:t>That Have</w:t>
            </w:r>
          </w:p>
        </w:tc>
        <w:tc>
          <w:tcPr>
            <w:tcW w:w="60" w:type="dxa"/>
            <w:vAlign w:val="bottom"/>
          </w:tcPr>
          <w:p>
            <w:pPr>
              <w:spacing w:after="0"/>
              <w:rPr>
                <w:sz w:val="11"/>
                <w:szCs w:val="11"/>
                <w:color w:val="auto"/>
              </w:rPr>
            </w:pPr>
          </w:p>
        </w:tc>
        <w:tc>
          <w:tcPr>
            <w:tcW w:w="660" w:type="dxa"/>
            <w:vAlign w:val="bottom"/>
            <w:gridSpan w:val="3"/>
          </w:tcPr>
          <w:p>
            <w:pPr>
              <w:jc w:val="center"/>
              <w:spacing w:after="0" w:line="136" w:lineRule="exact"/>
              <w:rPr>
                <w:sz w:val="20"/>
                <w:szCs w:val="20"/>
                <w:color w:val="auto"/>
              </w:rPr>
            </w:pPr>
            <w:r>
              <w:rPr>
                <w:rFonts w:ascii="Arial" w:cs="Arial" w:eastAsia="Arial" w:hAnsi="Arial"/>
                <w:sz w:val="12"/>
                <w:szCs w:val="12"/>
                <w:b w:val="1"/>
                <w:bCs w:val="1"/>
                <w:color w:val="auto"/>
                <w:w w:val="97"/>
              </w:rPr>
              <w:t>That Have</w:t>
            </w:r>
          </w:p>
        </w:tc>
        <w:tc>
          <w:tcPr>
            <w:tcW w:w="60" w:type="dxa"/>
            <w:vAlign w:val="bottom"/>
          </w:tcPr>
          <w:p>
            <w:pPr>
              <w:spacing w:after="0"/>
              <w:rPr>
                <w:sz w:val="11"/>
                <w:szCs w:val="11"/>
                <w:color w:val="auto"/>
              </w:rPr>
            </w:pPr>
          </w:p>
        </w:tc>
        <w:tc>
          <w:tcPr>
            <w:tcW w:w="680" w:type="dxa"/>
            <w:vAlign w:val="bottom"/>
            <w:gridSpan w:val="3"/>
          </w:tcPr>
          <w:p>
            <w:pPr>
              <w:jc w:val="center"/>
              <w:ind w:right="22"/>
              <w:spacing w:after="0" w:line="136" w:lineRule="exact"/>
              <w:rPr>
                <w:sz w:val="20"/>
                <w:szCs w:val="20"/>
                <w:color w:val="auto"/>
              </w:rPr>
            </w:pPr>
            <w:r>
              <w:rPr>
                <w:rFonts w:ascii="Arial" w:cs="Arial" w:eastAsia="Arial" w:hAnsi="Arial"/>
                <w:sz w:val="12"/>
                <w:szCs w:val="12"/>
                <w:b w:val="1"/>
                <w:bCs w:val="1"/>
                <w:color w:val="auto"/>
              </w:rPr>
              <w:t>Have Not</w:t>
            </w:r>
          </w:p>
        </w:tc>
        <w:tc>
          <w:tcPr>
            <w:tcW w:w="80" w:type="dxa"/>
            <w:vAlign w:val="bottom"/>
          </w:tcPr>
          <w:p>
            <w:pPr>
              <w:spacing w:after="0"/>
              <w:rPr>
                <w:sz w:val="11"/>
                <w:szCs w:val="11"/>
                <w:color w:val="auto"/>
              </w:rPr>
            </w:pPr>
          </w:p>
        </w:tc>
        <w:tc>
          <w:tcPr>
            <w:tcW w:w="720" w:type="dxa"/>
            <w:vAlign w:val="bottom"/>
            <w:gridSpan w:val="4"/>
          </w:tcPr>
          <w:p>
            <w:pPr>
              <w:jc w:val="center"/>
              <w:ind w:right="20"/>
              <w:spacing w:after="0" w:line="136" w:lineRule="exact"/>
              <w:rPr>
                <w:sz w:val="20"/>
                <w:szCs w:val="20"/>
                <w:color w:val="auto"/>
              </w:rPr>
            </w:pPr>
            <w:r>
              <w:rPr>
                <w:rFonts w:ascii="Arial" w:cs="Arial" w:eastAsia="Arial" w:hAnsi="Arial"/>
                <w:sz w:val="12"/>
                <w:szCs w:val="12"/>
                <w:b w:val="1"/>
                <w:bCs w:val="1"/>
                <w:color w:val="auto"/>
                <w:w w:val="99"/>
              </w:rPr>
              <w:t>Have Not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60" w:type="dxa"/>
            <w:vAlign w:val="bottom"/>
          </w:tcPr>
          <w:p>
            <w:pPr>
              <w:spacing w:after="0"/>
              <w:rPr>
                <w:sz w:val="20"/>
                <w:szCs w:val="20"/>
                <w:color w:val="auto"/>
              </w:rPr>
            </w:pPr>
            <w:r>
              <w:rPr>
                <w:rFonts w:ascii="Arial" w:cs="Arial" w:eastAsia="Arial" w:hAnsi="Arial"/>
                <w:sz w:val="12"/>
                <w:szCs w:val="12"/>
                <w:b w:val="1"/>
                <w:bCs w:val="1"/>
                <w:color w:val="auto"/>
              </w:rPr>
              <w:t>​</w:t>
            </w:r>
          </w:p>
        </w:tc>
        <w:tc>
          <w:tcPr>
            <w:tcW w:w="1000" w:type="dxa"/>
            <w:vAlign w:val="bottom"/>
          </w:tcPr>
          <w:p>
            <w:pPr>
              <w:jc w:val="center"/>
              <w:ind w:right="180"/>
              <w:spacing w:after="0"/>
              <w:rPr>
                <w:sz w:val="20"/>
                <w:szCs w:val="20"/>
                <w:color w:val="auto"/>
              </w:rPr>
            </w:pPr>
            <w:r>
              <w:rPr>
                <w:rFonts w:ascii="Arial" w:cs="Arial" w:eastAsia="Arial" w:hAnsi="Arial"/>
                <w:sz w:val="12"/>
                <w:szCs w:val="12"/>
                <w:b w:val="1"/>
                <w:bCs w:val="1"/>
                <w:color w:val="auto"/>
                <w:w w:val="97"/>
              </w:rPr>
              <w:t>Name</w:t>
            </w:r>
          </w:p>
        </w:tc>
        <w:tc>
          <w:tcPr>
            <w:tcW w:w="1720" w:type="dxa"/>
            <w:vAlign w:val="bottom"/>
            <w:gridSpan w:val="9"/>
          </w:tcPr>
          <w:p>
            <w:pPr>
              <w:ind w:left="20"/>
              <w:spacing w:after="0" w:line="167" w:lineRule="exact"/>
              <w:rPr>
                <w:sz w:val="20"/>
                <w:szCs w:val="20"/>
                <w:color w:val="auto"/>
              </w:rPr>
            </w:pPr>
            <w:r>
              <w:rPr>
                <w:rFonts w:ascii="Arial" w:cs="Arial" w:eastAsia="Arial" w:hAnsi="Arial"/>
                <w:sz w:val="12"/>
                <w:szCs w:val="12"/>
                <w:b w:val="1"/>
                <w:bCs w:val="1"/>
                <w:color w:val="auto"/>
              </w:rPr>
              <w:t>​Exercisable ​Unexercisable</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w:t>
            </w:r>
          </w:p>
        </w:tc>
        <w:tc>
          <w:tcPr>
            <w:tcW w:w="700" w:type="dxa"/>
            <w:vAlign w:val="bottom"/>
            <w:gridSpan w:val="3"/>
          </w:tcPr>
          <w:p>
            <w:pPr>
              <w:jc w:val="center"/>
              <w:spacing w:after="0" w:line="167" w:lineRule="exact"/>
              <w:rPr>
                <w:sz w:val="20"/>
                <w:szCs w:val="20"/>
                <w:color w:val="auto"/>
              </w:rPr>
            </w:pPr>
            <w:r>
              <w:rPr>
                <w:rFonts w:ascii="Arial" w:cs="Arial" w:eastAsia="Arial" w:hAnsi="Arial"/>
                <w:sz w:val="12"/>
                <w:szCs w:val="12"/>
                <w:b w:val="1"/>
                <w:bCs w:val="1"/>
                <w:color w:val="auto"/>
                <w:w w:val="93"/>
              </w:rPr>
              <w:t>Options</w:t>
            </w:r>
            <w:r>
              <w:rPr>
                <w:rFonts w:ascii="Arial" w:cs="Arial" w:eastAsia="Arial" w:hAnsi="Arial"/>
                <w:sz w:val="15"/>
                <w:szCs w:val="15"/>
                <w:b w:val="1"/>
                <w:bCs w:val="1"/>
                <w:color w:val="auto"/>
                <w:w w:val="93"/>
                <w:vertAlign w:val="superscript"/>
              </w:rPr>
              <w:t>(2)</w:t>
            </w:r>
          </w:p>
        </w:tc>
        <w:tc>
          <w:tcPr>
            <w:tcW w:w="920" w:type="dxa"/>
            <w:vAlign w:val="bottom"/>
            <w:gridSpan w:val="7"/>
          </w:tcPr>
          <w:p>
            <w:pPr>
              <w:jc w:val="right"/>
              <w:spacing w:after="0"/>
              <w:rPr>
                <w:sz w:val="20"/>
                <w:szCs w:val="20"/>
                <w:color w:val="auto"/>
              </w:rPr>
            </w:pPr>
            <w:r>
              <w:rPr>
                <w:rFonts w:ascii="Arial" w:cs="Arial" w:eastAsia="Arial" w:hAnsi="Arial"/>
                <w:sz w:val="12"/>
                <w:szCs w:val="12"/>
                <w:b w:val="1"/>
                <w:bCs w:val="1"/>
                <w:color w:val="auto"/>
              </w:rPr>
              <w:t>​Exercise Price​</w:t>
            </w:r>
          </w:p>
        </w:tc>
        <w:tc>
          <w:tcPr>
            <w:tcW w:w="2080" w:type="dxa"/>
            <w:vAlign w:val="bottom"/>
            <w:gridSpan w:val="10"/>
          </w:tcPr>
          <w:p>
            <w:pPr>
              <w:jc w:val="right"/>
              <w:spacing w:after="0" w:line="167" w:lineRule="exact"/>
              <w:rPr>
                <w:sz w:val="20"/>
                <w:szCs w:val="20"/>
                <w:color w:val="auto"/>
              </w:rPr>
            </w:pPr>
            <w:r>
              <w:rPr>
                <w:rFonts w:ascii="Arial" w:cs="Arial" w:eastAsia="Arial" w:hAnsi="Arial"/>
                <w:sz w:val="12"/>
                <w:szCs w:val="12"/>
                <w:b w:val="1"/>
                <w:bCs w:val="1"/>
                <w:color w:val="auto"/>
              </w:rPr>
              <w:t>Date   ​Not Vested</w:t>
            </w:r>
            <w:r>
              <w:rPr>
                <w:rFonts w:ascii="Arial" w:cs="Arial" w:eastAsia="Arial" w:hAnsi="Arial"/>
                <w:sz w:val="15"/>
                <w:szCs w:val="15"/>
                <w:b w:val="1"/>
                <w:bCs w:val="1"/>
                <w:color w:val="auto"/>
                <w:vertAlign w:val="superscript"/>
              </w:rPr>
              <w:t>(3)</w:t>
            </w:r>
            <w:r>
              <w:rPr>
                <w:rFonts w:ascii="Arial" w:cs="Arial" w:eastAsia="Arial" w:hAnsi="Arial"/>
                <w:sz w:val="12"/>
                <w:szCs w:val="12"/>
                <w:b w:val="1"/>
                <w:bCs w:val="1"/>
                <w:color w:val="auto"/>
              </w:rPr>
              <w:t xml:space="preserve"> ​ Not Vested ​</w:t>
            </w:r>
          </w:p>
        </w:tc>
        <w:tc>
          <w:tcPr>
            <w:tcW w:w="680" w:type="dxa"/>
            <w:vAlign w:val="bottom"/>
            <w:gridSpan w:val="3"/>
          </w:tcPr>
          <w:p>
            <w:pPr>
              <w:jc w:val="center"/>
              <w:ind w:right="2"/>
              <w:spacing w:after="0" w:line="167" w:lineRule="exact"/>
              <w:rPr>
                <w:sz w:val="20"/>
                <w:szCs w:val="20"/>
                <w:color w:val="auto"/>
              </w:rPr>
            </w:pPr>
            <w:r>
              <w:rPr>
                <w:rFonts w:ascii="Arial" w:cs="Arial" w:eastAsia="Arial" w:hAnsi="Arial"/>
                <w:sz w:val="12"/>
                <w:szCs w:val="12"/>
                <w:b w:val="1"/>
                <w:bCs w:val="1"/>
                <w:color w:val="auto"/>
                <w:w w:val="92"/>
              </w:rPr>
              <w:t>Vested</w:t>
            </w:r>
            <w:r>
              <w:rPr>
                <w:rFonts w:ascii="Arial" w:cs="Arial" w:eastAsia="Arial" w:hAnsi="Arial"/>
                <w:sz w:val="15"/>
                <w:szCs w:val="15"/>
                <w:b w:val="1"/>
                <w:bCs w:val="1"/>
                <w:color w:val="auto"/>
                <w:w w:val="92"/>
                <w:vertAlign w:val="superscript"/>
              </w:rPr>
              <w:t>(4)</w:t>
            </w: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4"/>
                <w:szCs w:val="14"/>
                <w:color w:val="auto"/>
              </w:rPr>
            </w:pPr>
          </w:p>
        </w:tc>
        <w:tc>
          <w:tcPr>
            <w:tcW w:w="64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6"/>
              </w:rPr>
              <w:t>Vested</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113"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line="20" w:lineRule="exact"/>
              <w:rPr>
                <w:sz w:val="1"/>
                <w:szCs w:val="1"/>
                <w:color w:val="auto"/>
              </w:rPr>
            </w:pPr>
          </w:p>
        </w:tc>
      </w:tr>
      <w:tr>
        <w:trPr>
          <w:trHeight w:val="93"/>
        </w:trPr>
        <w:tc>
          <w:tcPr>
            <w:tcW w:w="26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w:t>
            </w:r>
          </w:p>
        </w:tc>
        <w:tc>
          <w:tcPr>
            <w:tcW w:w="1000" w:type="dxa"/>
            <w:vAlign w:val="bottom"/>
            <w:shd w:val="clear" w:color="auto" w:fill="CCEEFF"/>
          </w:tcPr>
          <w:p>
            <w:pPr>
              <w:spacing w:after="0"/>
              <w:rPr>
                <w:sz w:val="8"/>
                <w:szCs w:val="8"/>
                <w:color w:val="auto"/>
              </w:rPr>
            </w:pPr>
          </w:p>
        </w:tc>
        <w:tc>
          <w:tcPr>
            <w:tcW w:w="140" w:type="dxa"/>
            <w:vAlign w:val="bottom"/>
            <w:gridSpan w:val="2"/>
            <w:shd w:val="clear" w:color="auto" w:fill="CCEEFF"/>
          </w:tcPr>
          <w:p>
            <w:pPr>
              <w:ind w:left="20"/>
              <w:spacing w:after="0" w:line="93"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w:t>
            </w:r>
          </w:p>
        </w:tc>
        <w:tc>
          <w:tcPr>
            <w:tcW w:w="540" w:type="dxa"/>
            <w:vAlign w:val="bottom"/>
            <w:tcBorders>
              <w:right w:val="single" w:sz="8" w:color="CCEEFF"/>
            </w:tcBorders>
            <w:gridSpan w:val="2"/>
            <w:vMerge w:val="restart"/>
            <w:shd w:val="clear" w:color="auto" w:fill="CCEEFF"/>
          </w:tcPr>
          <w:p>
            <w:pPr>
              <w:jc w:val="right"/>
              <w:ind w:right="120"/>
              <w:spacing w:after="0" w:line="130" w:lineRule="exact"/>
              <w:rPr>
                <w:sz w:val="20"/>
                <w:szCs w:val="20"/>
                <w:color w:val="auto"/>
              </w:rPr>
            </w:pPr>
            <w:r>
              <w:rPr>
                <w:rFonts w:ascii="Arial" w:cs="Arial" w:eastAsia="Arial" w:hAnsi="Arial"/>
                <w:sz w:val="12"/>
                <w:szCs w:val="12"/>
                <w:color w:val="auto"/>
              </w:rPr>
              <w:t>52,400</w:t>
            </w:r>
          </w:p>
        </w:tc>
        <w:tc>
          <w:tcPr>
            <w:tcW w:w="6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ind w:left="320"/>
              <w:spacing w:after="0" w:line="9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ind w:left="40"/>
              <w:spacing w:after="0" w:line="93"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ind w:left="160"/>
              <w:spacing w:after="0" w:line="93" w:lineRule="exact"/>
              <w:rPr>
                <w:sz w:val="20"/>
                <w:szCs w:val="20"/>
                <w:color w:val="auto"/>
              </w:rPr>
            </w:pPr>
            <w:r>
              <w:rPr>
                <w:rFonts w:ascii="Arial" w:cs="Arial" w:eastAsia="Arial" w:hAnsi="Arial"/>
                <w:sz w:val="10"/>
                <w:szCs w:val="10"/>
                <w:color w:val="auto"/>
              </w:rPr>
              <w:t>​</w:t>
            </w:r>
          </w:p>
        </w:tc>
        <w:tc>
          <w:tcPr>
            <w:tcW w:w="200" w:type="dxa"/>
            <w:vAlign w:val="bottom"/>
            <w:vMerge w:val="restart"/>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w:t>
            </w:r>
          </w:p>
        </w:tc>
        <w:tc>
          <w:tcPr>
            <w:tcW w:w="180" w:type="dxa"/>
            <w:vAlign w:val="bottom"/>
            <w:gridSpan w:val="2"/>
            <w:shd w:val="clear" w:color="auto" w:fill="CCEEFF"/>
          </w:tcPr>
          <w:p>
            <w:pPr>
              <w:ind w:left="100"/>
              <w:spacing w:after="0" w:line="9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93" w:lineRule="exact"/>
              <w:rPr>
                <w:sz w:val="20"/>
                <w:szCs w:val="20"/>
                <w:color w:val="auto"/>
              </w:rPr>
            </w:pPr>
            <w:r>
              <w:rPr>
                <w:rFonts w:ascii="Arial" w:cs="Arial" w:eastAsia="Arial" w:hAnsi="Arial"/>
                <w:sz w:val="10"/>
                <w:szCs w:val="10"/>
                <w:b w:val="1"/>
                <w:bCs w:val="1"/>
                <w:color w:val="auto"/>
              </w:rPr>
              <w:t>​</w:t>
            </w:r>
          </w:p>
        </w:tc>
        <w:tc>
          <w:tcPr>
            <w:tcW w:w="580" w:type="dxa"/>
            <w:vAlign w:val="bottom"/>
            <w:tcBorders>
              <w:right w:val="single" w:sz="8" w:color="CCEEFF"/>
            </w:tcBorders>
            <w:vMerge w:val="restart"/>
            <w:shd w:val="clear" w:color="auto" w:fill="CCEEFF"/>
          </w:tcPr>
          <w:p>
            <w:pPr>
              <w:jc w:val="right"/>
              <w:spacing w:after="0" w:line="130" w:lineRule="exact"/>
              <w:rPr>
                <w:sz w:val="20"/>
                <w:szCs w:val="20"/>
                <w:color w:val="auto"/>
              </w:rPr>
            </w:pPr>
            <w:r>
              <w:rPr>
                <w:rFonts w:ascii="Arial" w:cs="Arial" w:eastAsia="Arial" w:hAnsi="Arial"/>
                <w:sz w:val="12"/>
                <w:szCs w:val="12"/>
                <w:color w:val="auto"/>
              </w:rPr>
              <w:t>4/15/2025</w:t>
            </w:r>
          </w:p>
        </w:tc>
        <w:tc>
          <w:tcPr>
            <w:tcW w:w="200" w:type="dxa"/>
            <w:vAlign w:val="bottom"/>
            <w:tcBorders>
              <w:right w:val="single" w:sz="8" w:color="CCEEFF"/>
            </w:tcBorders>
            <w:gridSpan w:val="2"/>
            <w:shd w:val="clear" w:color="auto" w:fill="CCEEFF"/>
          </w:tcPr>
          <w:p>
            <w:pPr>
              <w:spacing w:after="0" w:line="93" w:lineRule="exact"/>
              <w:rPr>
                <w:sz w:val="20"/>
                <w:szCs w:val="20"/>
                <w:color w:val="auto"/>
              </w:rPr>
            </w:pPr>
            <w:r>
              <w:rPr>
                <w:rFonts w:ascii="Arial" w:cs="Arial" w:eastAsia="Arial" w:hAnsi="Arial"/>
                <w:sz w:val="10"/>
                <w:szCs w:val="10"/>
                <w:b w:val="1"/>
                <w:bCs w:val="1"/>
                <w:color w:val="auto"/>
              </w:rPr>
              <w:t xml:space="preserve">​  </w:t>
            </w:r>
            <w:r>
              <w:rPr>
                <w:rFonts w:ascii="Arial" w:cs="Arial" w:eastAsia="Arial" w:hAnsi="Arial"/>
                <w:sz w:val="10"/>
                <w:szCs w:val="10"/>
                <w:color w:val="auto"/>
              </w:rPr>
              <w:t>​</w:t>
            </w:r>
          </w:p>
        </w:tc>
        <w:tc>
          <w:tcPr>
            <w:tcW w:w="380" w:type="dxa"/>
            <w:vAlign w:val="bottom"/>
            <w:vMerge w:val="restart"/>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line="93"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ind w:left="100"/>
              <w:spacing w:after="0" w:line="93" w:lineRule="exact"/>
              <w:rPr>
                <w:sz w:val="20"/>
                <w:szCs w:val="20"/>
                <w:color w:val="auto"/>
              </w:rPr>
            </w:pPr>
            <w:r>
              <w:rPr>
                <w:rFonts w:ascii="Arial" w:cs="Arial" w:eastAsia="Arial" w:hAnsi="Arial"/>
                <w:sz w:val="10"/>
                <w:szCs w:val="10"/>
                <w:color w:val="auto"/>
              </w:rPr>
              <w:t>​</w:t>
            </w:r>
          </w:p>
        </w:tc>
        <w:tc>
          <w:tcPr>
            <w:tcW w:w="100" w:type="dxa"/>
            <w:vAlign w:val="bottom"/>
            <w:vMerge w:val="restart"/>
            <w:shd w:val="clear" w:color="auto" w:fill="CCEEFF"/>
          </w:tcPr>
          <w:p>
            <w:pPr>
              <w:ind w:left="20"/>
              <w:spacing w:after="0" w:line="130" w:lineRule="exact"/>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ind w:right="60"/>
              <w:spacing w:after="0" w:line="130" w:lineRule="exact"/>
              <w:rPr>
                <w:sz w:val="20"/>
                <w:szCs w:val="20"/>
                <w:color w:val="auto"/>
              </w:rPr>
            </w:pPr>
            <w:r>
              <w:rPr>
                <w:rFonts w:ascii="Arial" w:cs="Arial" w:eastAsia="Arial" w:hAnsi="Arial"/>
                <w:sz w:val="12"/>
                <w:szCs w:val="12"/>
                <w:color w:val="auto"/>
              </w:rPr>
              <w:t>—</w:t>
            </w:r>
          </w:p>
        </w:tc>
        <w:tc>
          <w:tcPr>
            <w:tcW w:w="60" w:type="dxa"/>
            <w:vAlign w:val="bottom"/>
            <w:tcBorders>
              <w:left w:val="single" w:sz="8" w:color="CCEEFF"/>
            </w:tcBorders>
            <w:shd w:val="clear" w:color="auto" w:fill="CCEEFF"/>
          </w:tcPr>
          <w:p>
            <w:pPr>
              <w:jc w:val="right"/>
              <w:spacing w:after="0" w:line="93"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ind w:left="100"/>
              <w:spacing w:after="0" w:line="93" w:lineRule="exact"/>
              <w:rPr>
                <w:sz w:val="20"/>
                <w:szCs w:val="20"/>
                <w:color w:val="auto"/>
              </w:rPr>
            </w:pPr>
            <w:r>
              <w:rPr>
                <w:rFonts w:ascii="Arial" w:cs="Arial" w:eastAsia="Arial" w:hAnsi="Arial"/>
                <w:sz w:val="10"/>
                <w:szCs w:val="10"/>
                <w:color w:val="auto"/>
              </w:rPr>
              <w:t>​</w:t>
            </w:r>
          </w:p>
        </w:tc>
        <w:tc>
          <w:tcPr>
            <w:tcW w:w="400" w:type="dxa"/>
            <w:vAlign w:val="bottom"/>
            <w:vMerge w:val="restart"/>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jc w:val="right"/>
              <w:spacing w:after="0" w:line="93"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ind w:left="20"/>
              <w:spacing w:after="0" w:line="93" w:lineRule="exact"/>
              <w:rPr>
                <w:sz w:val="20"/>
                <w:szCs w:val="20"/>
                <w:color w:val="auto"/>
              </w:rPr>
            </w:pPr>
            <w:r>
              <w:rPr>
                <w:rFonts w:ascii="Arial" w:cs="Arial" w:eastAsia="Arial" w:hAnsi="Arial"/>
                <w:sz w:val="10"/>
                <w:szCs w:val="10"/>
                <w:color w:val="auto"/>
              </w:rPr>
              <w:t>​</w:t>
            </w:r>
          </w:p>
        </w:tc>
        <w:tc>
          <w:tcPr>
            <w:tcW w:w="40" w:type="dxa"/>
            <w:vAlign w:val="bottom"/>
            <w:vMerge w:val="restart"/>
            <w:shd w:val="clear" w:color="auto" w:fill="CCEEFF"/>
          </w:tcPr>
          <w:p>
            <w:pPr>
              <w:spacing w:after="0" w:line="130" w:lineRule="exact"/>
              <w:rPr>
                <w:sz w:val="20"/>
                <w:szCs w:val="20"/>
                <w:color w:val="auto"/>
              </w:rPr>
            </w:pPr>
            <w:r>
              <w:rPr>
                <w:rFonts w:ascii="Arial" w:cs="Arial" w:eastAsia="Arial" w:hAnsi="Arial"/>
                <w:sz w:val="12"/>
                <w:szCs w:val="12"/>
                <w:color w:val="auto"/>
              </w:rPr>
              <w:t>​</w:t>
            </w:r>
          </w:p>
        </w:tc>
        <w:tc>
          <w:tcPr>
            <w:tcW w:w="500" w:type="dxa"/>
            <w:vAlign w:val="bottom"/>
            <w:vMerge w:val="restart"/>
            <w:shd w:val="clear" w:color="auto" w:fill="CCEEFF"/>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1260" w:type="dxa"/>
            <w:vAlign w:val="bottom"/>
            <w:gridSpan w:val="2"/>
            <w:shd w:val="clear" w:color="auto" w:fill="CCEEFF"/>
          </w:tcPr>
          <w:p>
            <w:pPr>
              <w:spacing w:after="0" w:line="38" w:lineRule="exact"/>
              <w:rPr>
                <w:sz w:val="20"/>
                <w:szCs w:val="20"/>
                <w:color w:val="auto"/>
              </w:rPr>
            </w:pPr>
            <w:r>
              <w:rPr>
                <w:rFonts w:ascii="Arial" w:cs="Arial" w:eastAsia="Arial" w:hAnsi="Arial"/>
                <w:sz w:val="4"/>
                <w:szCs w:val="4"/>
                <w:color w:val="auto"/>
              </w:rPr>
              <w:t>William B. Shepro</w:t>
            </w: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line="38" w:lineRule="exact"/>
              <w:rPr>
                <w:sz w:val="20"/>
                <w:szCs w:val="20"/>
                <w:color w:val="auto"/>
              </w:rPr>
            </w:pPr>
            <w:r>
              <w:rPr>
                <w:rFonts w:ascii="Arial" w:cs="Arial" w:eastAsia="Arial" w:hAnsi="Arial"/>
                <w:sz w:val="4"/>
                <w:szCs w:val="4"/>
                <w:color w:val="auto"/>
              </w:rPr>
              <w:t>​</w:t>
            </w:r>
          </w:p>
        </w:tc>
        <w:tc>
          <w:tcPr>
            <w:tcW w:w="540" w:type="dxa"/>
            <w:vAlign w:val="bottom"/>
            <w:tcBorders>
              <w:right w:val="single" w:sz="8" w:color="CCEEFF"/>
            </w:tcBorders>
            <w:gridSpan w:val="2"/>
            <w:vMerge w:val="continue"/>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0" w:type="dxa"/>
            <w:vAlign w:val="bottom"/>
            <w:gridSpan w:val="2"/>
            <w:shd w:val="clear" w:color="auto" w:fill="CCEEFF"/>
          </w:tcPr>
          <w:p>
            <w:pPr>
              <w:ind w:left="340"/>
              <w:spacing w:after="0" w:line="38" w:lineRule="exact"/>
              <w:rPr>
                <w:sz w:val="20"/>
                <w:szCs w:val="20"/>
                <w:color w:val="auto"/>
              </w:rPr>
            </w:pPr>
            <w:r>
              <w:rPr>
                <w:rFonts w:ascii="Arial" w:cs="Arial" w:eastAsia="Arial" w:hAnsi="Arial"/>
                <w:sz w:val="4"/>
                <w:szCs w:val="4"/>
                <w:color w:val="auto"/>
              </w:rPr>
              <w:t>​—</w:t>
            </w: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ind w:left="160"/>
              <w:spacing w:after="0" w:line="38" w:lineRule="exact"/>
              <w:rPr>
                <w:sz w:val="20"/>
                <w:szCs w:val="20"/>
                <w:color w:val="auto"/>
              </w:rPr>
            </w:pPr>
            <w:r>
              <w:rPr>
                <w:rFonts w:ascii="Arial" w:cs="Arial" w:eastAsia="Arial" w:hAnsi="Arial"/>
                <w:sz w:val="4"/>
                <w:szCs w:val="4"/>
                <w:color w:val="auto"/>
              </w:rPr>
              <w:t>​</w:t>
            </w:r>
          </w:p>
        </w:tc>
        <w:tc>
          <w:tcPr>
            <w:tcW w:w="200" w:type="dxa"/>
            <w:vAlign w:val="bottom"/>
            <w:vMerge w:val="continue"/>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gridSpan w:val="5"/>
            <w:shd w:val="clear" w:color="auto" w:fill="CCEEFF"/>
          </w:tcPr>
          <w:p>
            <w:pPr>
              <w:ind w:left="120"/>
              <w:spacing w:after="0" w:line="38" w:lineRule="exact"/>
              <w:rPr>
                <w:sz w:val="20"/>
                <w:szCs w:val="20"/>
                <w:color w:val="auto"/>
              </w:rPr>
            </w:pPr>
            <w:r>
              <w:rPr>
                <w:rFonts w:ascii="Arial" w:cs="Arial" w:eastAsia="Arial" w:hAnsi="Arial"/>
                <w:sz w:val="4"/>
                <w:szCs w:val="4"/>
                <w:color w:val="auto"/>
              </w:rPr>
              <w:t>$18.79</w:t>
            </w:r>
          </w:p>
        </w:tc>
        <w:tc>
          <w:tcPr>
            <w:tcW w:w="80" w:type="dxa"/>
            <w:vAlign w:val="bottom"/>
            <w:shd w:val="clear" w:color="auto" w:fill="CCEEFF"/>
          </w:tcPr>
          <w:p>
            <w:pPr>
              <w:jc w:val="right"/>
              <w:spacing w:after="0" w:line="38" w:lineRule="exact"/>
              <w:rPr>
                <w:sz w:val="20"/>
                <w:szCs w:val="20"/>
                <w:color w:val="auto"/>
              </w:rPr>
            </w:pPr>
            <w:r>
              <w:rPr>
                <w:rFonts w:ascii="Arial" w:cs="Arial" w:eastAsia="Arial" w:hAnsi="Arial"/>
                <w:sz w:val="4"/>
                <w:szCs w:val="4"/>
                <w:color w:val="auto"/>
              </w:rPr>
              <w:t>​</w:t>
            </w:r>
          </w:p>
        </w:tc>
        <w:tc>
          <w:tcPr>
            <w:tcW w:w="580" w:type="dxa"/>
            <w:vAlign w:val="bottom"/>
            <w:tcBorders>
              <w:right w:val="single" w:sz="8" w:color="CCEEFF"/>
            </w:tcBorders>
            <w:vMerge w:val="continue"/>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ind w:left="100"/>
              <w:spacing w:after="0" w:line="38" w:lineRule="exact"/>
              <w:rPr>
                <w:sz w:val="20"/>
                <w:szCs w:val="20"/>
                <w:color w:val="auto"/>
              </w:rPr>
            </w:pPr>
            <w:r>
              <w:rPr>
                <w:rFonts w:ascii="Arial" w:cs="Arial" w:eastAsia="Arial" w:hAnsi="Arial"/>
                <w:sz w:val="4"/>
                <w:szCs w:val="4"/>
                <w:color w:val="auto"/>
              </w:rPr>
              <w:t>​</w:t>
            </w:r>
          </w:p>
        </w:tc>
        <w:tc>
          <w:tcPr>
            <w:tcW w:w="380" w:type="dxa"/>
            <w:vAlign w:val="bottom"/>
            <w:vMerge w:val="continue"/>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vMerge w:val="continue"/>
            <w:shd w:val="clear" w:color="auto" w:fill="CCEEFF"/>
          </w:tcPr>
          <w:p>
            <w:pPr>
              <w:spacing w:after="0"/>
              <w:rPr>
                <w:sz w:val="3"/>
                <w:szCs w:val="3"/>
                <w:color w:val="auto"/>
              </w:rPr>
            </w:pPr>
          </w:p>
        </w:tc>
        <w:tc>
          <w:tcPr>
            <w:tcW w:w="420" w:type="dxa"/>
            <w:vAlign w:val="bottom"/>
            <w:vMerge w:val="continue"/>
            <w:shd w:val="clear" w:color="auto" w:fill="CCEEFF"/>
          </w:tcPr>
          <w:p>
            <w:pPr>
              <w:spacing w:after="0"/>
              <w:rPr>
                <w:sz w:val="3"/>
                <w:szCs w:val="3"/>
                <w:color w:val="auto"/>
              </w:rPr>
            </w:pPr>
          </w:p>
        </w:tc>
        <w:tc>
          <w:tcPr>
            <w:tcW w:w="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ind w:left="100"/>
              <w:spacing w:after="0" w:line="38" w:lineRule="exact"/>
              <w:rPr>
                <w:sz w:val="20"/>
                <w:szCs w:val="20"/>
                <w:color w:val="auto"/>
              </w:rPr>
            </w:pPr>
            <w:r>
              <w:rPr>
                <w:rFonts w:ascii="Arial" w:cs="Arial" w:eastAsia="Arial" w:hAnsi="Arial"/>
                <w:sz w:val="4"/>
                <w:szCs w:val="4"/>
                <w:color w:val="auto"/>
              </w:rPr>
              <w:t>​</w:t>
            </w:r>
          </w:p>
        </w:tc>
        <w:tc>
          <w:tcPr>
            <w:tcW w:w="400" w:type="dxa"/>
            <w:vAlign w:val="bottom"/>
            <w:vMerge w:val="continue"/>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vMerge w:val="continue"/>
            <w:shd w:val="clear" w:color="auto" w:fill="CCEEFF"/>
          </w:tcPr>
          <w:p>
            <w:pPr>
              <w:spacing w:after="0"/>
              <w:rPr>
                <w:sz w:val="3"/>
                <w:szCs w:val="3"/>
                <w:color w:val="auto"/>
              </w:rPr>
            </w:pPr>
          </w:p>
        </w:tc>
        <w:tc>
          <w:tcPr>
            <w:tcW w:w="500" w:type="dxa"/>
            <w:vAlign w:val="bottom"/>
            <w:vMerge w:val="continue"/>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 200,000</w:t>
            </w:r>
          </w:p>
        </w:tc>
        <w:tc>
          <w:tcPr>
            <w:tcW w:w="1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32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ind w:left="16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700" w:type="dxa"/>
            <w:vAlign w:val="bottom"/>
            <w:gridSpan w:val="5"/>
            <w:shd w:val="clear" w:color="auto" w:fill="CCEEFF"/>
          </w:tcPr>
          <w:p>
            <w:pPr>
              <w:ind w:left="10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$24.82</w:t>
            </w:r>
          </w:p>
        </w:tc>
        <w:tc>
          <w:tcPr>
            <w:tcW w:w="80" w:type="dxa"/>
            <w:vAlign w:val="bottom"/>
            <w:shd w:val="clear" w:color="auto" w:fill="CCEEFF"/>
          </w:tcPr>
          <w:p>
            <w:pPr>
              <w:jc w:val="right"/>
              <w:spacing w:after="0" w:line="170"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9"/>
                <w:szCs w:val="19"/>
                <w:color w:val="auto"/>
                <w:vertAlign w:val="subscript"/>
              </w:rPr>
              <w:t>​</w:t>
            </w:r>
          </w:p>
        </w:tc>
        <w:tc>
          <w:tcPr>
            <w:tcW w:w="60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0"/>
                <w:szCs w:val="10"/>
                <w:color w:val="auto"/>
              </w:rPr>
              <w:t>2/12/2028</w:t>
            </w:r>
            <w:r>
              <w:rPr>
                <w:rFonts w:ascii="Arial" w:cs="Arial" w:eastAsia="Arial" w:hAnsi="Arial"/>
                <w:sz w:val="19"/>
                <w:szCs w:val="19"/>
                <w:b w:val="1"/>
                <w:bCs w:val="1"/>
                <w:color w:val="auto"/>
                <w:vertAlign w:val="superscript"/>
              </w:rPr>
              <w:t>​</w:t>
            </w:r>
          </w:p>
        </w:tc>
        <w:tc>
          <w:tcPr>
            <w:tcW w:w="180" w:type="dxa"/>
            <w:vAlign w:val="bottom"/>
            <w:tcBorders>
              <w:right w:val="single" w:sz="8" w:color="CCEEFF"/>
            </w:tcBorders>
            <w:shd w:val="clear" w:color="auto" w:fill="CCEEFF"/>
          </w:tcPr>
          <w:p>
            <w:pPr>
              <w:ind w:left="10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4"/>
                <w:szCs w:val="14"/>
                <w:color w:val="auto"/>
              </w:rPr>
            </w:pPr>
          </w:p>
        </w:tc>
        <w:tc>
          <w:tcPr>
            <w:tcW w:w="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240" w:type="dxa"/>
            <w:vAlign w:val="bottom"/>
            <w:gridSpan w:val="2"/>
            <w:shd w:val="clear" w:color="auto" w:fill="CCEEFF"/>
          </w:tcPr>
          <w:p>
            <w:pPr>
              <w:ind w:left="10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10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5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1"/>
        </w:trPr>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ind w:left="300"/>
              <w:spacing w:after="0"/>
              <w:rPr>
                <w:sz w:val="20"/>
                <w:szCs w:val="20"/>
                <w:color w:val="auto"/>
              </w:rPr>
            </w:pPr>
            <w:r>
              <w:rPr>
                <w:rFonts w:ascii="Arial" w:cs="Arial" w:eastAsia="Arial" w:hAnsi="Arial"/>
                <w:sz w:val="11"/>
                <w:szCs w:val="11"/>
                <w:color w:val="auto"/>
                <w:w w:val="72"/>
              </w:rPr>
              <w:t>—</w:t>
            </w: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320"/>
              <w:spacing w:after="0" w:line="121"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ind w:left="160"/>
              <w:spacing w:after="0" w:line="121" w:lineRule="exact"/>
              <w:rPr>
                <w:sz w:val="20"/>
                <w:szCs w:val="20"/>
                <w:color w:val="auto"/>
              </w:rPr>
            </w:pPr>
            <w:r>
              <w:rPr>
                <w:rFonts w:ascii="Arial" w:cs="Arial" w:eastAsia="Arial" w:hAnsi="Arial"/>
                <w:sz w:val="12"/>
                <w:szCs w:val="12"/>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shd w:val="clear" w:color="auto" w:fill="CCEEFF"/>
          </w:tcPr>
          <w:p>
            <w:pPr>
              <w:ind w:lef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jc w:val="right"/>
              <w:spacing w:after="0"/>
              <w:rPr>
                <w:sz w:val="20"/>
                <w:szCs w:val="20"/>
                <w:color w:val="auto"/>
              </w:rPr>
            </w:pPr>
            <w:r>
              <w:rPr>
                <w:rFonts w:ascii="Arial" w:cs="Arial" w:eastAsia="Arial" w:hAnsi="Arial"/>
                <w:sz w:val="1"/>
                <w:szCs w:val="1"/>
                <w:b w:val="1"/>
                <w:bCs w:val="1"/>
                <w:color w:val="auto"/>
                <w:w w:val="4294942296"/>
              </w:rPr>
              <w:t>​</w:t>
            </w:r>
          </w:p>
        </w:tc>
        <w:tc>
          <w:tcPr>
            <w:tcW w:w="180" w:type="dxa"/>
            <w:vAlign w:val="bottom"/>
            <w:tcBorders>
              <w:right w:val="single" w:sz="8" w:color="CCEEFF"/>
            </w:tcBorders>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tcBorders>
              <w:left w:val="single" w:sz="8" w:color="CCEEFF"/>
            </w:tcBorders>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jc w:val="right"/>
              <w:ind w:right="2"/>
              <w:spacing w:after="0"/>
              <w:rPr>
                <w:sz w:val="20"/>
                <w:szCs w:val="20"/>
                <w:color w:val="auto"/>
              </w:rPr>
            </w:pPr>
            <w:r>
              <w:rPr>
                <w:rFonts w:ascii="Arial" w:cs="Arial" w:eastAsia="Arial" w:hAnsi="Arial"/>
                <w:sz w:val="8"/>
                <w:szCs w:val="8"/>
                <w:color w:val="auto"/>
                <w:w w:val="81"/>
              </w:rPr>
              <w:t>(6)</w:t>
            </w:r>
          </w:p>
        </w:tc>
        <w:tc>
          <w:tcPr>
            <w:tcW w:w="8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9"/>
        </w:trPr>
        <w:tc>
          <w:tcPr>
            <w:tcW w:w="2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0" w:type="dxa"/>
            <w:vAlign w:val="bottom"/>
            <w:gridSpan w:val="2"/>
            <w:shd w:val="clear" w:color="auto" w:fill="CCEEFF"/>
          </w:tcPr>
          <w:p>
            <w:pPr>
              <w:ind w:left="340"/>
              <w:spacing w:after="0" w:line="49" w:lineRule="exact"/>
              <w:rPr>
                <w:sz w:val="20"/>
                <w:szCs w:val="20"/>
                <w:color w:val="auto"/>
              </w:rPr>
            </w:pPr>
            <w:r>
              <w:rPr>
                <w:rFonts w:ascii="Arial" w:cs="Arial" w:eastAsia="Arial" w:hAnsi="Arial"/>
                <w:sz w:val="5"/>
                <w:szCs w:val="5"/>
                <w:color w:val="auto"/>
              </w:rPr>
              <w:t>​—</w:t>
            </w:r>
          </w:p>
        </w:tc>
        <w:tc>
          <w:tcPr>
            <w:tcW w:w="100" w:type="dxa"/>
            <w:vAlign w:val="bottom"/>
            <w:shd w:val="clear" w:color="auto" w:fill="CCEEFF"/>
          </w:tcPr>
          <w:p>
            <w:pPr>
              <w:spacing w:after="0"/>
              <w:rPr>
                <w:sz w:val="4"/>
                <w:szCs w:val="4"/>
                <w:color w:val="auto"/>
              </w:rPr>
            </w:pPr>
          </w:p>
        </w:tc>
        <w:tc>
          <w:tcPr>
            <w:tcW w:w="300" w:type="dxa"/>
            <w:vAlign w:val="bottom"/>
            <w:shd w:val="clear" w:color="auto" w:fill="CCEEFF"/>
          </w:tcPr>
          <w:p>
            <w:pPr>
              <w:ind w:left="160"/>
              <w:spacing w:after="0" w:line="49" w:lineRule="exact"/>
              <w:rPr>
                <w:sz w:val="20"/>
                <w:szCs w:val="20"/>
                <w:color w:val="auto"/>
              </w:rPr>
            </w:pPr>
            <w:r>
              <w:rPr>
                <w:rFonts w:ascii="Arial" w:cs="Arial" w:eastAsia="Arial" w:hAnsi="Arial"/>
                <w:sz w:val="5"/>
                <w:szCs w:val="5"/>
                <w:color w:val="auto"/>
              </w:rPr>
              <w:t>​</w:t>
            </w:r>
          </w:p>
        </w:tc>
        <w:tc>
          <w:tcPr>
            <w:tcW w:w="200" w:type="dxa"/>
            <w:vAlign w:val="bottom"/>
            <w:vMerge w:val="continue"/>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42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80" w:type="dxa"/>
            <w:vAlign w:val="bottom"/>
            <w:tcBorders>
              <w:right w:val="single" w:sz="8" w:color="CCEEFF"/>
            </w:tcBorders>
            <w:vMerge w:val="continue"/>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80" w:type="dxa"/>
            <w:vAlign w:val="bottom"/>
            <w:tcBorders>
              <w:right w:val="single" w:sz="8" w:color="CCEEFF"/>
            </w:tcBorders>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60" w:type="dxa"/>
            <w:vAlign w:val="bottom"/>
            <w:tcBorders>
              <w:left w:val="single" w:sz="8" w:color="CCEEFF"/>
            </w:tcBorders>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420" w:type="dxa"/>
            <w:vAlign w:val="bottom"/>
            <w:vMerge w:val="continue"/>
            <w:shd w:val="clear" w:color="auto" w:fill="CCEEFF"/>
          </w:tcPr>
          <w:p>
            <w:pPr>
              <w:spacing w:after="0"/>
              <w:rPr>
                <w:sz w:val="4"/>
                <w:szCs w:val="4"/>
                <w:color w:val="auto"/>
              </w:rPr>
            </w:pPr>
          </w:p>
        </w:tc>
        <w:tc>
          <w:tcPr>
            <w:tcW w:w="60" w:type="dxa"/>
            <w:vAlign w:val="bottom"/>
            <w:tcBorders>
              <w:left w:val="single" w:sz="8" w:color="CCEEFF"/>
            </w:tcBorders>
            <w:shd w:val="clear" w:color="auto" w:fill="CCEEFF"/>
          </w:tcPr>
          <w:p>
            <w:pPr>
              <w:spacing w:after="0"/>
              <w:rPr>
                <w:sz w:val="4"/>
                <w:szCs w:val="4"/>
                <w:color w:val="auto"/>
              </w:rPr>
            </w:pPr>
          </w:p>
        </w:tc>
        <w:tc>
          <w:tcPr>
            <w:tcW w:w="540" w:type="dxa"/>
            <w:vAlign w:val="bottom"/>
            <w:gridSpan w:val="2"/>
            <w:shd w:val="clear" w:color="auto" w:fill="CCEEFF"/>
          </w:tcPr>
          <w:p>
            <w:pPr>
              <w:ind w:left="100"/>
              <w:spacing w:after="0" w:line="49" w:lineRule="exact"/>
              <w:rPr>
                <w:sz w:val="20"/>
                <w:szCs w:val="20"/>
                <w:color w:val="auto"/>
              </w:rPr>
            </w:pPr>
            <w:r>
              <w:rPr>
                <w:rFonts w:ascii="Arial" w:cs="Arial" w:eastAsia="Arial" w:hAnsi="Arial"/>
                <w:sz w:val="5"/>
                <w:szCs w:val="5"/>
                <w:color w:val="auto"/>
              </w:rPr>
              <w:t>​ 40,000</w:t>
            </w:r>
          </w:p>
        </w:tc>
        <w:tc>
          <w:tcPr>
            <w:tcW w:w="140" w:type="dxa"/>
            <w:vAlign w:val="bottom"/>
            <w:tcBorders>
              <w:right w:val="single" w:sz="8" w:color="CCEEFF"/>
            </w:tcBorders>
            <w:shd w:val="clear" w:color="auto" w:fill="CCEEFF"/>
          </w:tcPr>
          <w:p>
            <w:pPr>
              <w:spacing w:after="0"/>
              <w:rPr>
                <w:sz w:val="4"/>
                <w:szCs w:val="4"/>
                <w:color w:val="auto"/>
              </w:rPr>
            </w:pPr>
          </w:p>
        </w:tc>
        <w:tc>
          <w:tcPr>
            <w:tcW w:w="80" w:type="dxa"/>
            <w:vAlign w:val="bottom"/>
            <w:tcBorders>
              <w:left w:val="single" w:sz="8" w:color="CCEEFF"/>
            </w:tcBorders>
            <w:shd w:val="clear" w:color="auto" w:fill="CCEEFF"/>
          </w:tcPr>
          <w:p>
            <w:pPr>
              <w:spacing w:after="0"/>
              <w:rPr>
                <w:sz w:val="4"/>
                <w:szCs w:val="4"/>
                <w:color w:val="auto"/>
              </w:rPr>
            </w:pPr>
          </w:p>
        </w:tc>
        <w:tc>
          <w:tcPr>
            <w:tcW w:w="720" w:type="dxa"/>
            <w:vAlign w:val="bottom"/>
            <w:gridSpan w:val="4"/>
            <w:shd w:val="clear" w:color="auto" w:fill="CCEEFF"/>
          </w:tcPr>
          <w:p>
            <w:pPr>
              <w:ind w:left="120"/>
              <w:spacing w:after="0" w:line="49" w:lineRule="exact"/>
              <w:rPr>
                <w:sz w:val="20"/>
                <w:szCs w:val="20"/>
                <w:color w:val="auto"/>
              </w:rPr>
            </w:pPr>
            <w:r>
              <w:rPr>
                <w:rFonts w:ascii="Arial" w:cs="Arial" w:eastAsia="Arial" w:hAnsi="Arial"/>
                <w:sz w:val="5"/>
                <w:szCs w:val="5"/>
                <w:color w:val="auto"/>
              </w:rPr>
              <w:t>$26,296</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400" w:type="dxa"/>
            <w:vAlign w:val="bottom"/>
            <w:shd w:val="clear" w:color="auto" w:fill="CCEEFF"/>
          </w:tcPr>
          <w:p>
            <w:pPr>
              <w:ind w:left="300"/>
              <w:spacing w:after="0"/>
              <w:rPr>
                <w:sz w:val="20"/>
                <w:szCs w:val="20"/>
                <w:color w:val="auto"/>
              </w:rPr>
            </w:pPr>
            <w:r>
              <w:rPr>
                <w:rFonts w:ascii="Arial" w:cs="Arial" w:eastAsia="Arial" w:hAnsi="Arial"/>
                <w:sz w:val="11"/>
                <w:szCs w:val="11"/>
                <w:color w:val="auto"/>
                <w:w w:val="72"/>
              </w:rPr>
              <w:t>—</w:t>
            </w: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32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ind w:left="16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80" w:type="dxa"/>
            <w:vAlign w:val="bottom"/>
            <w:gridSpan w:val="3"/>
            <w:shd w:val="clear" w:color="auto" w:fill="CCEEFF"/>
          </w:tcPr>
          <w:p>
            <w:pPr>
              <w:ind w:left="10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line="170"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9"/>
                <w:szCs w:val="19"/>
                <w:color w:val="auto"/>
                <w:vertAlign w:val="subscript"/>
              </w:rPr>
              <w:t>​</w:t>
            </w:r>
          </w:p>
        </w:tc>
        <w:tc>
          <w:tcPr>
            <w:tcW w:w="60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b w:val="1"/>
                <w:bCs w:val="1"/>
                <w:color w:val="auto"/>
              </w:rPr>
              <w:t>​</w:t>
            </w:r>
          </w:p>
        </w:tc>
        <w:tc>
          <w:tcPr>
            <w:tcW w:w="180" w:type="dxa"/>
            <w:vAlign w:val="bottom"/>
            <w:tcBorders>
              <w:right w:val="single" w:sz="8" w:color="CCEEFF"/>
            </w:tcBorders>
            <w:shd w:val="clear" w:color="auto" w:fill="CCEEFF"/>
          </w:tcPr>
          <w:p>
            <w:pPr>
              <w:ind w:left="10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240" w:type="dxa"/>
            <w:vAlign w:val="bottom"/>
            <w:gridSpan w:val="2"/>
            <w:shd w:val="clear" w:color="auto" w:fill="CCEEFF"/>
          </w:tcPr>
          <w:p>
            <w:pPr>
              <w:ind w:left="10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4"/>
            <w:shd w:val="clear" w:color="auto" w:fill="CCEEFF"/>
          </w:tcPr>
          <w:p>
            <w:pPr>
              <w:ind w:left="10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 40,974</w:t>
            </w:r>
            <w:r>
              <w:rPr>
                <w:rFonts w:ascii="Arial" w:cs="Arial" w:eastAsia="Arial" w:hAnsi="Arial"/>
                <w:sz w:val="13"/>
                <w:szCs w:val="13"/>
                <w:color w:val="auto"/>
                <w:vertAlign w:val="superscript"/>
              </w:rPr>
              <w:t>(13)</w:t>
            </w: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640" w:type="dxa"/>
            <w:vAlign w:val="bottom"/>
            <w:gridSpan w:val="3"/>
            <w:shd w:val="clear" w:color="auto" w:fill="CCEEFF"/>
          </w:tcPr>
          <w:p>
            <w:pPr>
              <w:ind w:left="2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$26,936</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02"/>
        </w:trPr>
        <w:tc>
          <w:tcPr>
            <w:tcW w:w="26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6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line="102" w:lineRule="exact"/>
              <w:rPr>
                <w:sz w:val="20"/>
                <w:szCs w:val="20"/>
                <w:color w:val="auto"/>
              </w:rPr>
            </w:pPr>
            <w:r>
              <w:rPr>
                <w:rFonts w:ascii="Arial" w:cs="Arial" w:eastAsia="Arial" w:hAnsi="Arial"/>
                <w:sz w:val="11"/>
                <w:szCs w:val="11"/>
                <w:color w:val="auto"/>
              </w:rPr>
              <w:t>​</w:t>
            </w:r>
          </w:p>
        </w:tc>
        <w:tc>
          <w:tcPr>
            <w:tcW w:w="400" w:type="dxa"/>
            <w:vAlign w:val="bottom"/>
            <w:vMerge w:val="restart"/>
            <w:shd w:val="clear" w:color="auto" w:fill="CCEEFF"/>
          </w:tcPr>
          <w:p>
            <w:pPr>
              <w:ind w:left="300"/>
              <w:spacing w:after="0"/>
              <w:rPr>
                <w:sz w:val="20"/>
                <w:szCs w:val="20"/>
                <w:color w:val="auto"/>
              </w:rPr>
            </w:pPr>
            <w:r>
              <w:rPr>
                <w:rFonts w:ascii="Arial" w:cs="Arial" w:eastAsia="Arial" w:hAnsi="Arial"/>
                <w:sz w:val="11"/>
                <w:szCs w:val="11"/>
                <w:color w:val="auto"/>
                <w:w w:val="72"/>
              </w:rPr>
              <w:t>—</w:t>
            </w:r>
          </w:p>
        </w:tc>
        <w:tc>
          <w:tcPr>
            <w:tcW w:w="140" w:type="dxa"/>
            <w:vAlign w:val="bottom"/>
            <w:tcBorders>
              <w:right w:val="single" w:sz="8" w:color="CCEEFF"/>
            </w:tcBorders>
            <w:shd w:val="clear" w:color="auto" w:fill="CCEEFF"/>
          </w:tcPr>
          <w:p>
            <w:pPr>
              <w:spacing w:after="0"/>
              <w:rPr>
                <w:sz w:val="8"/>
                <w:szCs w:val="8"/>
                <w:color w:val="auto"/>
              </w:rPr>
            </w:pPr>
          </w:p>
        </w:tc>
        <w:tc>
          <w:tcPr>
            <w:tcW w:w="6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460" w:type="dxa"/>
            <w:vAlign w:val="bottom"/>
          </w:tcPr>
          <w:p>
            <w:pPr>
              <w:ind w:left="320"/>
              <w:spacing w:after="0" w:line="102" w:lineRule="exact"/>
              <w:rPr>
                <w:sz w:val="20"/>
                <w:szCs w:val="20"/>
                <w:color w:val="auto"/>
              </w:rPr>
            </w:pPr>
            <w:r>
              <w:rPr>
                <w:rFonts w:ascii="Arial" w:cs="Arial" w:eastAsia="Arial" w:hAnsi="Arial"/>
                <w:sz w:val="11"/>
                <w:szCs w:val="11"/>
                <w:color w:val="auto"/>
              </w:rPr>
              <w:t>​</w:t>
            </w:r>
          </w:p>
        </w:tc>
        <w:tc>
          <w:tcPr>
            <w:tcW w:w="340" w:type="dxa"/>
            <w:vAlign w:val="bottom"/>
          </w:tcPr>
          <w:p>
            <w:pPr>
              <w:spacing w:after="0"/>
              <w:rPr>
                <w:sz w:val="8"/>
                <w:szCs w:val="8"/>
                <w:color w:val="auto"/>
              </w:rPr>
            </w:pPr>
          </w:p>
        </w:tc>
        <w:tc>
          <w:tcPr>
            <w:tcW w:w="100" w:type="dxa"/>
            <w:vAlign w:val="bottom"/>
          </w:tcPr>
          <w:p>
            <w:pPr>
              <w:ind w:left="40"/>
              <w:spacing w:after="0" w:line="102" w:lineRule="exact"/>
              <w:rPr>
                <w:sz w:val="20"/>
                <w:szCs w:val="20"/>
                <w:color w:val="auto"/>
              </w:rPr>
            </w:pPr>
            <w:r>
              <w:rPr>
                <w:rFonts w:ascii="Arial" w:cs="Arial" w:eastAsia="Arial" w:hAnsi="Arial"/>
                <w:sz w:val="11"/>
                <w:szCs w:val="11"/>
                <w:color w:val="auto"/>
              </w:rPr>
              <w:t>​​</w:t>
            </w:r>
          </w:p>
        </w:tc>
        <w:tc>
          <w:tcPr>
            <w:tcW w:w="300" w:type="dxa"/>
            <w:vAlign w:val="bottom"/>
          </w:tcPr>
          <w:p>
            <w:pPr>
              <w:ind w:left="160"/>
              <w:spacing w:after="0" w:line="102" w:lineRule="exact"/>
              <w:rPr>
                <w:sz w:val="20"/>
                <w:szCs w:val="20"/>
                <w:color w:val="auto"/>
              </w:rPr>
            </w:pPr>
            <w:r>
              <w:rPr>
                <w:rFonts w:ascii="Arial" w:cs="Arial" w:eastAsia="Arial" w:hAnsi="Arial"/>
                <w:sz w:val="11"/>
                <w:szCs w:val="11"/>
                <w:color w:val="auto"/>
              </w:rPr>
              <w:t>​</w:t>
            </w: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8"/>
                <w:szCs w:val="8"/>
                <w:color w:val="auto"/>
              </w:rPr>
            </w:pPr>
          </w:p>
        </w:tc>
        <w:tc>
          <w:tcPr>
            <w:tcW w:w="14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180" w:type="dxa"/>
            <w:vAlign w:val="bottom"/>
            <w:gridSpan w:val="2"/>
          </w:tcPr>
          <w:p>
            <w:pPr>
              <w:ind w:left="100"/>
              <w:spacing w:after="0" w:line="102" w:lineRule="exact"/>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18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380" w:type="dxa"/>
            <w:vAlign w:val="bottom"/>
          </w:tcPr>
          <w:p>
            <w:pPr>
              <w:spacing w:after="0"/>
              <w:rPr>
                <w:sz w:val="8"/>
                <w:szCs w:val="8"/>
                <w:color w:val="auto"/>
              </w:rPr>
            </w:pPr>
          </w:p>
        </w:tc>
        <w:tc>
          <w:tcPr>
            <w:tcW w:w="140" w:type="dxa"/>
            <w:vAlign w:val="bottom"/>
          </w:tcPr>
          <w:p>
            <w:pPr>
              <w:jc w:val="right"/>
              <w:spacing w:after="0"/>
              <w:rPr>
                <w:sz w:val="20"/>
                <w:szCs w:val="20"/>
                <w:color w:val="auto"/>
              </w:rPr>
            </w:pPr>
            <w:r>
              <w:rPr>
                <w:rFonts w:ascii="Arial" w:cs="Arial" w:eastAsia="Arial" w:hAnsi="Arial"/>
                <w:sz w:val="6"/>
                <w:szCs w:val="6"/>
                <w:color w:val="auto"/>
                <w:w w:val="93"/>
              </w:rPr>
              <w:t>(12)</w:t>
            </w:r>
          </w:p>
        </w:tc>
        <w:tc>
          <w:tcPr>
            <w:tcW w:w="6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8"/>
                <w:szCs w:val="8"/>
                <w:color w:val="auto"/>
              </w:rPr>
            </w:pPr>
          </w:p>
        </w:tc>
        <w:tc>
          <w:tcPr>
            <w:tcW w:w="8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100" w:type="dxa"/>
            <w:vAlign w:val="bottom"/>
          </w:tcPr>
          <w:p>
            <w:pPr>
              <w:ind w:left="20"/>
              <w:spacing w:after="0" w:line="102" w:lineRule="exact"/>
              <w:rPr>
                <w:sz w:val="20"/>
                <w:szCs w:val="20"/>
                <w:color w:val="auto"/>
              </w:rPr>
            </w:pPr>
            <w:r>
              <w:rPr>
                <w:rFonts w:ascii="Arial" w:cs="Arial" w:eastAsia="Arial" w:hAnsi="Arial"/>
                <w:sz w:val="11"/>
                <w:szCs w:val="11"/>
                <w:color w:val="auto"/>
              </w:rPr>
              <w:t>​</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500" w:type="dxa"/>
            <w:vAlign w:val="bottom"/>
            <w:vMerge w:val="restart"/>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0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49"/>
        </w:trPr>
        <w:tc>
          <w:tcPr>
            <w:tcW w:w="2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ind w:left="340"/>
              <w:spacing w:after="0" w:line="49" w:lineRule="exact"/>
              <w:rPr>
                <w:sz w:val="20"/>
                <w:szCs w:val="20"/>
                <w:color w:val="auto"/>
              </w:rPr>
            </w:pPr>
            <w:r>
              <w:rPr>
                <w:rFonts w:ascii="Arial" w:cs="Arial" w:eastAsia="Arial" w:hAnsi="Arial"/>
                <w:sz w:val="5"/>
                <w:szCs w:val="5"/>
                <w:color w:val="auto"/>
              </w:rPr>
              <w:t>​—</w:t>
            </w: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ind w:left="160"/>
              <w:spacing w:after="0" w:line="49" w:lineRule="exact"/>
              <w:rPr>
                <w:sz w:val="20"/>
                <w:szCs w:val="20"/>
                <w:color w:val="auto"/>
              </w:rPr>
            </w:pPr>
            <w:r>
              <w:rPr>
                <w:rFonts w:ascii="Arial" w:cs="Arial" w:eastAsia="Arial" w:hAnsi="Arial"/>
                <w:sz w:val="5"/>
                <w:szCs w:val="5"/>
                <w:color w:val="auto"/>
              </w:rPr>
              <w:t>​</w:t>
            </w:r>
          </w:p>
        </w:tc>
        <w:tc>
          <w:tcPr>
            <w:tcW w:w="2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8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gridSpan w:val="2"/>
          </w:tcPr>
          <w:p>
            <w:pPr>
              <w:ind w:left="100"/>
              <w:spacing w:after="0" w:line="49" w:lineRule="exact"/>
              <w:rPr>
                <w:sz w:val="20"/>
                <w:szCs w:val="20"/>
                <w:color w:val="auto"/>
              </w:rPr>
            </w:pPr>
            <w:r>
              <w:rPr>
                <w:rFonts w:ascii="Arial" w:cs="Arial" w:eastAsia="Arial" w:hAnsi="Arial"/>
                <w:sz w:val="5"/>
                <w:szCs w:val="5"/>
                <w:color w:val="auto"/>
              </w:rPr>
              <w:t>​ 13,659</w:t>
            </w: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3"/>
          </w:tcPr>
          <w:p>
            <w:pPr>
              <w:ind w:left="100"/>
              <w:spacing w:after="0" w:line="49" w:lineRule="exact"/>
              <w:rPr>
                <w:sz w:val="20"/>
                <w:szCs w:val="20"/>
                <w:color w:val="auto"/>
              </w:rPr>
            </w:pPr>
            <w:r>
              <w:rPr>
                <w:rFonts w:ascii="Arial" w:cs="Arial" w:eastAsia="Arial" w:hAnsi="Arial"/>
                <w:sz w:val="5"/>
                <w:szCs w:val="5"/>
                <w:color w:val="auto"/>
              </w:rPr>
              <w:t>$ 8,979</w:t>
            </w:r>
          </w:p>
        </w:tc>
        <w:tc>
          <w:tcPr>
            <w:tcW w:w="60" w:type="dxa"/>
            <w:vAlign w:val="bottom"/>
          </w:tcPr>
          <w:p>
            <w:pPr>
              <w:spacing w:after="0"/>
              <w:rPr>
                <w:sz w:val="4"/>
                <w:szCs w:val="4"/>
                <w:color w:val="auto"/>
              </w:rPr>
            </w:pPr>
          </w:p>
        </w:tc>
        <w:tc>
          <w:tcPr>
            <w:tcW w:w="14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ind w:left="300"/>
              <w:spacing w:after="0"/>
              <w:rPr>
                <w:sz w:val="20"/>
                <w:szCs w:val="20"/>
                <w:color w:val="auto"/>
              </w:rPr>
            </w:pPr>
            <w:r>
              <w:rPr>
                <w:rFonts w:ascii="Arial" w:cs="Arial" w:eastAsia="Arial" w:hAnsi="Arial"/>
                <w:sz w:val="11"/>
                <w:szCs w:val="11"/>
                <w:color w:val="auto"/>
                <w:w w:val="72"/>
              </w:rPr>
              <w:t>—</w:t>
            </w: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460" w:type="dxa"/>
            <w:vAlign w:val="bottom"/>
          </w:tcPr>
          <w:p>
            <w:pPr>
              <w:ind w:left="320"/>
              <w:spacing w:after="0" w:line="121"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ind w:left="160"/>
              <w:spacing w:after="0" w:line="121" w:lineRule="exact"/>
              <w:rPr>
                <w:sz w:val="20"/>
                <w:szCs w:val="20"/>
                <w:color w:val="auto"/>
              </w:rPr>
            </w:pPr>
            <w:r>
              <w:rPr>
                <w:rFonts w:ascii="Arial" w:cs="Arial" w:eastAsia="Arial" w:hAnsi="Arial"/>
                <w:sz w:val="12"/>
                <w:szCs w:val="12"/>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shd w:val="clear" w:color="auto" w:fill="CCEEFF"/>
          </w:tcPr>
          <w:p>
            <w:pPr>
              <w:ind w:lef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jc w:val="right"/>
              <w:spacing w:after="0"/>
              <w:rPr>
                <w:sz w:val="20"/>
                <w:szCs w:val="20"/>
                <w:color w:val="auto"/>
              </w:rPr>
            </w:pPr>
            <w:r>
              <w:rPr>
                <w:rFonts w:ascii="Arial" w:cs="Arial" w:eastAsia="Arial" w:hAnsi="Arial"/>
                <w:sz w:val="1"/>
                <w:szCs w:val="1"/>
                <w:b w:val="1"/>
                <w:bCs w:val="1"/>
                <w:color w:val="auto"/>
                <w:w w:val="4294942296"/>
              </w:rPr>
              <w:t>​</w:t>
            </w:r>
          </w:p>
        </w:tc>
        <w:tc>
          <w:tcPr>
            <w:tcW w:w="180" w:type="dxa"/>
            <w:vAlign w:val="bottom"/>
            <w:tcBorders>
              <w:right w:val="single" w:sz="8" w:color="CCEEFF"/>
            </w:tcBorders>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6"/>
                <w:szCs w:val="6"/>
                <w:color w:val="auto"/>
                <w:w w:val="93"/>
              </w:rPr>
              <w:t>(14)</w:t>
            </w:r>
          </w:p>
        </w:tc>
        <w:tc>
          <w:tcPr>
            <w:tcW w:w="60" w:type="dxa"/>
            <w:vAlign w:val="bottom"/>
            <w:tcBorders>
              <w:left w:val="single" w:sz="8" w:color="CCEEFF"/>
            </w:tcBorders>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w:t>
            </w:r>
          </w:p>
        </w:tc>
        <w:tc>
          <w:tcPr>
            <w:tcW w:w="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50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68"/>
        </w:trPr>
        <w:tc>
          <w:tcPr>
            <w:tcW w:w="2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ind w:left="340"/>
              <w:spacing w:after="0" w:line="49" w:lineRule="exact"/>
              <w:rPr>
                <w:sz w:val="20"/>
                <w:szCs w:val="20"/>
                <w:color w:val="auto"/>
              </w:rPr>
            </w:pPr>
            <w:r>
              <w:rPr>
                <w:rFonts w:ascii="Arial" w:cs="Arial" w:eastAsia="Arial" w:hAnsi="Arial"/>
                <w:sz w:val="5"/>
                <w:szCs w:val="5"/>
                <w:color w:val="auto"/>
              </w:rPr>
              <w:t>​—</w:t>
            </w:r>
          </w:p>
        </w:tc>
        <w:tc>
          <w:tcPr>
            <w:tcW w:w="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ind w:left="160"/>
              <w:spacing w:after="0" w:line="49" w:lineRule="exact"/>
              <w:rPr>
                <w:sz w:val="20"/>
                <w:szCs w:val="20"/>
                <w:color w:val="auto"/>
              </w:rPr>
            </w:pPr>
            <w:r>
              <w:rPr>
                <w:rFonts w:ascii="Arial" w:cs="Arial" w:eastAsia="Arial" w:hAnsi="Arial"/>
                <w:sz w:val="5"/>
                <w:szCs w:val="5"/>
                <w:color w:val="auto"/>
              </w:rPr>
              <w:t>​</w:t>
            </w:r>
          </w:p>
        </w:tc>
        <w:tc>
          <w:tcPr>
            <w:tcW w:w="20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42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80" w:type="dxa"/>
            <w:vAlign w:val="bottom"/>
            <w:tcBorders>
              <w:right w:val="single" w:sz="8" w:color="CCEEFF"/>
            </w:tcBorders>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560" w:type="dxa"/>
            <w:vAlign w:val="bottom"/>
            <w:gridSpan w:val="2"/>
            <w:shd w:val="clear" w:color="auto" w:fill="CCEEFF"/>
          </w:tcPr>
          <w:p>
            <w:pPr>
              <w:ind w:left="100"/>
              <w:spacing w:after="0" w:line="49" w:lineRule="exact"/>
              <w:rPr>
                <w:sz w:val="20"/>
                <w:szCs w:val="20"/>
                <w:color w:val="auto"/>
              </w:rPr>
            </w:pPr>
            <w:r>
              <w:rPr>
                <w:rFonts w:ascii="Arial" w:cs="Arial" w:eastAsia="Arial" w:hAnsi="Arial"/>
                <w:sz w:val="5"/>
                <w:szCs w:val="5"/>
                <w:color w:val="auto"/>
              </w:rPr>
              <w:t>​ 25,904</w:t>
            </w:r>
          </w:p>
        </w:tc>
        <w:tc>
          <w:tcPr>
            <w:tcW w:w="140" w:type="dxa"/>
            <w:vAlign w:val="bottom"/>
            <w:tcBorders>
              <w:right w:val="single" w:sz="8" w:color="CCEEFF"/>
            </w:tcBorders>
            <w:shd w:val="clear" w:color="auto" w:fill="CCEEFF"/>
          </w:tcPr>
          <w:p>
            <w:pPr>
              <w:spacing w:after="0"/>
              <w:rPr>
                <w:sz w:val="5"/>
                <w:szCs w:val="5"/>
                <w:color w:val="auto"/>
              </w:rPr>
            </w:pPr>
          </w:p>
        </w:tc>
        <w:tc>
          <w:tcPr>
            <w:tcW w:w="60" w:type="dxa"/>
            <w:vAlign w:val="bottom"/>
            <w:tcBorders>
              <w:left w:val="single" w:sz="8" w:color="CCEEFF"/>
            </w:tcBorders>
            <w:shd w:val="clear" w:color="auto" w:fill="CCEEFF"/>
          </w:tcPr>
          <w:p>
            <w:pPr>
              <w:spacing w:after="0"/>
              <w:rPr>
                <w:sz w:val="5"/>
                <w:szCs w:val="5"/>
                <w:color w:val="auto"/>
              </w:rPr>
            </w:pPr>
          </w:p>
        </w:tc>
        <w:tc>
          <w:tcPr>
            <w:tcW w:w="660" w:type="dxa"/>
            <w:vAlign w:val="bottom"/>
            <w:gridSpan w:val="3"/>
            <w:shd w:val="clear" w:color="auto" w:fill="CCEEFF"/>
          </w:tcPr>
          <w:p>
            <w:pPr>
              <w:ind w:left="100"/>
              <w:spacing w:after="0" w:line="49" w:lineRule="exact"/>
              <w:rPr>
                <w:sz w:val="20"/>
                <w:szCs w:val="20"/>
                <w:color w:val="auto"/>
              </w:rPr>
            </w:pPr>
            <w:r>
              <w:rPr>
                <w:rFonts w:ascii="Arial" w:cs="Arial" w:eastAsia="Arial" w:hAnsi="Arial"/>
                <w:sz w:val="5"/>
                <w:szCs w:val="5"/>
                <w:color w:val="auto"/>
              </w:rPr>
              <w:t>$17,029</w:t>
            </w:r>
          </w:p>
        </w:tc>
        <w:tc>
          <w:tcPr>
            <w:tcW w:w="60" w:type="dxa"/>
            <w:vAlign w:val="bottom"/>
            <w:tcBorders>
              <w:left w:val="single" w:sz="8" w:color="CCEEFF"/>
            </w:tcBorders>
            <w:shd w:val="clear" w:color="auto" w:fill="CCEEFF"/>
          </w:tcPr>
          <w:p>
            <w:pPr>
              <w:spacing w:after="0"/>
              <w:rPr>
                <w:sz w:val="5"/>
                <w:szCs w:val="5"/>
                <w:color w:val="auto"/>
              </w:rPr>
            </w:pPr>
          </w:p>
        </w:tc>
        <w:tc>
          <w:tcPr>
            <w:tcW w:w="140" w:type="dxa"/>
            <w:vAlign w:val="bottom"/>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80" w:type="dxa"/>
            <w:vAlign w:val="bottom"/>
            <w:tcBorders>
              <w:left w:val="single" w:sz="8" w:color="CCEEFF"/>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 w:type="dxa"/>
            <w:vAlign w:val="bottom"/>
            <w:vMerge w:val="continue"/>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w:t>
            </w:r>
          </w:p>
        </w:tc>
        <w:tc>
          <w:tcPr>
            <w:tcW w:w="400" w:type="dxa"/>
            <w:vAlign w:val="bottom"/>
            <w:shd w:val="clear" w:color="auto" w:fill="CCEEFF"/>
          </w:tcPr>
          <w:p>
            <w:pPr>
              <w:ind w:left="300"/>
              <w:spacing w:after="0"/>
              <w:rPr>
                <w:sz w:val="20"/>
                <w:szCs w:val="20"/>
                <w:color w:val="auto"/>
              </w:rPr>
            </w:pPr>
            <w:r>
              <w:rPr>
                <w:rFonts w:ascii="Arial" w:cs="Arial" w:eastAsia="Arial" w:hAnsi="Arial"/>
                <w:sz w:val="11"/>
                <w:szCs w:val="11"/>
                <w:color w:val="auto"/>
                <w:w w:val="72"/>
              </w:rPr>
              <w:t>—</w:t>
            </w:r>
          </w:p>
        </w:tc>
        <w:tc>
          <w:tcPr>
            <w:tcW w:w="140" w:type="dxa"/>
            <w:vAlign w:val="bottom"/>
            <w:tcBorders>
              <w:right w:val="single" w:sz="8" w:color="CCEEFF"/>
            </w:tcBorders>
            <w:shd w:val="clear" w:color="auto" w:fill="CCEEFF"/>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460" w:type="dxa"/>
            <w:vAlign w:val="bottom"/>
          </w:tcPr>
          <w:p>
            <w:pPr>
              <w:ind w:left="32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w:t>
            </w:r>
          </w:p>
        </w:tc>
        <w:tc>
          <w:tcPr>
            <w:tcW w:w="340" w:type="dxa"/>
            <w:vAlign w:val="bottom"/>
          </w:tcPr>
          <w:p>
            <w:pPr>
              <w:spacing w:after="0"/>
              <w:rPr>
                <w:sz w:val="13"/>
                <w:szCs w:val="13"/>
                <w:color w:val="auto"/>
              </w:rPr>
            </w:pPr>
          </w:p>
        </w:tc>
        <w:tc>
          <w:tcPr>
            <w:tcW w:w="100" w:type="dxa"/>
            <w:vAlign w:val="bottom"/>
          </w:tcPr>
          <w:p>
            <w:pPr>
              <w:ind w:left="40"/>
              <w:spacing w:after="0"/>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280" w:type="dxa"/>
            <w:vAlign w:val="bottom"/>
            <w:gridSpan w:val="3"/>
          </w:tcPr>
          <w:p>
            <w:pPr>
              <w:ind w:left="10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 xml:space="preserve"> ​</w:t>
            </w:r>
          </w:p>
        </w:tc>
        <w:tc>
          <w:tcPr>
            <w:tcW w:w="4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50" w:lineRule="exact"/>
              <w:rPr>
                <w:sz w:val="20"/>
                <w:szCs w:val="20"/>
                <w:color w:val="auto"/>
              </w:rPr>
            </w:pPr>
            <w:r>
              <w:rPr>
                <w:rFonts w:ascii="Arial" w:cs="Arial" w:eastAsia="Arial" w:hAnsi="Arial"/>
                <w:sz w:val="17"/>
                <w:szCs w:val="17"/>
                <w:b w:val="1"/>
                <w:bCs w:val="1"/>
                <w:color w:val="auto"/>
                <w:vertAlign w:val="superscript"/>
              </w:rPr>
              <w:t>​</w:t>
            </w:r>
            <w:r>
              <w:rPr>
                <w:rFonts w:ascii="Arial" w:cs="Arial" w:eastAsia="Arial" w:hAnsi="Arial"/>
                <w:sz w:val="10"/>
                <w:szCs w:val="10"/>
                <w:color w:val="auto"/>
              </w:rPr>
              <w:t>​</w:t>
            </w:r>
          </w:p>
        </w:tc>
        <w:tc>
          <w:tcPr>
            <w:tcW w:w="600" w:type="dxa"/>
            <w:vAlign w:val="bottom"/>
            <w:gridSpan w:val="2"/>
          </w:tcPr>
          <w:p>
            <w:pPr>
              <w:jc w:val="right"/>
              <w:spacing w:after="0" w:line="150" w:lineRule="exact"/>
              <w:rPr>
                <w:sz w:val="20"/>
                <w:szCs w:val="20"/>
                <w:color w:val="auto"/>
              </w:rPr>
            </w:pPr>
            <w:r>
              <w:rPr>
                <w:rFonts w:ascii="Arial" w:cs="Arial" w:eastAsia="Arial" w:hAnsi="Arial"/>
                <w:sz w:val="10"/>
                <w:szCs w:val="10"/>
                <w:color w:val="auto"/>
              </w:rPr>
              <w:t>—</w:t>
            </w:r>
            <w:r>
              <w:rPr>
                <w:rFonts w:ascii="Arial" w:cs="Arial" w:eastAsia="Arial" w:hAnsi="Arial"/>
                <w:sz w:val="17"/>
                <w:szCs w:val="17"/>
                <w:b w:val="1"/>
                <w:bCs w:val="1"/>
                <w:color w:val="auto"/>
                <w:vertAlign w:val="superscript"/>
              </w:rPr>
              <w:t>​</w:t>
            </w:r>
          </w:p>
        </w:tc>
        <w:tc>
          <w:tcPr>
            <w:tcW w:w="180" w:type="dxa"/>
            <w:vAlign w:val="bottom"/>
          </w:tcPr>
          <w:p>
            <w:pPr>
              <w:ind w:left="10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gridSpan w:val="2"/>
          </w:tcPr>
          <w:p>
            <w:pPr>
              <w:ind w:left="10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 xml:space="preserve"> ​</w:t>
            </w: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4"/>
          </w:tcPr>
          <w:p>
            <w:pPr>
              <w:ind w:left="100"/>
              <w:spacing w:after="0" w:line="150"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 51,218</w:t>
            </w:r>
            <w:r>
              <w:rPr>
                <w:rFonts w:ascii="Arial" w:cs="Arial" w:eastAsia="Arial" w:hAnsi="Arial"/>
                <w:sz w:val="12"/>
                <w:szCs w:val="12"/>
                <w:color w:val="auto"/>
                <w:vertAlign w:val="superscript"/>
              </w:rPr>
              <w:t>(16)</w:t>
            </w:r>
            <w:r>
              <w:rPr>
                <w:rFonts w:ascii="Arial" w:cs="Arial" w:eastAsia="Arial" w:hAnsi="Arial"/>
                <w:sz w:val="10"/>
                <w:szCs w:val="10"/>
                <w:color w:val="auto"/>
              </w:rPr>
              <w:t>​​</w:t>
            </w:r>
          </w:p>
        </w:tc>
        <w:tc>
          <w:tcPr>
            <w:tcW w:w="80" w:type="dxa"/>
            <w:vAlign w:val="bottom"/>
          </w:tcPr>
          <w:p>
            <w:pPr>
              <w:spacing w:after="0"/>
              <w:rPr>
                <w:sz w:val="13"/>
                <w:szCs w:val="13"/>
                <w:color w:val="auto"/>
              </w:rPr>
            </w:pPr>
          </w:p>
        </w:tc>
        <w:tc>
          <w:tcPr>
            <w:tcW w:w="640" w:type="dxa"/>
            <w:vAlign w:val="bottom"/>
            <w:gridSpan w:val="3"/>
          </w:tcPr>
          <w:p>
            <w:pPr>
              <w:ind w:left="2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$33,671</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1"/>
        </w:trPr>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ind w:left="300"/>
              <w:spacing w:after="0"/>
              <w:rPr>
                <w:sz w:val="20"/>
                <w:szCs w:val="20"/>
                <w:color w:val="auto"/>
              </w:rPr>
            </w:pPr>
            <w:r>
              <w:rPr>
                <w:rFonts w:ascii="Arial" w:cs="Arial" w:eastAsia="Arial" w:hAnsi="Arial"/>
                <w:sz w:val="11"/>
                <w:szCs w:val="11"/>
                <w:color w:val="auto"/>
                <w:w w:val="72"/>
              </w:rPr>
              <w:t>—</w:t>
            </w: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460" w:type="dxa"/>
            <w:vAlign w:val="bottom"/>
          </w:tcPr>
          <w:p>
            <w:pPr>
              <w:ind w:left="320"/>
              <w:spacing w:after="0" w:line="121"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21" w:lineRule="exact"/>
              <w:rPr>
                <w:sz w:val="20"/>
                <w:szCs w:val="20"/>
                <w:color w:val="auto"/>
              </w:rPr>
            </w:pPr>
            <w:r>
              <w:rPr>
                <w:rFonts w:ascii="Arial" w:cs="Arial" w:eastAsia="Arial" w:hAnsi="Arial"/>
                <w:sz w:val="12"/>
                <w:szCs w:val="12"/>
                <w:color w:val="auto"/>
              </w:rPr>
              <w:t>​</w:t>
            </w: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1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80" w:type="dxa"/>
            <w:vAlign w:val="bottom"/>
            <w:gridSpan w:val="2"/>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18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380" w:type="dxa"/>
            <w:vAlign w:val="bottom"/>
          </w:tcPr>
          <w:p>
            <w:pPr>
              <w:spacing w:after="0"/>
              <w:rPr>
                <w:sz w:val="10"/>
                <w:szCs w:val="10"/>
                <w:color w:val="auto"/>
              </w:rPr>
            </w:pPr>
          </w:p>
        </w:tc>
        <w:tc>
          <w:tcPr>
            <w:tcW w:w="140" w:type="dxa"/>
            <w:vAlign w:val="bottom"/>
          </w:tcPr>
          <w:p>
            <w:pPr>
              <w:jc w:val="right"/>
              <w:spacing w:after="0"/>
              <w:rPr>
                <w:sz w:val="20"/>
                <w:szCs w:val="20"/>
                <w:color w:val="auto"/>
              </w:rPr>
            </w:pPr>
            <w:r>
              <w:rPr>
                <w:rFonts w:ascii="Arial" w:cs="Arial" w:eastAsia="Arial" w:hAnsi="Arial"/>
                <w:sz w:val="6"/>
                <w:szCs w:val="6"/>
                <w:color w:val="auto"/>
                <w:w w:val="93"/>
              </w:rPr>
              <w:t>(15)</w:t>
            </w: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0" w:type="dxa"/>
            <w:vAlign w:val="bottom"/>
          </w:tcPr>
          <w:p>
            <w:pPr>
              <w:ind w:left="20"/>
              <w:spacing w:after="0" w:line="121" w:lineRule="exact"/>
              <w:rPr>
                <w:sz w:val="20"/>
                <w:szCs w:val="20"/>
                <w:color w:val="auto"/>
              </w:rPr>
            </w:pPr>
            <w:r>
              <w:rPr>
                <w:rFonts w:ascii="Arial" w:cs="Arial" w:eastAsia="Arial" w:hAnsi="Arial"/>
                <w:sz w:val="12"/>
                <w:szCs w:val="12"/>
                <w:color w:val="auto"/>
              </w:rPr>
              <w:t>​</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500" w:type="dxa"/>
            <w:vAlign w:val="bottom"/>
            <w:vMerge w:val="restart"/>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9"/>
        </w:trPr>
        <w:tc>
          <w:tcPr>
            <w:tcW w:w="2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ind w:left="340"/>
              <w:spacing w:after="0" w:line="49" w:lineRule="exact"/>
              <w:rPr>
                <w:sz w:val="20"/>
                <w:szCs w:val="20"/>
                <w:color w:val="auto"/>
              </w:rPr>
            </w:pPr>
            <w:r>
              <w:rPr>
                <w:rFonts w:ascii="Arial" w:cs="Arial" w:eastAsia="Arial" w:hAnsi="Arial"/>
                <w:sz w:val="5"/>
                <w:szCs w:val="5"/>
                <w:color w:val="auto"/>
              </w:rPr>
              <w:t>​—</w:t>
            </w: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ind w:left="160"/>
              <w:spacing w:after="0" w:line="49" w:lineRule="exact"/>
              <w:rPr>
                <w:sz w:val="20"/>
                <w:szCs w:val="20"/>
                <w:color w:val="auto"/>
              </w:rPr>
            </w:pPr>
            <w:r>
              <w:rPr>
                <w:rFonts w:ascii="Arial" w:cs="Arial" w:eastAsia="Arial" w:hAnsi="Arial"/>
                <w:sz w:val="5"/>
                <w:szCs w:val="5"/>
                <w:color w:val="auto"/>
              </w:rPr>
              <w:t>​</w:t>
            </w:r>
          </w:p>
        </w:tc>
        <w:tc>
          <w:tcPr>
            <w:tcW w:w="2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8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gridSpan w:val="2"/>
          </w:tcPr>
          <w:p>
            <w:pPr>
              <w:ind w:left="100"/>
              <w:spacing w:after="0" w:line="49" w:lineRule="exact"/>
              <w:rPr>
                <w:sz w:val="20"/>
                <w:szCs w:val="20"/>
                <w:color w:val="auto"/>
              </w:rPr>
            </w:pPr>
            <w:r>
              <w:rPr>
                <w:rFonts w:ascii="Arial" w:cs="Arial" w:eastAsia="Arial" w:hAnsi="Arial"/>
                <w:sz w:val="5"/>
                <w:szCs w:val="5"/>
                <w:color w:val="auto"/>
              </w:rPr>
              <w:t>​ 34,145</w:t>
            </w: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3"/>
          </w:tcPr>
          <w:p>
            <w:pPr>
              <w:ind w:left="100"/>
              <w:spacing w:after="0" w:line="49" w:lineRule="exact"/>
              <w:rPr>
                <w:sz w:val="20"/>
                <w:szCs w:val="20"/>
                <w:color w:val="auto"/>
              </w:rPr>
            </w:pPr>
            <w:r>
              <w:rPr>
                <w:rFonts w:ascii="Arial" w:cs="Arial" w:eastAsia="Arial" w:hAnsi="Arial"/>
                <w:sz w:val="5"/>
                <w:szCs w:val="5"/>
                <w:color w:val="auto"/>
              </w:rPr>
              <w:t>$22,447</w:t>
            </w:r>
          </w:p>
        </w:tc>
        <w:tc>
          <w:tcPr>
            <w:tcW w:w="60" w:type="dxa"/>
            <w:vAlign w:val="bottom"/>
          </w:tcPr>
          <w:p>
            <w:pPr>
              <w:spacing w:after="0"/>
              <w:rPr>
                <w:sz w:val="4"/>
                <w:szCs w:val="4"/>
                <w:color w:val="auto"/>
              </w:rPr>
            </w:pPr>
          </w:p>
        </w:tc>
        <w:tc>
          <w:tcPr>
            <w:tcW w:w="14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ind w:left="300"/>
              <w:spacing w:after="0"/>
              <w:rPr>
                <w:sz w:val="20"/>
                <w:szCs w:val="20"/>
                <w:color w:val="auto"/>
              </w:rPr>
            </w:pPr>
            <w:r>
              <w:rPr>
                <w:rFonts w:ascii="Arial" w:cs="Arial" w:eastAsia="Arial" w:hAnsi="Arial"/>
                <w:sz w:val="11"/>
                <w:szCs w:val="11"/>
                <w:color w:val="auto"/>
                <w:w w:val="72"/>
              </w:rPr>
              <w:t>—</w:t>
            </w: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460" w:type="dxa"/>
            <w:vAlign w:val="bottom"/>
          </w:tcPr>
          <w:p>
            <w:pPr>
              <w:ind w:left="320"/>
              <w:spacing w:after="0" w:line="121"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21" w:lineRule="exact"/>
              <w:rPr>
                <w:sz w:val="20"/>
                <w:szCs w:val="20"/>
                <w:color w:val="auto"/>
              </w:rPr>
            </w:pPr>
            <w:r>
              <w:rPr>
                <w:rFonts w:ascii="Arial" w:cs="Arial" w:eastAsia="Arial" w:hAnsi="Arial"/>
                <w:sz w:val="12"/>
                <w:szCs w:val="12"/>
                <w:color w:val="auto"/>
              </w:rPr>
              <w:t>​</w:t>
            </w: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shd w:val="clear" w:color="auto" w:fill="CCEEFF"/>
          </w:tcPr>
          <w:p>
            <w:pPr>
              <w:ind w:lef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jc w:val="right"/>
              <w:spacing w:after="0"/>
              <w:rPr>
                <w:sz w:val="20"/>
                <w:szCs w:val="20"/>
                <w:color w:val="auto"/>
              </w:rPr>
            </w:pPr>
            <w:r>
              <w:rPr>
                <w:rFonts w:ascii="Arial" w:cs="Arial" w:eastAsia="Arial" w:hAnsi="Arial"/>
                <w:sz w:val="1"/>
                <w:szCs w:val="1"/>
                <w:b w:val="1"/>
                <w:bCs w:val="1"/>
                <w:color w:val="auto"/>
                <w:w w:val="4294942296"/>
              </w:rPr>
              <w:t>​</w:t>
            </w:r>
          </w:p>
        </w:tc>
        <w:tc>
          <w:tcPr>
            <w:tcW w:w="180" w:type="dxa"/>
            <w:vAlign w:val="bottom"/>
            <w:tcBorders>
              <w:right w:val="single" w:sz="8" w:color="CCEEFF"/>
            </w:tcBorders>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6"/>
                <w:szCs w:val="6"/>
                <w:color w:val="auto"/>
                <w:w w:val="93"/>
              </w:rPr>
              <w:t>(17)</w:t>
            </w:r>
          </w:p>
        </w:tc>
        <w:tc>
          <w:tcPr>
            <w:tcW w:w="60" w:type="dxa"/>
            <w:vAlign w:val="bottom"/>
            <w:tcBorders>
              <w:left w:val="single" w:sz="8" w:color="CCEEFF"/>
            </w:tcBorders>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w:t>
            </w:r>
          </w:p>
        </w:tc>
        <w:tc>
          <w:tcPr>
            <w:tcW w:w="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50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68"/>
        </w:trPr>
        <w:tc>
          <w:tcPr>
            <w:tcW w:w="2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ind w:left="340"/>
              <w:spacing w:after="0" w:line="49" w:lineRule="exact"/>
              <w:rPr>
                <w:sz w:val="20"/>
                <w:szCs w:val="20"/>
                <w:color w:val="auto"/>
              </w:rPr>
            </w:pPr>
            <w:r>
              <w:rPr>
                <w:rFonts w:ascii="Arial" w:cs="Arial" w:eastAsia="Arial" w:hAnsi="Arial"/>
                <w:sz w:val="5"/>
                <w:szCs w:val="5"/>
                <w:color w:val="auto"/>
              </w:rPr>
              <w:t>​—</w:t>
            </w: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ind w:left="160"/>
              <w:spacing w:after="0" w:line="49" w:lineRule="exact"/>
              <w:rPr>
                <w:sz w:val="20"/>
                <w:szCs w:val="20"/>
                <w:color w:val="auto"/>
              </w:rPr>
            </w:pPr>
            <w:r>
              <w:rPr>
                <w:rFonts w:ascii="Arial" w:cs="Arial" w:eastAsia="Arial" w:hAnsi="Arial"/>
                <w:sz w:val="5"/>
                <w:szCs w:val="5"/>
                <w:color w:val="auto"/>
              </w:rPr>
              <w:t>​</w:t>
            </w:r>
          </w:p>
        </w:tc>
        <w:tc>
          <w:tcPr>
            <w:tcW w:w="200" w:type="dxa"/>
            <w:vAlign w:val="bottom"/>
            <w:vMerge w:val="continue"/>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42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80" w:type="dxa"/>
            <w:vAlign w:val="bottom"/>
            <w:tcBorders>
              <w:right w:val="single" w:sz="8" w:color="CCEEFF"/>
            </w:tcBorders>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560" w:type="dxa"/>
            <w:vAlign w:val="bottom"/>
            <w:gridSpan w:val="2"/>
            <w:shd w:val="clear" w:color="auto" w:fill="CCEEFF"/>
          </w:tcPr>
          <w:p>
            <w:pPr>
              <w:ind w:left="100"/>
              <w:spacing w:after="0" w:line="49" w:lineRule="exact"/>
              <w:rPr>
                <w:sz w:val="20"/>
                <w:szCs w:val="20"/>
                <w:color w:val="auto"/>
              </w:rPr>
            </w:pPr>
            <w:r>
              <w:rPr>
                <w:rFonts w:ascii="Arial" w:cs="Arial" w:eastAsia="Arial" w:hAnsi="Arial"/>
                <w:sz w:val="5"/>
                <w:szCs w:val="5"/>
                <w:color w:val="auto"/>
              </w:rPr>
              <w:t>​104,858</w:t>
            </w:r>
          </w:p>
        </w:tc>
        <w:tc>
          <w:tcPr>
            <w:tcW w:w="140" w:type="dxa"/>
            <w:vAlign w:val="bottom"/>
            <w:tcBorders>
              <w:right w:val="single" w:sz="8" w:color="CCEEFF"/>
            </w:tcBorders>
            <w:shd w:val="clear" w:color="auto" w:fill="CCEEFF"/>
          </w:tcPr>
          <w:p>
            <w:pPr>
              <w:spacing w:after="0"/>
              <w:rPr>
                <w:sz w:val="5"/>
                <w:szCs w:val="5"/>
                <w:color w:val="auto"/>
              </w:rPr>
            </w:pPr>
          </w:p>
        </w:tc>
        <w:tc>
          <w:tcPr>
            <w:tcW w:w="60" w:type="dxa"/>
            <w:vAlign w:val="bottom"/>
            <w:tcBorders>
              <w:left w:val="single" w:sz="8" w:color="CCEEFF"/>
            </w:tcBorders>
            <w:shd w:val="clear" w:color="auto" w:fill="CCEEFF"/>
          </w:tcPr>
          <w:p>
            <w:pPr>
              <w:spacing w:after="0"/>
              <w:rPr>
                <w:sz w:val="5"/>
                <w:szCs w:val="5"/>
                <w:color w:val="auto"/>
              </w:rPr>
            </w:pPr>
          </w:p>
        </w:tc>
        <w:tc>
          <w:tcPr>
            <w:tcW w:w="660" w:type="dxa"/>
            <w:vAlign w:val="bottom"/>
            <w:gridSpan w:val="3"/>
            <w:shd w:val="clear" w:color="auto" w:fill="CCEEFF"/>
          </w:tcPr>
          <w:p>
            <w:pPr>
              <w:ind w:left="100"/>
              <w:spacing w:after="0" w:line="49" w:lineRule="exact"/>
              <w:rPr>
                <w:sz w:val="20"/>
                <w:szCs w:val="20"/>
                <w:color w:val="auto"/>
              </w:rPr>
            </w:pPr>
            <w:r>
              <w:rPr>
                <w:rFonts w:ascii="Arial" w:cs="Arial" w:eastAsia="Arial" w:hAnsi="Arial"/>
                <w:sz w:val="5"/>
                <w:szCs w:val="5"/>
                <w:color w:val="auto"/>
              </w:rPr>
              <w:t>$68,934</w:t>
            </w:r>
          </w:p>
        </w:tc>
        <w:tc>
          <w:tcPr>
            <w:tcW w:w="60" w:type="dxa"/>
            <w:vAlign w:val="bottom"/>
            <w:tcBorders>
              <w:left w:val="single" w:sz="8" w:color="CCEEFF"/>
            </w:tcBorders>
            <w:shd w:val="clear" w:color="auto" w:fill="CCEEFF"/>
          </w:tcPr>
          <w:p>
            <w:pPr>
              <w:spacing w:after="0"/>
              <w:rPr>
                <w:sz w:val="5"/>
                <w:szCs w:val="5"/>
                <w:color w:val="auto"/>
              </w:rPr>
            </w:pPr>
          </w:p>
        </w:tc>
        <w:tc>
          <w:tcPr>
            <w:tcW w:w="140" w:type="dxa"/>
            <w:vAlign w:val="bottom"/>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80" w:type="dxa"/>
            <w:vAlign w:val="bottom"/>
            <w:tcBorders>
              <w:left w:val="single" w:sz="8" w:color="CCEEFF"/>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 w:type="dxa"/>
            <w:vAlign w:val="bottom"/>
            <w:vMerge w:val="continue"/>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0"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400" w:type="dxa"/>
            <w:vAlign w:val="bottom"/>
            <w:shd w:val="clear" w:color="auto" w:fill="CCEEFF"/>
          </w:tcPr>
          <w:p>
            <w:pPr>
              <w:ind w:left="300"/>
              <w:spacing w:after="0"/>
              <w:rPr>
                <w:sz w:val="20"/>
                <w:szCs w:val="20"/>
                <w:color w:val="auto"/>
              </w:rPr>
            </w:pPr>
            <w:r>
              <w:rPr>
                <w:rFonts w:ascii="Arial" w:cs="Arial" w:eastAsia="Arial" w:hAnsi="Arial"/>
                <w:sz w:val="11"/>
                <w:szCs w:val="11"/>
                <w:color w:val="auto"/>
                <w:w w:val="72"/>
              </w:rPr>
              <w:t>—</w:t>
            </w:r>
          </w:p>
        </w:tc>
        <w:tc>
          <w:tcPr>
            <w:tcW w:w="140" w:type="dxa"/>
            <w:vAlign w:val="bottom"/>
            <w:tcBorders>
              <w:right w:val="single" w:sz="8" w:color="CCEEFF"/>
            </w:tcBorders>
            <w:shd w:val="clear" w:color="auto" w:fill="CCEEFF"/>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460" w:type="dxa"/>
            <w:vAlign w:val="bottom"/>
          </w:tcPr>
          <w:p>
            <w:pPr>
              <w:ind w:left="32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w:t>
            </w:r>
          </w:p>
        </w:tc>
        <w:tc>
          <w:tcPr>
            <w:tcW w:w="340" w:type="dxa"/>
            <w:vAlign w:val="bottom"/>
          </w:tcPr>
          <w:p>
            <w:pPr>
              <w:spacing w:after="0"/>
              <w:rPr>
                <w:sz w:val="13"/>
                <w:szCs w:val="13"/>
                <w:color w:val="auto"/>
              </w:rPr>
            </w:pPr>
          </w:p>
        </w:tc>
        <w:tc>
          <w:tcPr>
            <w:tcW w:w="100" w:type="dxa"/>
            <w:vAlign w:val="bottom"/>
          </w:tcPr>
          <w:p>
            <w:pPr>
              <w:ind w:left="40"/>
              <w:spacing w:after="0"/>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50"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gridSpan w:val="2"/>
          </w:tcPr>
          <w:p>
            <w:pPr>
              <w:spacing w:after="0" w:line="15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7"/>
                <w:szCs w:val="17"/>
                <w:color w:val="auto"/>
                <w:vertAlign w:val="subscript"/>
              </w:rPr>
              <w:t>​</w:t>
            </w:r>
          </w:p>
        </w:tc>
        <w:tc>
          <w:tcPr>
            <w:tcW w:w="4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50"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7"/>
                <w:szCs w:val="17"/>
                <w:color w:val="auto"/>
                <w:vertAlign w:val="subscript"/>
              </w:rPr>
              <w:t>​</w:t>
            </w:r>
          </w:p>
        </w:tc>
        <w:tc>
          <w:tcPr>
            <w:tcW w:w="600" w:type="dxa"/>
            <w:vAlign w:val="bottom"/>
            <w:gridSpan w:val="2"/>
          </w:tcPr>
          <w:p>
            <w:pPr>
              <w:jc w:val="right"/>
              <w:spacing w:after="0" w:line="150"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10"/>
                <w:szCs w:val="10"/>
                <w:b w:val="1"/>
                <w:bCs w:val="1"/>
                <w:color w:val="auto"/>
              </w:rPr>
              <w:t>​</w:t>
            </w:r>
          </w:p>
        </w:tc>
        <w:tc>
          <w:tcPr>
            <w:tcW w:w="180" w:type="dxa"/>
            <w:vAlign w:val="bottom"/>
          </w:tcPr>
          <w:p>
            <w:pPr>
              <w:ind w:left="100"/>
              <w:spacing w:after="0" w:line="150"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gridSpan w:val="2"/>
          </w:tcPr>
          <w:p>
            <w:pPr>
              <w:ind w:left="100"/>
              <w:spacing w:after="0" w:line="15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7"/>
                <w:szCs w:val="17"/>
                <w:color w:val="auto"/>
                <w:vertAlign w:val="subscript"/>
              </w:rPr>
              <w:t>​</w:t>
            </w: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4"/>
          </w:tcPr>
          <w:p>
            <w:pPr>
              <w:ind w:left="100"/>
              <w:spacing w:after="0" w:line="150"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 78,146</w:t>
            </w:r>
            <w:r>
              <w:rPr>
                <w:rFonts w:ascii="Arial" w:cs="Arial" w:eastAsia="Arial" w:hAnsi="Arial"/>
                <w:sz w:val="12"/>
                <w:szCs w:val="12"/>
                <w:color w:val="auto"/>
                <w:vertAlign w:val="superscript"/>
              </w:rPr>
              <w:t>(19)</w:t>
            </w:r>
            <w:r>
              <w:rPr>
                <w:rFonts w:ascii="Arial" w:cs="Arial" w:eastAsia="Arial" w:hAnsi="Arial"/>
                <w:sz w:val="10"/>
                <w:szCs w:val="10"/>
                <w:color w:val="auto"/>
              </w:rPr>
              <w:t>​​</w:t>
            </w:r>
          </w:p>
        </w:tc>
        <w:tc>
          <w:tcPr>
            <w:tcW w:w="80" w:type="dxa"/>
            <w:vAlign w:val="bottom"/>
          </w:tcPr>
          <w:p>
            <w:pPr>
              <w:spacing w:after="0"/>
              <w:rPr>
                <w:sz w:val="13"/>
                <w:szCs w:val="13"/>
                <w:color w:val="auto"/>
              </w:rPr>
            </w:pPr>
          </w:p>
        </w:tc>
        <w:tc>
          <w:tcPr>
            <w:tcW w:w="640" w:type="dxa"/>
            <w:vAlign w:val="bottom"/>
            <w:gridSpan w:val="3"/>
          </w:tcPr>
          <w:p>
            <w:pPr>
              <w:ind w:left="2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$51,373</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1"/>
        </w:trPr>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ind w:left="300"/>
              <w:spacing w:after="0"/>
              <w:rPr>
                <w:sz w:val="20"/>
                <w:szCs w:val="20"/>
                <w:color w:val="auto"/>
              </w:rPr>
            </w:pPr>
            <w:r>
              <w:rPr>
                <w:rFonts w:ascii="Arial" w:cs="Arial" w:eastAsia="Arial" w:hAnsi="Arial"/>
                <w:sz w:val="11"/>
                <w:szCs w:val="11"/>
                <w:color w:val="auto"/>
                <w:w w:val="72"/>
              </w:rPr>
              <w:t>—</w:t>
            </w: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460" w:type="dxa"/>
            <w:vAlign w:val="bottom"/>
          </w:tcPr>
          <w:p>
            <w:pPr>
              <w:ind w:left="320"/>
              <w:spacing w:after="0" w:line="121"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21" w:lineRule="exact"/>
              <w:rPr>
                <w:sz w:val="20"/>
                <w:szCs w:val="20"/>
                <w:color w:val="auto"/>
              </w:rPr>
            </w:pPr>
            <w:r>
              <w:rPr>
                <w:rFonts w:ascii="Arial" w:cs="Arial" w:eastAsia="Arial" w:hAnsi="Arial"/>
                <w:sz w:val="12"/>
                <w:szCs w:val="12"/>
                <w:color w:val="auto"/>
              </w:rPr>
              <w:t>​</w:t>
            </w: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1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shd w:val="clear" w:color="auto" w:fill="CCEEFF"/>
          </w:tcPr>
          <w:p>
            <w:pPr>
              <w:ind w:lef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jc w:val="right"/>
              <w:spacing w:after="0"/>
              <w:rPr>
                <w:sz w:val="20"/>
                <w:szCs w:val="20"/>
                <w:color w:val="auto"/>
              </w:rPr>
            </w:pPr>
            <w:r>
              <w:rPr>
                <w:rFonts w:ascii="Arial" w:cs="Arial" w:eastAsia="Arial" w:hAnsi="Arial"/>
                <w:sz w:val="1"/>
                <w:szCs w:val="1"/>
                <w:b w:val="1"/>
                <w:bCs w:val="1"/>
                <w:color w:val="auto"/>
                <w:w w:val="4294942296"/>
              </w:rPr>
              <w:t>​</w:t>
            </w:r>
          </w:p>
        </w:tc>
        <w:tc>
          <w:tcPr>
            <w:tcW w:w="180" w:type="dxa"/>
            <w:vAlign w:val="bottom"/>
            <w:tcBorders>
              <w:right w:val="single" w:sz="8" w:color="CCEEFF"/>
            </w:tcBorders>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6"/>
                <w:szCs w:val="6"/>
                <w:color w:val="auto"/>
                <w:w w:val="93"/>
              </w:rPr>
              <w:t>(18)</w:t>
            </w:r>
          </w:p>
        </w:tc>
        <w:tc>
          <w:tcPr>
            <w:tcW w:w="60" w:type="dxa"/>
            <w:vAlign w:val="bottom"/>
            <w:tcBorders>
              <w:left w:val="single" w:sz="8" w:color="CCEEFF"/>
            </w:tcBorders>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w:t>
            </w:r>
          </w:p>
        </w:tc>
        <w:tc>
          <w:tcPr>
            <w:tcW w:w="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50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68"/>
        </w:trPr>
        <w:tc>
          <w:tcPr>
            <w:tcW w:w="2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ind w:left="340"/>
              <w:spacing w:after="0" w:line="49" w:lineRule="exact"/>
              <w:rPr>
                <w:sz w:val="20"/>
                <w:szCs w:val="20"/>
                <w:color w:val="auto"/>
              </w:rPr>
            </w:pPr>
            <w:r>
              <w:rPr>
                <w:rFonts w:ascii="Arial" w:cs="Arial" w:eastAsia="Arial" w:hAnsi="Arial"/>
                <w:sz w:val="5"/>
                <w:szCs w:val="5"/>
                <w:color w:val="auto"/>
              </w:rPr>
              <w:t>​—</w:t>
            </w: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ind w:left="160"/>
              <w:spacing w:after="0" w:line="49" w:lineRule="exact"/>
              <w:rPr>
                <w:sz w:val="20"/>
                <w:szCs w:val="20"/>
                <w:color w:val="auto"/>
              </w:rPr>
            </w:pPr>
            <w:r>
              <w:rPr>
                <w:rFonts w:ascii="Arial" w:cs="Arial" w:eastAsia="Arial" w:hAnsi="Arial"/>
                <w:sz w:val="5"/>
                <w:szCs w:val="5"/>
                <w:color w:val="auto"/>
              </w:rPr>
              <w:t>​</w:t>
            </w:r>
          </w:p>
        </w:tc>
        <w:tc>
          <w:tcPr>
            <w:tcW w:w="2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42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80" w:type="dxa"/>
            <w:vAlign w:val="bottom"/>
            <w:tcBorders>
              <w:right w:val="single" w:sz="8" w:color="CCEEFF"/>
            </w:tcBorders>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560" w:type="dxa"/>
            <w:vAlign w:val="bottom"/>
            <w:gridSpan w:val="2"/>
            <w:shd w:val="clear" w:color="auto" w:fill="CCEEFF"/>
          </w:tcPr>
          <w:p>
            <w:pPr>
              <w:ind w:left="100"/>
              <w:spacing w:after="0" w:line="49" w:lineRule="exact"/>
              <w:rPr>
                <w:sz w:val="20"/>
                <w:szCs w:val="20"/>
                <w:color w:val="auto"/>
              </w:rPr>
            </w:pPr>
            <w:r>
              <w:rPr>
                <w:rFonts w:ascii="Arial" w:cs="Arial" w:eastAsia="Arial" w:hAnsi="Arial"/>
                <w:sz w:val="5"/>
                <w:szCs w:val="5"/>
                <w:color w:val="auto"/>
              </w:rPr>
              <w:t>​ 78,146</w:t>
            </w:r>
          </w:p>
        </w:tc>
        <w:tc>
          <w:tcPr>
            <w:tcW w:w="140" w:type="dxa"/>
            <w:vAlign w:val="bottom"/>
            <w:tcBorders>
              <w:right w:val="single" w:sz="8" w:color="CCEEFF"/>
            </w:tcBorders>
            <w:shd w:val="clear" w:color="auto" w:fill="CCEEFF"/>
          </w:tcPr>
          <w:p>
            <w:pPr>
              <w:spacing w:after="0"/>
              <w:rPr>
                <w:sz w:val="5"/>
                <w:szCs w:val="5"/>
                <w:color w:val="auto"/>
              </w:rPr>
            </w:pPr>
          </w:p>
        </w:tc>
        <w:tc>
          <w:tcPr>
            <w:tcW w:w="60" w:type="dxa"/>
            <w:vAlign w:val="bottom"/>
            <w:tcBorders>
              <w:left w:val="single" w:sz="8" w:color="CCEEFF"/>
            </w:tcBorders>
            <w:shd w:val="clear" w:color="auto" w:fill="CCEEFF"/>
          </w:tcPr>
          <w:p>
            <w:pPr>
              <w:spacing w:after="0"/>
              <w:rPr>
                <w:sz w:val="5"/>
                <w:szCs w:val="5"/>
                <w:color w:val="auto"/>
              </w:rPr>
            </w:pPr>
          </w:p>
        </w:tc>
        <w:tc>
          <w:tcPr>
            <w:tcW w:w="660" w:type="dxa"/>
            <w:vAlign w:val="bottom"/>
            <w:gridSpan w:val="3"/>
            <w:shd w:val="clear" w:color="auto" w:fill="CCEEFF"/>
          </w:tcPr>
          <w:p>
            <w:pPr>
              <w:ind w:left="100"/>
              <w:spacing w:after="0" w:line="49" w:lineRule="exact"/>
              <w:rPr>
                <w:sz w:val="20"/>
                <w:szCs w:val="20"/>
                <w:color w:val="auto"/>
              </w:rPr>
            </w:pPr>
            <w:r>
              <w:rPr>
                <w:rFonts w:ascii="Arial" w:cs="Arial" w:eastAsia="Arial" w:hAnsi="Arial"/>
                <w:sz w:val="5"/>
                <w:szCs w:val="5"/>
                <w:color w:val="auto"/>
              </w:rPr>
              <w:t>$51,373</w:t>
            </w:r>
          </w:p>
        </w:tc>
        <w:tc>
          <w:tcPr>
            <w:tcW w:w="60" w:type="dxa"/>
            <w:vAlign w:val="bottom"/>
            <w:tcBorders>
              <w:left w:val="single" w:sz="8" w:color="CCEEFF"/>
            </w:tcBorders>
            <w:shd w:val="clear" w:color="auto" w:fill="CCEEFF"/>
          </w:tcPr>
          <w:p>
            <w:pPr>
              <w:spacing w:after="0"/>
              <w:rPr>
                <w:sz w:val="5"/>
                <w:szCs w:val="5"/>
                <w:color w:val="auto"/>
              </w:rPr>
            </w:pPr>
          </w:p>
        </w:tc>
        <w:tc>
          <w:tcPr>
            <w:tcW w:w="140" w:type="dxa"/>
            <w:vAlign w:val="bottom"/>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80" w:type="dxa"/>
            <w:vAlign w:val="bottom"/>
            <w:tcBorders>
              <w:left w:val="single" w:sz="8" w:color="CCEEFF"/>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 w:type="dxa"/>
            <w:vAlign w:val="bottom"/>
            <w:vMerge w:val="continue"/>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6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1000" w:type="dxa"/>
            <w:vAlign w:val="bottom"/>
          </w:tcPr>
          <w:p>
            <w:pPr>
              <w:spacing w:after="0"/>
              <w:rPr>
                <w:sz w:val="8"/>
                <w:szCs w:val="8"/>
                <w:color w:val="auto"/>
              </w:rPr>
            </w:pPr>
          </w:p>
        </w:tc>
        <w:tc>
          <w:tcPr>
            <w:tcW w:w="60" w:type="dxa"/>
            <w:vAlign w:val="bottom"/>
          </w:tcPr>
          <w:p>
            <w:pPr>
              <w:ind w:left="20"/>
              <w:spacing w:after="0" w:line="10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8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5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p>
        </w:tc>
        <w:tc>
          <w:tcPr>
            <w:tcW w:w="6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800" w:type="dxa"/>
            <w:vAlign w:val="bottom"/>
            <w:gridSpan w:val="2"/>
          </w:tcPr>
          <w:p>
            <w:pPr>
              <w:ind w:left="320"/>
              <w:spacing w:after="0" w:line="102" w:lineRule="exact"/>
              <w:rPr>
                <w:sz w:val="20"/>
                <w:szCs w:val="20"/>
                <w:color w:val="auto"/>
              </w:rPr>
            </w:pPr>
            <w:r>
              <w:rPr>
                <w:rFonts w:ascii="Arial" w:cs="Arial" w:eastAsia="Arial" w:hAnsi="Arial"/>
                <w:sz w:val="11"/>
                <w:szCs w:val="11"/>
                <w:color w:val="auto"/>
              </w:rPr>
              <w:t>​</w:t>
            </w:r>
          </w:p>
        </w:tc>
        <w:tc>
          <w:tcPr>
            <w:tcW w:w="100" w:type="dxa"/>
            <w:vAlign w:val="bottom"/>
          </w:tcPr>
          <w:p>
            <w:pPr>
              <w:ind w:left="40"/>
              <w:spacing w:after="0" w:line="102" w:lineRule="exact"/>
              <w:rPr>
                <w:sz w:val="20"/>
                <w:szCs w:val="20"/>
                <w:color w:val="auto"/>
              </w:rPr>
            </w:pPr>
            <w:r>
              <w:rPr>
                <w:rFonts w:ascii="Arial" w:cs="Arial" w:eastAsia="Arial" w:hAnsi="Arial"/>
                <w:sz w:val="11"/>
                <w:szCs w:val="11"/>
                <w:color w:val="auto"/>
              </w:rPr>
              <w:t>​​</w:t>
            </w:r>
          </w:p>
        </w:tc>
        <w:tc>
          <w:tcPr>
            <w:tcW w:w="300" w:type="dxa"/>
            <w:vAlign w:val="bottom"/>
          </w:tcPr>
          <w:p>
            <w:pPr>
              <w:ind w:left="160"/>
              <w:spacing w:after="0" w:line="10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8"/>
                <w:szCs w:val="8"/>
                <w:color w:val="auto"/>
              </w:rPr>
            </w:pPr>
          </w:p>
        </w:tc>
        <w:tc>
          <w:tcPr>
            <w:tcW w:w="200" w:type="dxa"/>
            <w:vAlign w:val="bottom"/>
          </w:tcPr>
          <w:p>
            <w:pPr>
              <w:spacing w:after="0"/>
              <w:rPr>
                <w:sz w:val="20"/>
                <w:szCs w:val="20"/>
                <w:color w:val="auto"/>
              </w:rPr>
            </w:pPr>
            <w:r>
              <w:rPr>
                <w:rFonts w:ascii="Arial" w:cs="Arial" w:eastAsia="Arial" w:hAnsi="Arial"/>
                <w:sz w:val="8"/>
                <w:szCs w:val="8"/>
                <w:color w:val="auto"/>
              </w:rPr>
              <w:t>(7)</w:t>
            </w:r>
          </w:p>
        </w:tc>
        <w:tc>
          <w:tcPr>
            <w:tcW w:w="14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180" w:type="dxa"/>
            <w:vAlign w:val="bottom"/>
            <w:gridSpan w:val="2"/>
          </w:tcPr>
          <w:p>
            <w:pPr>
              <w:ind w:left="100"/>
              <w:spacing w:after="0" w:line="10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2/10/2025</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18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8"/>
                <w:szCs w:val="8"/>
                <w:color w:val="auto"/>
              </w:rPr>
            </w:pPr>
          </w:p>
        </w:tc>
        <w:tc>
          <w:tcPr>
            <w:tcW w:w="6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10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8"/>
                <w:szCs w:val="8"/>
                <w:color w:val="auto"/>
              </w:rPr>
            </w:pPr>
          </w:p>
        </w:tc>
        <w:tc>
          <w:tcPr>
            <w:tcW w:w="8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100" w:type="dxa"/>
            <w:vAlign w:val="bottom"/>
          </w:tcPr>
          <w:p>
            <w:pPr>
              <w:ind w:left="20"/>
              <w:spacing w:after="0" w:line="102" w:lineRule="exact"/>
              <w:rPr>
                <w:sz w:val="20"/>
                <w:szCs w:val="20"/>
                <w:color w:val="auto"/>
              </w:rPr>
            </w:pPr>
            <w:r>
              <w:rPr>
                <w:rFonts w:ascii="Arial" w:cs="Arial" w:eastAsia="Arial" w:hAnsi="Arial"/>
                <w:sz w:val="11"/>
                <w:szCs w:val="11"/>
                <w:color w:val="auto"/>
              </w:rPr>
              <w:t>​</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500" w:type="dxa"/>
            <w:vAlign w:val="bottom"/>
            <w:vMerge w:val="restart"/>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0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49"/>
        </w:trPr>
        <w:tc>
          <w:tcPr>
            <w:tcW w:w="1260" w:type="dxa"/>
            <w:vAlign w:val="bottom"/>
            <w:gridSpan w:val="2"/>
          </w:tcPr>
          <w:p>
            <w:pPr>
              <w:spacing w:after="0" w:line="49" w:lineRule="exact"/>
              <w:rPr>
                <w:sz w:val="20"/>
                <w:szCs w:val="20"/>
                <w:color w:val="auto"/>
              </w:rPr>
            </w:pPr>
            <w:r>
              <w:rPr>
                <w:rFonts w:ascii="Arial" w:cs="Arial" w:eastAsia="Arial" w:hAnsi="Arial"/>
                <w:sz w:val="5"/>
                <w:szCs w:val="5"/>
                <w:color w:val="auto"/>
              </w:rPr>
              <w:t>Michelle D. Esterman</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line="49" w:lineRule="exact"/>
              <w:rPr>
                <w:sz w:val="20"/>
                <w:szCs w:val="20"/>
                <w:color w:val="auto"/>
              </w:rPr>
            </w:pPr>
            <w:r>
              <w:rPr>
                <w:rFonts w:ascii="Arial" w:cs="Arial" w:eastAsia="Arial" w:hAnsi="Arial"/>
                <w:sz w:val="5"/>
                <w:szCs w:val="5"/>
                <w:color w:val="auto"/>
              </w:rPr>
              <w:t>​</w:t>
            </w:r>
          </w:p>
        </w:tc>
        <w:tc>
          <w:tcPr>
            <w:tcW w:w="5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2"/>
          </w:tcPr>
          <w:p>
            <w:pPr>
              <w:ind w:left="340"/>
              <w:spacing w:after="0" w:line="49" w:lineRule="exact"/>
              <w:rPr>
                <w:sz w:val="20"/>
                <w:szCs w:val="20"/>
                <w:color w:val="auto"/>
              </w:rPr>
            </w:pPr>
            <w:r>
              <w:rPr>
                <w:rFonts w:ascii="Arial" w:cs="Arial" w:eastAsia="Arial" w:hAnsi="Arial"/>
                <w:sz w:val="5"/>
                <w:szCs w:val="5"/>
                <w:color w:val="auto"/>
              </w:rPr>
              <w:t>​—</w:t>
            </w:r>
          </w:p>
        </w:tc>
        <w:tc>
          <w:tcPr>
            <w:tcW w:w="100" w:type="dxa"/>
            <w:vAlign w:val="bottom"/>
          </w:tcPr>
          <w:p>
            <w:pPr>
              <w:spacing w:after="0"/>
              <w:rPr>
                <w:sz w:val="4"/>
                <w:szCs w:val="4"/>
                <w:color w:val="auto"/>
              </w:rPr>
            </w:pPr>
          </w:p>
        </w:tc>
        <w:tc>
          <w:tcPr>
            <w:tcW w:w="500" w:type="dxa"/>
            <w:vAlign w:val="bottom"/>
            <w:gridSpan w:val="2"/>
          </w:tcPr>
          <w:p>
            <w:pPr>
              <w:jc w:val="right"/>
              <w:spacing w:after="0" w:line="49" w:lineRule="exact"/>
              <w:rPr>
                <w:sz w:val="20"/>
                <w:szCs w:val="20"/>
                <w:color w:val="auto"/>
              </w:rPr>
            </w:pPr>
            <w:r>
              <w:rPr>
                <w:rFonts w:ascii="Arial" w:cs="Arial" w:eastAsia="Arial" w:hAnsi="Arial"/>
                <w:sz w:val="5"/>
                <w:szCs w:val="5"/>
                <w:color w:val="auto"/>
              </w:rPr>
              <w:t>​6,250</w:t>
            </w: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gridSpan w:val="5"/>
          </w:tcPr>
          <w:p>
            <w:pPr>
              <w:ind w:left="120"/>
              <w:spacing w:after="0" w:line="49" w:lineRule="exact"/>
              <w:rPr>
                <w:sz w:val="20"/>
                <w:szCs w:val="20"/>
                <w:color w:val="auto"/>
              </w:rPr>
            </w:pPr>
            <w:r>
              <w:rPr>
                <w:rFonts w:ascii="Arial" w:cs="Arial" w:eastAsia="Arial" w:hAnsi="Arial"/>
                <w:sz w:val="5"/>
                <w:szCs w:val="5"/>
                <w:color w:val="auto"/>
              </w:rPr>
              <w:t>$21.89</w:t>
            </w:r>
          </w:p>
        </w:tc>
        <w:tc>
          <w:tcPr>
            <w:tcW w:w="8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160" w:type="dxa"/>
            <w:vAlign w:val="bottom"/>
            <w:gridSpan w:val="2"/>
          </w:tcPr>
          <w:p>
            <w:pPr>
              <w:ind w:left="6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12,500</w:t>
            </w: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100" w:type="dxa"/>
            <w:vAlign w:val="bottom"/>
          </w:tcPr>
          <w:p>
            <w:pPr>
              <w:ind w:left="40"/>
              <w:spacing w:after="0"/>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700" w:type="dxa"/>
            <w:vAlign w:val="bottom"/>
            <w:gridSpan w:val="5"/>
          </w:tcPr>
          <w:p>
            <w:pPr>
              <w:ind w:left="10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$21.89</w:t>
            </w:r>
          </w:p>
        </w:tc>
        <w:tc>
          <w:tcPr>
            <w:tcW w:w="80" w:type="dxa"/>
            <w:vAlign w:val="bottom"/>
          </w:tcPr>
          <w:p>
            <w:pPr>
              <w:jc w:val="right"/>
              <w:spacing w:after="0" w:line="170" w:lineRule="exact"/>
              <w:rPr>
                <w:sz w:val="20"/>
                <w:szCs w:val="20"/>
                <w:color w:val="auto"/>
              </w:rPr>
            </w:pPr>
            <w:r>
              <w:rPr>
                <w:rFonts w:ascii="Arial" w:cs="Arial" w:eastAsia="Arial" w:hAnsi="Arial"/>
                <w:sz w:val="19"/>
                <w:szCs w:val="19"/>
                <w:b w:val="1"/>
                <w:bCs w:val="1"/>
                <w:color w:val="auto"/>
                <w:vertAlign w:val="superscript"/>
              </w:rPr>
              <w:t>​</w:t>
            </w:r>
            <w:r>
              <w:rPr>
                <w:rFonts w:ascii="Arial" w:cs="Arial" w:eastAsia="Arial" w:hAnsi="Arial"/>
                <w:sz w:val="10"/>
                <w:szCs w:val="10"/>
                <w:color w:val="auto"/>
              </w:rPr>
              <w:t>​</w:t>
            </w:r>
          </w:p>
        </w:tc>
        <w:tc>
          <w:tcPr>
            <w:tcW w:w="600" w:type="dxa"/>
            <w:vAlign w:val="bottom"/>
            <w:gridSpan w:val="2"/>
          </w:tcPr>
          <w:p>
            <w:pPr>
              <w:jc w:val="right"/>
              <w:spacing w:after="0" w:line="170" w:lineRule="exact"/>
              <w:rPr>
                <w:sz w:val="20"/>
                <w:szCs w:val="20"/>
                <w:color w:val="auto"/>
              </w:rPr>
            </w:pPr>
            <w:r>
              <w:rPr>
                <w:rFonts w:ascii="Arial" w:cs="Arial" w:eastAsia="Arial" w:hAnsi="Arial"/>
                <w:sz w:val="10"/>
                <w:szCs w:val="10"/>
                <w:color w:val="auto"/>
              </w:rPr>
              <w:t>2/10/2025</w:t>
            </w:r>
            <w:r>
              <w:rPr>
                <w:rFonts w:ascii="Arial" w:cs="Arial" w:eastAsia="Arial" w:hAnsi="Arial"/>
                <w:sz w:val="19"/>
                <w:szCs w:val="19"/>
                <w:b w:val="1"/>
                <w:bCs w:val="1"/>
                <w:color w:val="auto"/>
                <w:vertAlign w:val="superscript"/>
              </w:rPr>
              <w:t>​</w:t>
            </w:r>
          </w:p>
        </w:tc>
        <w:tc>
          <w:tcPr>
            <w:tcW w:w="180" w:type="dxa"/>
            <w:vAlign w:val="bottom"/>
          </w:tcPr>
          <w:p>
            <w:pPr>
              <w:ind w:left="10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gridSpan w:val="2"/>
          </w:tcPr>
          <w:p>
            <w:pPr>
              <w:ind w:left="10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 xml:space="preserve"> ​</w:t>
            </w: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ind w:left="10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40" w:type="dxa"/>
            <w:vAlign w:val="bottom"/>
            <w:gridSpan w:val="2"/>
          </w:tcPr>
          <w:p>
            <w:pPr>
              <w:ind w:left="2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 xml:space="preserve"> ​</w:t>
            </w:r>
          </w:p>
        </w:tc>
        <w:tc>
          <w:tcPr>
            <w:tcW w:w="50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160" w:type="dxa"/>
            <w:vAlign w:val="bottom"/>
            <w:gridSpan w:val="2"/>
          </w:tcPr>
          <w:p>
            <w:pPr>
              <w:ind w:left="6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6,250</w:t>
            </w: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100" w:type="dxa"/>
            <w:vAlign w:val="bottom"/>
          </w:tcPr>
          <w:p>
            <w:pPr>
              <w:ind w:left="40"/>
              <w:spacing w:after="0"/>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700" w:type="dxa"/>
            <w:vAlign w:val="bottom"/>
            <w:gridSpan w:val="5"/>
          </w:tcPr>
          <w:p>
            <w:pPr>
              <w:ind w:left="10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$21.89</w:t>
            </w:r>
          </w:p>
        </w:tc>
        <w:tc>
          <w:tcPr>
            <w:tcW w:w="80" w:type="dxa"/>
            <w:vAlign w:val="bottom"/>
          </w:tcPr>
          <w:p>
            <w:pPr>
              <w:jc w:val="right"/>
              <w:spacing w:after="0" w:line="170"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9"/>
                <w:szCs w:val="19"/>
                <w:color w:val="auto"/>
                <w:vertAlign w:val="subscript"/>
              </w:rPr>
              <w:t>​</w:t>
            </w:r>
          </w:p>
        </w:tc>
        <w:tc>
          <w:tcPr>
            <w:tcW w:w="600" w:type="dxa"/>
            <w:vAlign w:val="bottom"/>
            <w:gridSpan w:val="2"/>
          </w:tcPr>
          <w:p>
            <w:pPr>
              <w:jc w:val="right"/>
              <w:spacing w:after="0" w:line="170" w:lineRule="exact"/>
              <w:rPr>
                <w:sz w:val="20"/>
                <w:szCs w:val="20"/>
                <w:color w:val="auto"/>
              </w:rPr>
            </w:pPr>
            <w:r>
              <w:rPr>
                <w:rFonts w:ascii="Arial" w:cs="Arial" w:eastAsia="Arial" w:hAnsi="Arial"/>
                <w:sz w:val="10"/>
                <w:szCs w:val="10"/>
                <w:color w:val="auto"/>
              </w:rPr>
              <w:t>2/10/2025</w:t>
            </w:r>
            <w:r>
              <w:rPr>
                <w:rFonts w:ascii="Arial" w:cs="Arial" w:eastAsia="Arial" w:hAnsi="Arial"/>
                <w:sz w:val="19"/>
                <w:szCs w:val="19"/>
                <w:b w:val="1"/>
                <w:bCs w:val="1"/>
                <w:color w:val="auto"/>
                <w:vertAlign w:val="superscript"/>
              </w:rPr>
              <w:t>​</w:t>
            </w:r>
          </w:p>
        </w:tc>
        <w:tc>
          <w:tcPr>
            <w:tcW w:w="180" w:type="dxa"/>
            <w:vAlign w:val="bottom"/>
          </w:tcPr>
          <w:p>
            <w:pPr>
              <w:ind w:left="10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gridSpan w:val="2"/>
          </w:tcPr>
          <w:p>
            <w:pPr>
              <w:ind w:left="10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ind w:left="10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40" w:type="dxa"/>
            <w:vAlign w:val="bottom"/>
            <w:gridSpan w:val="2"/>
          </w:tcPr>
          <w:p>
            <w:pPr>
              <w:ind w:left="2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50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160" w:type="dxa"/>
            <w:vAlign w:val="bottom"/>
            <w:gridSpan w:val="2"/>
          </w:tcPr>
          <w:p>
            <w:pPr>
              <w:ind w:left="6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13,400</w:t>
            </w: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100" w:type="dxa"/>
            <w:vAlign w:val="bottom"/>
          </w:tcPr>
          <w:p>
            <w:pPr>
              <w:ind w:left="40"/>
              <w:spacing w:after="0"/>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700" w:type="dxa"/>
            <w:vAlign w:val="bottom"/>
            <w:gridSpan w:val="5"/>
          </w:tcPr>
          <w:p>
            <w:pPr>
              <w:ind w:left="10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$18.79</w:t>
            </w:r>
          </w:p>
        </w:tc>
        <w:tc>
          <w:tcPr>
            <w:tcW w:w="80" w:type="dxa"/>
            <w:vAlign w:val="bottom"/>
          </w:tcPr>
          <w:p>
            <w:pPr>
              <w:jc w:val="right"/>
              <w:spacing w:after="0" w:line="170" w:lineRule="exact"/>
              <w:rPr>
                <w:sz w:val="20"/>
                <w:szCs w:val="20"/>
                <w:color w:val="auto"/>
              </w:rPr>
            </w:pPr>
            <w:r>
              <w:rPr>
                <w:rFonts w:ascii="Arial" w:cs="Arial" w:eastAsia="Arial" w:hAnsi="Arial"/>
                <w:sz w:val="19"/>
                <w:szCs w:val="19"/>
                <w:b w:val="1"/>
                <w:bCs w:val="1"/>
                <w:color w:val="auto"/>
                <w:vertAlign w:val="superscript"/>
              </w:rPr>
              <w:t>​</w:t>
            </w:r>
            <w:r>
              <w:rPr>
                <w:rFonts w:ascii="Arial" w:cs="Arial" w:eastAsia="Arial" w:hAnsi="Arial"/>
                <w:sz w:val="10"/>
                <w:szCs w:val="10"/>
                <w:color w:val="auto"/>
              </w:rPr>
              <w:t>​</w:t>
            </w:r>
          </w:p>
        </w:tc>
        <w:tc>
          <w:tcPr>
            <w:tcW w:w="600" w:type="dxa"/>
            <w:vAlign w:val="bottom"/>
            <w:gridSpan w:val="2"/>
          </w:tcPr>
          <w:p>
            <w:pPr>
              <w:jc w:val="right"/>
              <w:spacing w:after="0" w:line="170" w:lineRule="exact"/>
              <w:rPr>
                <w:sz w:val="20"/>
                <w:szCs w:val="20"/>
                <w:color w:val="auto"/>
              </w:rPr>
            </w:pPr>
            <w:r>
              <w:rPr>
                <w:rFonts w:ascii="Arial" w:cs="Arial" w:eastAsia="Arial" w:hAnsi="Arial"/>
                <w:sz w:val="10"/>
                <w:szCs w:val="10"/>
                <w:color w:val="auto"/>
              </w:rPr>
              <w:t>4/15/2025</w:t>
            </w:r>
            <w:r>
              <w:rPr>
                <w:rFonts w:ascii="Arial" w:cs="Arial" w:eastAsia="Arial" w:hAnsi="Arial"/>
                <w:sz w:val="19"/>
                <w:szCs w:val="19"/>
                <w:b w:val="1"/>
                <w:bCs w:val="1"/>
                <w:color w:val="auto"/>
                <w:vertAlign w:val="superscript"/>
              </w:rPr>
              <w:t>​</w:t>
            </w:r>
          </w:p>
        </w:tc>
        <w:tc>
          <w:tcPr>
            <w:tcW w:w="180" w:type="dxa"/>
            <w:vAlign w:val="bottom"/>
          </w:tcPr>
          <w:p>
            <w:pPr>
              <w:ind w:left="10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gridSpan w:val="2"/>
          </w:tcPr>
          <w:p>
            <w:pPr>
              <w:ind w:left="10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 xml:space="preserve"> ​</w:t>
            </w: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ind w:left="10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40" w:type="dxa"/>
            <w:vAlign w:val="bottom"/>
            <w:gridSpan w:val="2"/>
          </w:tcPr>
          <w:p>
            <w:pPr>
              <w:ind w:left="2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 xml:space="preserve"> ​</w:t>
            </w:r>
          </w:p>
        </w:tc>
        <w:tc>
          <w:tcPr>
            <w:tcW w:w="50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160" w:type="dxa"/>
            <w:vAlign w:val="bottom"/>
            <w:gridSpan w:val="2"/>
          </w:tcPr>
          <w:p>
            <w:pPr>
              <w:ind w:left="6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17,316</w:t>
            </w: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100" w:type="dxa"/>
            <w:vAlign w:val="bottom"/>
          </w:tcPr>
          <w:p>
            <w:pPr>
              <w:ind w:left="40"/>
              <w:spacing w:after="0"/>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700" w:type="dxa"/>
            <w:vAlign w:val="bottom"/>
            <w:gridSpan w:val="5"/>
          </w:tcPr>
          <w:p>
            <w:pPr>
              <w:ind w:left="10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$24.82</w:t>
            </w:r>
          </w:p>
        </w:tc>
        <w:tc>
          <w:tcPr>
            <w:tcW w:w="80" w:type="dxa"/>
            <w:vAlign w:val="bottom"/>
          </w:tcPr>
          <w:p>
            <w:pPr>
              <w:jc w:val="right"/>
              <w:spacing w:after="0" w:line="170"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9"/>
                <w:szCs w:val="19"/>
                <w:color w:val="auto"/>
                <w:vertAlign w:val="subscript"/>
              </w:rPr>
              <w:t>​</w:t>
            </w:r>
          </w:p>
        </w:tc>
        <w:tc>
          <w:tcPr>
            <w:tcW w:w="600" w:type="dxa"/>
            <w:vAlign w:val="bottom"/>
            <w:gridSpan w:val="2"/>
          </w:tcPr>
          <w:p>
            <w:pPr>
              <w:jc w:val="right"/>
              <w:spacing w:after="0" w:line="170" w:lineRule="exact"/>
              <w:rPr>
                <w:sz w:val="20"/>
                <w:szCs w:val="20"/>
                <w:color w:val="auto"/>
              </w:rPr>
            </w:pPr>
            <w:r>
              <w:rPr>
                <w:rFonts w:ascii="Arial" w:cs="Arial" w:eastAsia="Arial" w:hAnsi="Arial"/>
                <w:sz w:val="10"/>
                <w:szCs w:val="10"/>
                <w:color w:val="auto"/>
              </w:rPr>
              <w:t>2/12/2028</w:t>
            </w:r>
            <w:r>
              <w:rPr>
                <w:rFonts w:ascii="Arial" w:cs="Arial" w:eastAsia="Arial" w:hAnsi="Arial"/>
                <w:sz w:val="19"/>
                <w:szCs w:val="19"/>
                <w:b w:val="1"/>
                <w:bCs w:val="1"/>
                <w:color w:val="auto"/>
                <w:vertAlign w:val="superscript"/>
              </w:rPr>
              <w:t>​</w:t>
            </w:r>
          </w:p>
        </w:tc>
        <w:tc>
          <w:tcPr>
            <w:tcW w:w="180" w:type="dxa"/>
            <w:vAlign w:val="bottom"/>
          </w:tcPr>
          <w:p>
            <w:pPr>
              <w:ind w:left="10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gridSpan w:val="2"/>
          </w:tcPr>
          <w:p>
            <w:pPr>
              <w:ind w:left="10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ind w:left="10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40" w:type="dxa"/>
            <w:vAlign w:val="bottom"/>
            <w:gridSpan w:val="2"/>
          </w:tcPr>
          <w:p>
            <w:pPr>
              <w:ind w:left="2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50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ind w:left="20"/>
              <w:spacing w:after="0" w:line="121" w:lineRule="exact"/>
              <w:rPr>
                <w:sz w:val="20"/>
                <w:szCs w:val="20"/>
                <w:color w:val="auto"/>
              </w:rPr>
            </w:pPr>
            <w:r>
              <w:rPr>
                <w:rFonts w:ascii="Arial" w:cs="Arial" w:eastAsia="Arial" w:hAnsi="Arial"/>
                <w:sz w:val="12"/>
                <w:szCs w:val="12"/>
                <w:color w:val="auto"/>
              </w:rPr>
              <w:t>​</w:t>
            </w:r>
          </w:p>
        </w:tc>
        <w:tc>
          <w:tcPr>
            <w:tcW w:w="160" w:type="dxa"/>
            <w:vAlign w:val="bottom"/>
            <w:gridSpan w:val="2"/>
          </w:tcPr>
          <w:p>
            <w:pPr>
              <w:ind w:left="60"/>
              <w:spacing w:after="0" w:line="121" w:lineRule="exact"/>
              <w:rPr>
                <w:sz w:val="20"/>
                <w:szCs w:val="20"/>
                <w:color w:val="auto"/>
              </w:rPr>
            </w:pPr>
            <w:r>
              <w:rPr>
                <w:rFonts w:ascii="Arial" w:cs="Arial" w:eastAsia="Arial" w:hAnsi="Arial"/>
                <w:sz w:val="12"/>
                <w:szCs w:val="12"/>
                <w:color w:val="auto"/>
              </w:rPr>
              <w:t>​</w:t>
            </w:r>
          </w:p>
        </w:tc>
        <w:tc>
          <w:tcPr>
            <w:tcW w:w="5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21" w:lineRule="exact"/>
              <w:rPr>
                <w:sz w:val="20"/>
                <w:szCs w:val="20"/>
                <w:color w:val="auto"/>
              </w:rPr>
            </w:pPr>
            <w:r>
              <w:rPr>
                <w:rFonts w:ascii="Arial" w:cs="Arial" w:eastAsia="Arial" w:hAnsi="Arial"/>
                <w:sz w:val="12"/>
                <w:szCs w:val="12"/>
                <w:color w:val="auto"/>
              </w:rPr>
              <w:t>​</w:t>
            </w: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21" w:lineRule="exact"/>
              <w:rPr>
                <w:sz w:val="20"/>
                <w:szCs w:val="20"/>
                <w:color w:val="auto"/>
              </w:rPr>
            </w:pPr>
            <w:r>
              <w:rPr>
                <w:rFonts w:ascii="Arial" w:cs="Arial" w:eastAsia="Arial" w:hAnsi="Arial"/>
                <w:sz w:val="12"/>
                <w:szCs w:val="12"/>
                <w:color w:val="auto"/>
              </w:rPr>
              <w:t>​</w:t>
            </w: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1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80" w:type="dxa"/>
            <w:vAlign w:val="bottom"/>
            <w:gridSpan w:val="2"/>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18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400" w:type="dxa"/>
            <w:vAlign w:val="bottom"/>
          </w:tcPr>
          <w:p>
            <w:pPr>
              <w:spacing w:after="0"/>
              <w:rPr>
                <w:sz w:val="10"/>
                <w:szCs w:val="10"/>
                <w:color w:val="auto"/>
              </w:rPr>
            </w:pPr>
          </w:p>
        </w:tc>
        <w:tc>
          <w:tcPr>
            <w:tcW w:w="140" w:type="dxa"/>
            <w:vAlign w:val="bottom"/>
          </w:tcPr>
          <w:p>
            <w:pPr>
              <w:jc w:val="right"/>
              <w:ind w:right="2"/>
              <w:spacing w:after="0"/>
              <w:rPr>
                <w:sz w:val="20"/>
                <w:szCs w:val="20"/>
                <w:color w:val="auto"/>
              </w:rPr>
            </w:pPr>
            <w:r>
              <w:rPr>
                <w:rFonts w:ascii="Arial" w:cs="Arial" w:eastAsia="Arial" w:hAnsi="Arial"/>
                <w:sz w:val="8"/>
                <w:szCs w:val="8"/>
                <w:color w:val="auto"/>
                <w:w w:val="81"/>
              </w:rPr>
              <w:t>(6)</w:t>
            </w: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0" w:type="dxa"/>
            <w:vAlign w:val="bottom"/>
          </w:tcPr>
          <w:p>
            <w:pPr>
              <w:ind w:left="20"/>
              <w:spacing w:after="0" w:line="121"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line="49" w:lineRule="exact"/>
              <w:rPr>
                <w:sz w:val="20"/>
                <w:szCs w:val="20"/>
                <w:color w:val="auto"/>
              </w:rPr>
            </w:pPr>
            <w:r>
              <w:rPr>
                <w:rFonts w:ascii="Arial" w:cs="Arial" w:eastAsia="Arial" w:hAnsi="Arial"/>
                <w:sz w:val="5"/>
                <w:szCs w:val="5"/>
                <w:color w:val="auto"/>
              </w:rPr>
              <w:t>​</w:t>
            </w:r>
          </w:p>
        </w:tc>
        <w:tc>
          <w:tcPr>
            <w:tcW w:w="5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2"/>
          </w:tcPr>
          <w:p>
            <w:pPr>
              <w:ind w:left="340"/>
              <w:spacing w:after="0" w:line="49" w:lineRule="exact"/>
              <w:rPr>
                <w:sz w:val="20"/>
                <w:szCs w:val="20"/>
                <w:color w:val="auto"/>
              </w:rPr>
            </w:pPr>
            <w:r>
              <w:rPr>
                <w:rFonts w:ascii="Arial" w:cs="Arial" w:eastAsia="Arial" w:hAnsi="Arial"/>
                <w:sz w:val="5"/>
                <w:szCs w:val="5"/>
                <w:color w:val="auto"/>
              </w:rPr>
              <w:t>​—</w:t>
            </w:r>
          </w:p>
        </w:tc>
        <w:tc>
          <w:tcPr>
            <w:tcW w:w="100" w:type="dxa"/>
            <w:vAlign w:val="bottom"/>
          </w:tcPr>
          <w:p>
            <w:pPr>
              <w:spacing w:after="0"/>
              <w:rPr>
                <w:sz w:val="4"/>
                <w:szCs w:val="4"/>
                <w:color w:val="auto"/>
              </w:rPr>
            </w:pPr>
          </w:p>
        </w:tc>
        <w:tc>
          <w:tcPr>
            <w:tcW w:w="300" w:type="dxa"/>
            <w:vAlign w:val="bottom"/>
          </w:tcPr>
          <w:p>
            <w:pPr>
              <w:ind w:left="160"/>
              <w:spacing w:after="0" w:line="49" w:lineRule="exact"/>
              <w:rPr>
                <w:sz w:val="20"/>
                <w:szCs w:val="20"/>
                <w:color w:val="auto"/>
              </w:rPr>
            </w:pPr>
            <w:r>
              <w:rPr>
                <w:rFonts w:ascii="Arial" w:cs="Arial" w:eastAsia="Arial" w:hAnsi="Arial"/>
                <w:sz w:val="5"/>
                <w:szCs w:val="5"/>
                <w:color w:val="auto"/>
              </w:rPr>
              <w:t>​</w:t>
            </w:r>
          </w:p>
        </w:tc>
        <w:tc>
          <w:tcPr>
            <w:tcW w:w="2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8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gridSpan w:val="2"/>
          </w:tcPr>
          <w:p>
            <w:pPr>
              <w:ind w:left="100"/>
              <w:spacing w:after="0" w:line="49" w:lineRule="exact"/>
              <w:rPr>
                <w:sz w:val="20"/>
                <w:szCs w:val="20"/>
                <w:color w:val="auto"/>
              </w:rPr>
            </w:pPr>
            <w:r>
              <w:rPr>
                <w:rFonts w:ascii="Arial" w:cs="Arial" w:eastAsia="Arial" w:hAnsi="Arial"/>
                <w:sz w:val="5"/>
                <w:szCs w:val="5"/>
                <w:color w:val="auto"/>
              </w:rPr>
              <w:t>​ 19,000</w:t>
            </w: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gridSpan w:val="4"/>
          </w:tcPr>
          <w:p>
            <w:pPr>
              <w:ind w:left="120"/>
              <w:spacing w:after="0" w:line="49" w:lineRule="exact"/>
              <w:rPr>
                <w:sz w:val="20"/>
                <w:szCs w:val="20"/>
                <w:color w:val="auto"/>
              </w:rPr>
            </w:pPr>
            <w:r>
              <w:rPr>
                <w:rFonts w:ascii="Arial" w:cs="Arial" w:eastAsia="Arial" w:hAnsi="Arial"/>
                <w:sz w:val="5"/>
                <w:szCs w:val="5"/>
                <w:color w:val="auto"/>
              </w:rPr>
              <w:t>$12,491</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160" w:type="dxa"/>
            <w:vAlign w:val="bottom"/>
            <w:gridSpan w:val="2"/>
          </w:tcPr>
          <w:p>
            <w:pPr>
              <w:ind w:left="6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54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100" w:type="dxa"/>
            <w:vAlign w:val="bottom"/>
          </w:tcPr>
          <w:p>
            <w:pPr>
              <w:ind w:left="40"/>
              <w:spacing w:after="0"/>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280" w:type="dxa"/>
            <w:vAlign w:val="bottom"/>
            <w:gridSpan w:val="3"/>
          </w:tcPr>
          <w:p>
            <w:pPr>
              <w:ind w:left="10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70"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9"/>
                <w:szCs w:val="19"/>
                <w:color w:val="auto"/>
                <w:vertAlign w:val="subscript"/>
              </w:rPr>
              <w:t>​</w:t>
            </w:r>
          </w:p>
        </w:tc>
        <w:tc>
          <w:tcPr>
            <w:tcW w:w="600" w:type="dxa"/>
            <w:vAlign w:val="bottom"/>
            <w:gridSpan w:val="2"/>
          </w:tcPr>
          <w:p>
            <w:pPr>
              <w:jc w:val="right"/>
              <w:spacing w:after="0" w:line="170"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b w:val="1"/>
                <w:bCs w:val="1"/>
                <w:color w:val="auto"/>
              </w:rPr>
              <w:t>​</w:t>
            </w:r>
          </w:p>
        </w:tc>
        <w:tc>
          <w:tcPr>
            <w:tcW w:w="180" w:type="dxa"/>
            <w:vAlign w:val="bottom"/>
          </w:tcPr>
          <w:p>
            <w:pPr>
              <w:ind w:left="10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gridSpan w:val="2"/>
          </w:tcPr>
          <w:p>
            <w:pPr>
              <w:ind w:left="10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4"/>
          </w:tcPr>
          <w:p>
            <w:pPr>
              <w:ind w:left="10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 10,000</w:t>
            </w:r>
            <w:r>
              <w:rPr>
                <w:rFonts w:ascii="Arial" w:cs="Arial" w:eastAsia="Arial" w:hAnsi="Arial"/>
                <w:sz w:val="13"/>
                <w:szCs w:val="13"/>
                <w:color w:val="auto"/>
                <w:vertAlign w:val="superscript"/>
              </w:rPr>
              <w:t>(13)</w:t>
            </w: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100" w:type="dxa"/>
            <w:vAlign w:val="bottom"/>
          </w:tcPr>
          <w:p>
            <w:pPr>
              <w:ind w:left="20"/>
              <w:spacing w:after="0" w:line="170" w:lineRule="exact"/>
              <w:rPr>
                <w:sz w:val="20"/>
                <w:szCs w:val="20"/>
                <w:color w:val="auto"/>
              </w:rPr>
            </w:pPr>
            <w:r>
              <w:rPr>
                <w:rFonts w:ascii="Arial" w:cs="Arial" w:eastAsia="Arial" w:hAnsi="Arial"/>
                <w:sz w:val="10"/>
                <w:szCs w:val="10"/>
                <w:color w:val="auto"/>
                <w:w w:val="84"/>
              </w:rPr>
              <w:t>​</w:t>
            </w:r>
            <w:r>
              <w:rPr>
                <w:rFonts w:ascii="Arial" w:cs="Arial" w:eastAsia="Arial" w:hAnsi="Arial"/>
                <w:sz w:val="19"/>
                <w:szCs w:val="19"/>
                <w:color w:val="auto"/>
                <w:w w:val="84"/>
                <w:vertAlign w:val="subscript"/>
              </w:rPr>
              <w:t>$</w:t>
            </w:r>
          </w:p>
        </w:tc>
        <w:tc>
          <w:tcPr>
            <w:tcW w:w="40" w:type="dxa"/>
            <w:vAlign w:val="bottom"/>
          </w:tcPr>
          <w:p>
            <w:pPr>
              <w:spacing w:after="0"/>
              <w:rPr>
                <w:sz w:val="14"/>
                <w:szCs w:val="14"/>
                <w:color w:val="auto"/>
              </w:rPr>
            </w:pPr>
          </w:p>
        </w:tc>
        <w:tc>
          <w:tcPr>
            <w:tcW w:w="500" w:type="dxa"/>
            <w:vAlign w:val="bottom"/>
          </w:tcPr>
          <w:p>
            <w:pPr>
              <w:jc w:val="right"/>
              <w:ind w:right="100"/>
              <w:spacing w:after="0"/>
              <w:rPr>
                <w:sz w:val="20"/>
                <w:szCs w:val="20"/>
                <w:color w:val="auto"/>
              </w:rPr>
            </w:pPr>
            <w:r>
              <w:rPr>
                <w:rFonts w:ascii="Arial" w:cs="Arial" w:eastAsia="Arial" w:hAnsi="Arial"/>
                <w:sz w:val="12"/>
                <w:szCs w:val="12"/>
                <w:color w:val="auto"/>
              </w:rPr>
              <w:t>6,574</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ind w:left="20"/>
              <w:spacing w:after="0" w:line="121" w:lineRule="exact"/>
              <w:rPr>
                <w:sz w:val="20"/>
                <w:szCs w:val="20"/>
                <w:color w:val="auto"/>
              </w:rPr>
            </w:pPr>
            <w:r>
              <w:rPr>
                <w:rFonts w:ascii="Arial" w:cs="Arial" w:eastAsia="Arial" w:hAnsi="Arial"/>
                <w:sz w:val="12"/>
                <w:szCs w:val="12"/>
                <w:color w:val="auto"/>
              </w:rPr>
              <w:t>​</w:t>
            </w:r>
          </w:p>
        </w:tc>
        <w:tc>
          <w:tcPr>
            <w:tcW w:w="160" w:type="dxa"/>
            <w:vAlign w:val="bottom"/>
            <w:gridSpan w:val="2"/>
          </w:tcPr>
          <w:p>
            <w:pPr>
              <w:ind w:left="60"/>
              <w:spacing w:after="0" w:line="121" w:lineRule="exact"/>
              <w:rPr>
                <w:sz w:val="20"/>
                <w:szCs w:val="20"/>
                <w:color w:val="auto"/>
              </w:rPr>
            </w:pPr>
            <w:r>
              <w:rPr>
                <w:rFonts w:ascii="Arial" w:cs="Arial" w:eastAsia="Arial" w:hAnsi="Arial"/>
                <w:sz w:val="12"/>
                <w:szCs w:val="12"/>
                <w:color w:val="auto"/>
              </w:rPr>
              <w:t>​</w:t>
            </w:r>
          </w:p>
        </w:tc>
        <w:tc>
          <w:tcPr>
            <w:tcW w:w="5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21" w:lineRule="exact"/>
              <w:rPr>
                <w:sz w:val="20"/>
                <w:szCs w:val="20"/>
                <w:color w:val="auto"/>
              </w:rPr>
            </w:pPr>
            <w:r>
              <w:rPr>
                <w:rFonts w:ascii="Arial" w:cs="Arial" w:eastAsia="Arial" w:hAnsi="Arial"/>
                <w:sz w:val="12"/>
                <w:szCs w:val="12"/>
                <w:color w:val="auto"/>
              </w:rPr>
              <w:t>​</w:t>
            </w: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21" w:lineRule="exact"/>
              <w:rPr>
                <w:sz w:val="20"/>
                <w:szCs w:val="20"/>
                <w:color w:val="auto"/>
              </w:rPr>
            </w:pPr>
            <w:r>
              <w:rPr>
                <w:rFonts w:ascii="Arial" w:cs="Arial" w:eastAsia="Arial" w:hAnsi="Arial"/>
                <w:sz w:val="12"/>
                <w:szCs w:val="12"/>
                <w:color w:val="auto"/>
              </w:rPr>
              <w:t>​</w:t>
            </w: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1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80" w:type="dxa"/>
            <w:vAlign w:val="bottom"/>
            <w:gridSpan w:val="2"/>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18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3,334</w:t>
            </w:r>
          </w:p>
        </w:tc>
        <w:tc>
          <w:tcPr>
            <w:tcW w:w="140" w:type="dxa"/>
            <w:vAlign w:val="bottom"/>
          </w:tcPr>
          <w:p>
            <w:pPr>
              <w:jc w:val="right"/>
              <w:spacing w:after="0"/>
              <w:rPr>
                <w:sz w:val="20"/>
                <w:szCs w:val="20"/>
                <w:color w:val="auto"/>
              </w:rPr>
            </w:pPr>
            <w:r>
              <w:rPr>
                <w:rFonts w:ascii="Arial" w:cs="Arial" w:eastAsia="Arial" w:hAnsi="Arial"/>
                <w:sz w:val="6"/>
                <w:szCs w:val="6"/>
                <w:color w:val="auto"/>
                <w:w w:val="93"/>
              </w:rPr>
              <w:t>(12)</w:t>
            </w: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0" w:type="dxa"/>
            <w:vAlign w:val="bottom"/>
          </w:tcPr>
          <w:p>
            <w:pPr>
              <w:ind w:left="20"/>
              <w:spacing w:after="0" w:line="121" w:lineRule="exact"/>
              <w:rPr>
                <w:sz w:val="20"/>
                <w:szCs w:val="20"/>
                <w:color w:val="auto"/>
              </w:rPr>
            </w:pPr>
            <w:r>
              <w:rPr>
                <w:rFonts w:ascii="Arial" w:cs="Arial" w:eastAsia="Arial" w:hAnsi="Arial"/>
                <w:sz w:val="12"/>
                <w:szCs w:val="12"/>
                <w:color w:val="auto"/>
              </w:rPr>
              <w:t>​</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500" w:type="dxa"/>
            <w:vAlign w:val="bottom"/>
            <w:vMerge w:val="restart"/>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line="49" w:lineRule="exact"/>
              <w:rPr>
                <w:sz w:val="20"/>
                <w:szCs w:val="20"/>
                <w:color w:val="auto"/>
              </w:rPr>
            </w:pPr>
            <w:r>
              <w:rPr>
                <w:rFonts w:ascii="Arial" w:cs="Arial" w:eastAsia="Arial" w:hAnsi="Arial"/>
                <w:sz w:val="5"/>
                <w:szCs w:val="5"/>
                <w:color w:val="auto"/>
              </w:rPr>
              <w:t>​</w:t>
            </w:r>
          </w:p>
        </w:tc>
        <w:tc>
          <w:tcPr>
            <w:tcW w:w="5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2"/>
          </w:tcPr>
          <w:p>
            <w:pPr>
              <w:ind w:left="340"/>
              <w:spacing w:after="0" w:line="49" w:lineRule="exact"/>
              <w:rPr>
                <w:sz w:val="20"/>
                <w:szCs w:val="20"/>
                <w:color w:val="auto"/>
              </w:rPr>
            </w:pPr>
            <w:r>
              <w:rPr>
                <w:rFonts w:ascii="Arial" w:cs="Arial" w:eastAsia="Arial" w:hAnsi="Arial"/>
                <w:sz w:val="5"/>
                <w:szCs w:val="5"/>
                <w:color w:val="auto"/>
              </w:rPr>
              <w:t>​—</w:t>
            </w:r>
          </w:p>
        </w:tc>
        <w:tc>
          <w:tcPr>
            <w:tcW w:w="100" w:type="dxa"/>
            <w:vAlign w:val="bottom"/>
          </w:tcPr>
          <w:p>
            <w:pPr>
              <w:spacing w:after="0"/>
              <w:rPr>
                <w:sz w:val="4"/>
                <w:szCs w:val="4"/>
                <w:color w:val="auto"/>
              </w:rPr>
            </w:pPr>
          </w:p>
        </w:tc>
        <w:tc>
          <w:tcPr>
            <w:tcW w:w="300" w:type="dxa"/>
            <w:vAlign w:val="bottom"/>
          </w:tcPr>
          <w:p>
            <w:pPr>
              <w:ind w:left="160"/>
              <w:spacing w:after="0" w:line="49" w:lineRule="exact"/>
              <w:rPr>
                <w:sz w:val="20"/>
                <w:szCs w:val="20"/>
                <w:color w:val="auto"/>
              </w:rPr>
            </w:pPr>
            <w:r>
              <w:rPr>
                <w:rFonts w:ascii="Arial" w:cs="Arial" w:eastAsia="Arial" w:hAnsi="Arial"/>
                <w:sz w:val="5"/>
                <w:szCs w:val="5"/>
                <w:color w:val="auto"/>
              </w:rPr>
              <w:t>​</w:t>
            </w:r>
          </w:p>
        </w:tc>
        <w:tc>
          <w:tcPr>
            <w:tcW w:w="2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8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3"/>
          </w:tcPr>
          <w:p>
            <w:pPr>
              <w:ind w:left="100"/>
              <w:spacing w:after="0" w:line="49" w:lineRule="exact"/>
              <w:rPr>
                <w:sz w:val="20"/>
                <w:szCs w:val="20"/>
                <w:color w:val="auto"/>
              </w:rPr>
            </w:pPr>
            <w:r>
              <w:rPr>
                <w:rFonts w:ascii="Arial" w:cs="Arial" w:eastAsia="Arial" w:hAnsi="Arial"/>
                <w:sz w:val="5"/>
                <w:szCs w:val="5"/>
                <w:color w:val="auto"/>
              </w:rPr>
              <w:t>$ 2,192</w:t>
            </w:r>
          </w:p>
        </w:tc>
        <w:tc>
          <w:tcPr>
            <w:tcW w:w="60" w:type="dxa"/>
            <w:vAlign w:val="bottom"/>
          </w:tcPr>
          <w:p>
            <w:pPr>
              <w:spacing w:after="0"/>
              <w:rPr>
                <w:sz w:val="4"/>
                <w:szCs w:val="4"/>
                <w:color w:val="auto"/>
              </w:rPr>
            </w:pPr>
          </w:p>
        </w:tc>
        <w:tc>
          <w:tcPr>
            <w:tcW w:w="14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ind w:left="20"/>
              <w:spacing w:after="0" w:line="121" w:lineRule="exact"/>
              <w:rPr>
                <w:sz w:val="20"/>
                <w:szCs w:val="20"/>
                <w:color w:val="auto"/>
              </w:rPr>
            </w:pPr>
            <w:r>
              <w:rPr>
                <w:rFonts w:ascii="Arial" w:cs="Arial" w:eastAsia="Arial" w:hAnsi="Arial"/>
                <w:sz w:val="12"/>
                <w:szCs w:val="12"/>
                <w:color w:val="auto"/>
              </w:rPr>
              <w:t>​</w:t>
            </w:r>
          </w:p>
        </w:tc>
        <w:tc>
          <w:tcPr>
            <w:tcW w:w="160" w:type="dxa"/>
            <w:vAlign w:val="bottom"/>
            <w:gridSpan w:val="2"/>
          </w:tcPr>
          <w:p>
            <w:pPr>
              <w:ind w:left="60"/>
              <w:spacing w:after="0" w:line="121" w:lineRule="exact"/>
              <w:rPr>
                <w:sz w:val="20"/>
                <w:szCs w:val="20"/>
                <w:color w:val="auto"/>
              </w:rPr>
            </w:pPr>
            <w:r>
              <w:rPr>
                <w:rFonts w:ascii="Arial" w:cs="Arial" w:eastAsia="Arial" w:hAnsi="Arial"/>
                <w:sz w:val="12"/>
                <w:szCs w:val="12"/>
                <w:color w:val="auto"/>
              </w:rPr>
              <w:t>​</w:t>
            </w:r>
          </w:p>
        </w:tc>
        <w:tc>
          <w:tcPr>
            <w:tcW w:w="5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21" w:lineRule="exact"/>
              <w:rPr>
                <w:sz w:val="20"/>
                <w:szCs w:val="20"/>
                <w:color w:val="auto"/>
              </w:rPr>
            </w:pPr>
            <w:r>
              <w:rPr>
                <w:rFonts w:ascii="Arial" w:cs="Arial" w:eastAsia="Arial" w:hAnsi="Arial"/>
                <w:sz w:val="12"/>
                <w:szCs w:val="12"/>
                <w:color w:val="auto"/>
              </w:rPr>
              <w:t>​</w:t>
            </w: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21" w:lineRule="exact"/>
              <w:rPr>
                <w:sz w:val="20"/>
                <w:szCs w:val="20"/>
                <w:color w:val="auto"/>
              </w:rPr>
            </w:pPr>
            <w:r>
              <w:rPr>
                <w:rFonts w:ascii="Arial" w:cs="Arial" w:eastAsia="Arial" w:hAnsi="Arial"/>
                <w:sz w:val="12"/>
                <w:szCs w:val="12"/>
                <w:color w:val="auto"/>
              </w:rPr>
              <w:t>​</w:t>
            </w: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1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80" w:type="dxa"/>
            <w:vAlign w:val="bottom"/>
            <w:gridSpan w:val="2"/>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18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5,799</w:t>
            </w:r>
          </w:p>
        </w:tc>
        <w:tc>
          <w:tcPr>
            <w:tcW w:w="140" w:type="dxa"/>
            <w:vAlign w:val="bottom"/>
          </w:tcPr>
          <w:p>
            <w:pPr>
              <w:jc w:val="right"/>
              <w:spacing w:after="0"/>
              <w:rPr>
                <w:sz w:val="20"/>
                <w:szCs w:val="20"/>
                <w:color w:val="auto"/>
              </w:rPr>
            </w:pPr>
            <w:r>
              <w:rPr>
                <w:rFonts w:ascii="Arial" w:cs="Arial" w:eastAsia="Arial" w:hAnsi="Arial"/>
                <w:sz w:val="6"/>
                <w:szCs w:val="6"/>
                <w:color w:val="auto"/>
                <w:w w:val="93"/>
              </w:rPr>
              <w:t>(14)</w:t>
            </w: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0" w:type="dxa"/>
            <w:vAlign w:val="bottom"/>
          </w:tcPr>
          <w:p>
            <w:pPr>
              <w:ind w:left="20"/>
              <w:spacing w:after="0" w:line="121" w:lineRule="exact"/>
              <w:rPr>
                <w:sz w:val="20"/>
                <w:szCs w:val="20"/>
                <w:color w:val="auto"/>
              </w:rPr>
            </w:pPr>
            <w:r>
              <w:rPr>
                <w:rFonts w:ascii="Arial" w:cs="Arial" w:eastAsia="Arial" w:hAnsi="Arial"/>
                <w:sz w:val="12"/>
                <w:szCs w:val="12"/>
                <w:color w:val="auto"/>
              </w:rPr>
              <w:t>​</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500" w:type="dxa"/>
            <w:vAlign w:val="bottom"/>
            <w:vMerge w:val="restart"/>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line="49" w:lineRule="exact"/>
              <w:rPr>
                <w:sz w:val="20"/>
                <w:szCs w:val="20"/>
                <w:color w:val="auto"/>
              </w:rPr>
            </w:pPr>
            <w:r>
              <w:rPr>
                <w:rFonts w:ascii="Arial" w:cs="Arial" w:eastAsia="Arial" w:hAnsi="Arial"/>
                <w:sz w:val="5"/>
                <w:szCs w:val="5"/>
                <w:color w:val="auto"/>
              </w:rPr>
              <w:t>​</w:t>
            </w:r>
          </w:p>
        </w:tc>
        <w:tc>
          <w:tcPr>
            <w:tcW w:w="5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2"/>
          </w:tcPr>
          <w:p>
            <w:pPr>
              <w:ind w:left="340"/>
              <w:spacing w:after="0" w:line="49" w:lineRule="exact"/>
              <w:rPr>
                <w:sz w:val="20"/>
                <w:szCs w:val="20"/>
                <w:color w:val="auto"/>
              </w:rPr>
            </w:pPr>
            <w:r>
              <w:rPr>
                <w:rFonts w:ascii="Arial" w:cs="Arial" w:eastAsia="Arial" w:hAnsi="Arial"/>
                <w:sz w:val="5"/>
                <w:szCs w:val="5"/>
                <w:color w:val="auto"/>
              </w:rPr>
              <w:t>​—</w:t>
            </w:r>
          </w:p>
        </w:tc>
        <w:tc>
          <w:tcPr>
            <w:tcW w:w="100" w:type="dxa"/>
            <w:vAlign w:val="bottom"/>
          </w:tcPr>
          <w:p>
            <w:pPr>
              <w:spacing w:after="0"/>
              <w:rPr>
                <w:sz w:val="4"/>
                <w:szCs w:val="4"/>
                <w:color w:val="auto"/>
              </w:rPr>
            </w:pPr>
          </w:p>
        </w:tc>
        <w:tc>
          <w:tcPr>
            <w:tcW w:w="300" w:type="dxa"/>
            <w:vAlign w:val="bottom"/>
          </w:tcPr>
          <w:p>
            <w:pPr>
              <w:ind w:left="160"/>
              <w:spacing w:after="0" w:line="49" w:lineRule="exact"/>
              <w:rPr>
                <w:sz w:val="20"/>
                <w:szCs w:val="20"/>
                <w:color w:val="auto"/>
              </w:rPr>
            </w:pPr>
            <w:r>
              <w:rPr>
                <w:rFonts w:ascii="Arial" w:cs="Arial" w:eastAsia="Arial" w:hAnsi="Arial"/>
                <w:sz w:val="5"/>
                <w:szCs w:val="5"/>
                <w:color w:val="auto"/>
              </w:rPr>
              <w:t>​</w:t>
            </w:r>
          </w:p>
        </w:tc>
        <w:tc>
          <w:tcPr>
            <w:tcW w:w="2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8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3"/>
          </w:tcPr>
          <w:p>
            <w:pPr>
              <w:ind w:left="100"/>
              <w:spacing w:after="0" w:line="49" w:lineRule="exact"/>
              <w:rPr>
                <w:sz w:val="20"/>
                <w:szCs w:val="20"/>
                <w:color w:val="auto"/>
              </w:rPr>
            </w:pPr>
            <w:r>
              <w:rPr>
                <w:rFonts w:ascii="Arial" w:cs="Arial" w:eastAsia="Arial" w:hAnsi="Arial"/>
                <w:sz w:val="5"/>
                <w:szCs w:val="5"/>
                <w:color w:val="auto"/>
              </w:rPr>
              <w:t>$ 3,812</w:t>
            </w:r>
          </w:p>
        </w:tc>
        <w:tc>
          <w:tcPr>
            <w:tcW w:w="60" w:type="dxa"/>
            <w:vAlign w:val="bottom"/>
          </w:tcPr>
          <w:p>
            <w:pPr>
              <w:spacing w:after="0"/>
              <w:rPr>
                <w:sz w:val="4"/>
                <w:szCs w:val="4"/>
                <w:color w:val="auto"/>
              </w:rPr>
            </w:pPr>
          </w:p>
        </w:tc>
        <w:tc>
          <w:tcPr>
            <w:tcW w:w="14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160" w:type="dxa"/>
            <w:vAlign w:val="bottom"/>
            <w:gridSpan w:val="2"/>
          </w:tcPr>
          <w:p>
            <w:pPr>
              <w:ind w:left="6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54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100" w:type="dxa"/>
            <w:vAlign w:val="bottom"/>
          </w:tcPr>
          <w:p>
            <w:pPr>
              <w:ind w:left="40"/>
              <w:spacing w:after="0"/>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280" w:type="dxa"/>
            <w:vAlign w:val="bottom"/>
            <w:gridSpan w:val="3"/>
          </w:tcPr>
          <w:p>
            <w:pPr>
              <w:ind w:left="10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70"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9"/>
                <w:szCs w:val="19"/>
                <w:color w:val="auto"/>
                <w:vertAlign w:val="subscript"/>
              </w:rPr>
              <w:t>​</w:t>
            </w:r>
          </w:p>
        </w:tc>
        <w:tc>
          <w:tcPr>
            <w:tcW w:w="600" w:type="dxa"/>
            <w:vAlign w:val="bottom"/>
            <w:gridSpan w:val="2"/>
          </w:tcPr>
          <w:p>
            <w:pPr>
              <w:jc w:val="right"/>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b w:val="1"/>
                <w:bCs w:val="1"/>
                <w:color w:val="auto"/>
                <w:vertAlign w:val="superscript"/>
              </w:rPr>
              <w:t>​</w:t>
            </w:r>
          </w:p>
        </w:tc>
        <w:tc>
          <w:tcPr>
            <w:tcW w:w="180" w:type="dxa"/>
            <w:vAlign w:val="bottom"/>
          </w:tcPr>
          <w:p>
            <w:pPr>
              <w:ind w:left="10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gridSpan w:val="2"/>
          </w:tcPr>
          <w:p>
            <w:pPr>
              <w:ind w:left="10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4"/>
          </w:tcPr>
          <w:p>
            <w:pPr>
              <w:ind w:left="10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 12,500</w:t>
            </w:r>
            <w:r>
              <w:rPr>
                <w:rFonts w:ascii="Arial" w:cs="Arial" w:eastAsia="Arial" w:hAnsi="Arial"/>
                <w:sz w:val="13"/>
                <w:szCs w:val="13"/>
                <w:color w:val="auto"/>
                <w:vertAlign w:val="superscript"/>
              </w:rPr>
              <w:t>(16)</w:t>
            </w: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100" w:type="dxa"/>
            <w:vAlign w:val="bottom"/>
          </w:tcPr>
          <w:p>
            <w:pPr>
              <w:ind w:left="20"/>
              <w:spacing w:after="0" w:line="170" w:lineRule="exact"/>
              <w:rPr>
                <w:sz w:val="20"/>
                <w:szCs w:val="20"/>
                <w:color w:val="auto"/>
              </w:rPr>
            </w:pPr>
            <w:r>
              <w:rPr>
                <w:rFonts w:ascii="Arial" w:cs="Arial" w:eastAsia="Arial" w:hAnsi="Arial"/>
                <w:sz w:val="10"/>
                <w:szCs w:val="10"/>
                <w:color w:val="auto"/>
                <w:w w:val="84"/>
              </w:rPr>
              <w:t>​</w:t>
            </w:r>
            <w:r>
              <w:rPr>
                <w:rFonts w:ascii="Arial" w:cs="Arial" w:eastAsia="Arial" w:hAnsi="Arial"/>
                <w:sz w:val="19"/>
                <w:szCs w:val="19"/>
                <w:color w:val="auto"/>
                <w:w w:val="84"/>
                <w:vertAlign w:val="subscript"/>
              </w:rPr>
              <w:t>$</w:t>
            </w:r>
          </w:p>
        </w:tc>
        <w:tc>
          <w:tcPr>
            <w:tcW w:w="40" w:type="dxa"/>
            <w:vAlign w:val="bottom"/>
          </w:tcPr>
          <w:p>
            <w:pPr>
              <w:spacing w:after="0"/>
              <w:rPr>
                <w:sz w:val="14"/>
                <w:szCs w:val="14"/>
                <w:color w:val="auto"/>
              </w:rPr>
            </w:pPr>
          </w:p>
        </w:tc>
        <w:tc>
          <w:tcPr>
            <w:tcW w:w="500" w:type="dxa"/>
            <w:vAlign w:val="bottom"/>
          </w:tcPr>
          <w:p>
            <w:pPr>
              <w:jc w:val="right"/>
              <w:ind w:right="100"/>
              <w:spacing w:after="0"/>
              <w:rPr>
                <w:sz w:val="20"/>
                <w:szCs w:val="20"/>
                <w:color w:val="auto"/>
              </w:rPr>
            </w:pPr>
            <w:r>
              <w:rPr>
                <w:rFonts w:ascii="Arial" w:cs="Arial" w:eastAsia="Arial" w:hAnsi="Arial"/>
                <w:sz w:val="12"/>
                <w:szCs w:val="12"/>
                <w:color w:val="auto"/>
              </w:rPr>
              <w:t>8,218</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ind w:left="20"/>
              <w:spacing w:after="0" w:line="121" w:lineRule="exact"/>
              <w:rPr>
                <w:sz w:val="20"/>
                <w:szCs w:val="20"/>
                <w:color w:val="auto"/>
              </w:rPr>
            </w:pPr>
            <w:r>
              <w:rPr>
                <w:rFonts w:ascii="Arial" w:cs="Arial" w:eastAsia="Arial" w:hAnsi="Arial"/>
                <w:sz w:val="12"/>
                <w:szCs w:val="12"/>
                <w:color w:val="auto"/>
              </w:rPr>
              <w:t>​</w:t>
            </w:r>
          </w:p>
        </w:tc>
        <w:tc>
          <w:tcPr>
            <w:tcW w:w="160" w:type="dxa"/>
            <w:vAlign w:val="bottom"/>
            <w:gridSpan w:val="2"/>
          </w:tcPr>
          <w:p>
            <w:pPr>
              <w:ind w:left="60"/>
              <w:spacing w:after="0" w:line="121" w:lineRule="exact"/>
              <w:rPr>
                <w:sz w:val="20"/>
                <w:szCs w:val="20"/>
                <w:color w:val="auto"/>
              </w:rPr>
            </w:pPr>
            <w:r>
              <w:rPr>
                <w:rFonts w:ascii="Arial" w:cs="Arial" w:eastAsia="Arial" w:hAnsi="Arial"/>
                <w:sz w:val="12"/>
                <w:szCs w:val="12"/>
                <w:color w:val="auto"/>
              </w:rPr>
              <w:t>​</w:t>
            </w:r>
          </w:p>
        </w:tc>
        <w:tc>
          <w:tcPr>
            <w:tcW w:w="5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21" w:lineRule="exact"/>
              <w:rPr>
                <w:sz w:val="20"/>
                <w:szCs w:val="20"/>
                <w:color w:val="auto"/>
              </w:rPr>
            </w:pPr>
            <w:r>
              <w:rPr>
                <w:rFonts w:ascii="Arial" w:cs="Arial" w:eastAsia="Arial" w:hAnsi="Arial"/>
                <w:sz w:val="12"/>
                <w:szCs w:val="12"/>
                <w:color w:val="auto"/>
              </w:rPr>
              <w:t>​</w:t>
            </w: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21" w:lineRule="exact"/>
              <w:rPr>
                <w:sz w:val="20"/>
                <w:szCs w:val="20"/>
                <w:color w:val="auto"/>
              </w:rPr>
            </w:pPr>
            <w:r>
              <w:rPr>
                <w:rFonts w:ascii="Arial" w:cs="Arial" w:eastAsia="Arial" w:hAnsi="Arial"/>
                <w:sz w:val="12"/>
                <w:szCs w:val="12"/>
                <w:color w:val="auto"/>
              </w:rPr>
              <w:t>​</w:t>
            </w: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1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80" w:type="dxa"/>
            <w:vAlign w:val="bottom"/>
            <w:gridSpan w:val="2"/>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18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8,333</w:t>
            </w:r>
          </w:p>
        </w:tc>
        <w:tc>
          <w:tcPr>
            <w:tcW w:w="140" w:type="dxa"/>
            <w:vAlign w:val="bottom"/>
          </w:tcPr>
          <w:p>
            <w:pPr>
              <w:jc w:val="right"/>
              <w:spacing w:after="0"/>
              <w:rPr>
                <w:sz w:val="20"/>
                <w:szCs w:val="20"/>
                <w:color w:val="auto"/>
              </w:rPr>
            </w:pPr>
            <w:r>
              <w:rPr>
                <w:rFonts w:ascii="Arial" w:cs="Arial" w:eastAsia="Arial" w:hAnsi="Arial"/>
                <w:sz w:val="6"/>
                <w:szCs w:val="6"/>
                <w:color w:val="auto"/>
                <w:w w:val="93"/>
              </w:rPr>
              <w:t>(15)</w:t>
            </w: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0" w:type="dxa"/>
            <w:vAlign w:val="bottom"/>
          </w:tcPr>
          <w:p>
            <w:pPr>
              <w:ind w:left="20"/>
              <w:spacing w:after="0" w:line="121" w:lineRule="exact"/>
              <w:rPr>
                <w:sz w:val="20"/>
                <w:szCs w:val="20"/>
                <w:color w:val="auto"/>
              </w:rPr>
            </w:pPr>
            <w:r>
              <w:rPr>
                <w:rFonts w:ascii="Arial" w:cs="Arial" w:eastAsia="Arial" w:hAnsi="Arial"/>
                <w:sz w:val="12"/>
                <w:szCs w:val="12"/>
                <w:color w:val="auto"/>
              </w:rPr>
              <w:t>​</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500" w:type="dxa"/>
            <w:vAlign w:val="bottom"/>
            <w:vMerge w:val="restart"/>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line="49" w:lineRule="exact"/>
              <w:rPr>
                <w:sz w:val="20"/>
                <w:szCs w:val="20"/>
                <w:color w:val="auto"/>
              </w:rPr>
            </w:pPr>
            <w:r>
              <w:rPr>
                <w:rFonts w:ascii="Arial" w:cs="Arial" w:eastAsia="Arial" w:hAnsi="Arial"/>
                <w:sz w:val="5"/>
                <w:szCs w:val="5"/>
                <w:color w:val="auto"/>
              </w:rPr>
              <w:t>​</w:t>
            </w:r>
          </w:p>
        </w:tc>
        <w:tc>
          <w:tcPr>
            <w:tcW w:w="5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2"/>
          </w:tcPr>
          <w:p>
            <w:pPr>
              <w:ind w:left="340"/>
              <w:spacing w:after="0" w:line="49" w:lineRule="exact"/>
              <w:rPr>
                <w:sz w:val="20"/>
                <w:szCs w:val="20"/>
                <w:color w:val="auto"/>
              </w:rPr>
            </w:pPr>
            <w:r>
              <w:rPr>
                <w:rFonts w:ascii="Arial" w:cs="Arial" w:eastAsia="Arial" w:hAnsi="Arial"/>
                <w:sz w:val="5"/>
                <w:szCs w:val="5"/>
                <w:color w:val="auto"/>
              </w:rPr>
              <w:t>​—</w:t>
            </w:r>
          </w:p>
        </w:tc>
        <w:tc>
          <w:tcPr>
            <w:tcW w:w="100" w:type="dxa"/>
            <w:vAlign w:val="bottom"/>
          </w:tcPr>
          <w:p>
            <w:pPr>
              <w:spacing w:after="0"/>
              <w:rPr>
                <w:sz w:val="4"/>
                <w:szCs w:val="4"/>
                <w:color w:val="auto"/>
              </w:rPr>
            </w:pPr>
          </w:p>
        </w:tc>
        <w:tc>
          <w:tcPr>
            <w:tcW w:w="300" w:type="dxa"/>
            <w:vAlign w:val="bottom"/>
          </w:tcPr>
          <w:p>
            <w:pPr>
              <w:ind w:left="160"/>
              <w:spacing w:after="0" w:line="49" w:lineRule="exact"/>
              <w:rPr>
                <w:sz w:val="20"/>
                <w:szCs w:val="20"/>
                <w:color w:val="auto"/>
              </w:rPr>
            </w:pPr>
            <w:r>
              <w:rPr>
                <w:rFonts w:ascii="Arial" w:cs="Arial" w:eastAsia="Arial" w:hAnsi="Arial"/>
                <w:sz w:val="5"/>
                <w:szCs w:val="5"/>
                <w:color w:val="auto"/>
              </w:rPr>
              <w:t>​</w:t>
            </w:r>
          </w:p>
        </w:tc>
        <w:tc>
          <w:tcPr>
            <w:tcW w:w="2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8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3"/>
          </w:tcPr>
          <w:p>
            <w:pPr>
              <w:ind w:left="100"/>
              <w:spacing w:after="0" w:line="49" w:lineRule="exact"/>
              <w:rPr>
                <w:sz w:val="20"/>
                <w:szCs w:val="20"/>
                <w:color w:val="auto"/>
              </w:rPr>
            </w:pPr>
            <w:r>
              <w:rPr>
                <w:rFonts w:ascii="Arial" w:cs="Arial" w:eastAsia="Arial" w:hAnsi="Arial"/>
                <w:sz w:val="5"/>
                <w:szCs w:val="5"/>
                <w:color w:val="auto"/>
              </w:rPr>
              <w:t>$ 5,478</w:t>
            </w:r>
          </w:p>
        </w:tc>
        <w:tc>
          <w:tcPr>
            <w:tcW w:w="60" w:type="dxa"/>
            <w:vAlign w:val="bottom"/>
          </w:tcPr>
          <w:p>
            <w:pPr>
              <w:spacing w:after="0"/>
              <w:rPr>
                <w:sz w:val="4"/>
                <w:szCs w:val="4"/>
                <w:color w:val="auto"/>
              </w:rPr>
            </w:pPr>
          </w:p>
        </w:tc>
        <w:tc>
          <w:tcPr>
            <w:tcW w:w="14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ind w:left="20"/>
              <w:spacing w:after="0" w:line="121" w:lineRule="exact"/>
              <w:rPr>
                <w:sz w:val="20"/>
                <w:szCs w:val="20"/>
                <w:color w:val="auto"/>
              </w:rPr>
            </w:pPr>
            <w:r>
              <w:rPr>
                <w:rFonts w:ascii="Arial" w:cs="Arial" w:eastAsia="Arial" w:hAnsi="Arial"/>
                <w:sz w:val="12"/>
                <w:szCs w:val="12"/>
                <w:color w:val="auto"/>
              </w:rPr>
              <w:t>​</w:t>
            </w:r>
          </w:p>
        </w:tc>
        <w:tc>
          <w:tcPr>
            <w:tcW w:w="160" w:type="dxa"/>
            <w:vAlign w:val="bottom"/>
            <w:gridSpan w:val="2"/>
          </w:tcPr>
          <w:p>
            <w:pPr>
              <w:ind w:left="60"/>
              <w:spacing w:after="0" w:line="121" w:lineRule="exact"/>
              <w:rPr>
                <w:sz w:val="20"/>
                <w:szCs w:val="20"/>
                <w:color w:val="auto"/>
              </w:rPr>
            </w:pPr>
            <w:r>
              <w:rPr>
                <w:rFonts w:ascii="Arial" w:cs="Arial" w:eastAsia="Arial" w:hAnsi="Arial"/>
                <w:sz w:val="12"/>
                <w:szCs w:val="12"/>
                <w:color w:val="auto"/>
              </w:rPr>
              <w:t>​</w:t>
            </w:r>
          </w:p>
        </w:tc>
        <w:tc>
          <w:tcPr>
            <w:tcW w:w="5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21" w:lineRule="exact"/>
              <w:rPr>
                <w:sz w:val="20"/>
                <w:szCs w:val="20"/>
                <w:color w:val="auto"/>
              </w:rPr>
            </w:pPr>
            <w:r>
              <w:rPr>
                <w:rFonts w:ascii="Arial" w:cs="Arial" w:eastAsia="Arial" w:hAnsi="Arial"/>
                <w:sz w:val="12"/>
                <w:szCs w:val="12"/>
                <w:color w:val="auto"/>
              </w:rPr>
              <w:t>​</w:t>
            </w: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21" w:lineRule="exact"/>
              <w:rPr>
                <w:sz w:val="20"/>
                <w:szCs w:val="20"/>
                <w:color w:val="auto"/>
              </w:rPr>
            </w:pPr>
            <w:r>
              <w:rPr>
                <w:rFonts w:ascii="Arial" w:cs="Arial" w:eastAsia="Arial" w:hAnsi="Arial"/>
                <w:sz w:val="12"/>
                <w:szCs w:val="12"/>
                <w:color w:val="auto"/>
              </w:rPr>
              <w:t>​</w:t>
            </w: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1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80" w:type="dxa"/>
            <w:vAlign w:val="bottom"/>
            <w:gridSpan w:val="2"/>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18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380" w:type="dxa"/>
            <w:vAlign w:val="bottom"/>
          </w:tcPr>
          <w:p>
            <w:pPr>
              <w:spacing w:after="0"/>
              <w:rPr>
                <w:sz w:val="10"/>
                <w:szCs w:val="10"/>
                <w:color w:val="auto"/>
              </w:rPr>
            </w:pPr>
          </w:p>
        </w:tc>
        <w:tc>
          <w:tcPr>
            <w:tcW w:w="140" w:type="dxa"/>
            <w:vAlign w:val="bottom"/>
          </w:tcPr>
          <w:p>
            <w:pPr>
              <w:jc w:val="right"/>
              <w:spacing w:after="0"/>
              <w:rPr>
                <w:sz w:val="20"/>
                <w:szCs w:val="20"/>
                <w:color w:val="auto"/>
              </w:rPr>
            </w:pPr>
            <w:r>
              <w:rPr>
                <w:rFonts w:ascii="Arial" w:cs="Arial" w:eastAsia="Arial" w:hAnsi="Arial"/>
                <w:sz w:val="6"/>
                <w:szCs w:val="6"/>
                <w:color w:val="auto"/>
                <w:w w:val="93"/>
              </w:rPr>
              <w:t>(17)</w:t>
            </w: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0" w:type="dxa"/>
            <w:vAlign w:val="bottom"/>
          </w:tcPr>
          <w:p>
            <w:pPr>
              <w:ind w:left="20"/>
              <w:spacing w:after="0" w:line="121" w:lineRule="exact"/>
              <w:rPr>
                <w:sz w:val="20"/>
                <w:szCs w:val="20"/>
                <w:color w:val="auto"/>
              </w:rPr>
            </w:pPr>
            <w:r>
              <w:rPr>
                <w:rFonts w:ascii="Arial" w:cs="Arial" w:eastAsia="Arial" w:hAnsi="Arial"/>
                <w:sz w:val="12"/>
                <w:szCs w:val="12"/>
                <w:color w:val="auto"/>
              </w:rPr>
              <w:t>​</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500" w:type="dxa"/>
            <w:vAlign w:val="bottom"/>
            <w:vMerge w:val="restart"/>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line="49" w:lineRule="exact"/>
              <w:rPr>
                <w:sz w:val="20"/>
                <w:szCs w:val="20"/>
                <w:color w:val="auto"/>
              </w:rPr>
            </w:pPr>
            <w:r>
              <w:rPr>
                <w:rFonts w:ascii="Arial" w:cs="Arial" w:eastAsia="Arial" w:hAnsi="Arial"/>
                <w:sz w:val="5"/>
                <w:szCs w:val="5"/>
                <w:color w:val="auto"/>
              </w:rPr>
              <w:t>​</w:t>
            </w:r>
          </w:p>
        </w:tc>
        <w:tc>
          <w:tcPr>
            <w:tcW w:w="5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2"/>
          </w:tcPr>
          <w:p>
            <w:pPr>
              <w:ind w:left="340"/>
              <w:spacing w:after="0" w:line="49" w:lineRule="exact"/>
              <w:rPr>
                <w:sz w:val="20"/>
                <w:szCs w:val="20"/>
                <w:color w:val="auto"/>
              </w:rPr>
            </w:pPr>
            <w:r>
              <w:rPr>
                <w:rFonts w:ascii="Arial" w:cs="Arial" w:eastAsia="Arial" w:hAnsi="Arial"/>
                <w:sz w:val="5"/>
                <w:szCs w:val="5"/>
                <w:color w:val="auto"/>
              </w:rPr>
              <w:t>​—</w:t>
            </w:r>
          </w:p>
        </w:tc>
        <w:tc>
          <w:tcPr>
            <w:tcW w:w="100" w:type="dxa"/>
            <w:vAlign w:val="bottom"/>
          </w:tcPr>
          <w:p>
            <w:pPr>
              <w:spacing w:after="0"/>
              <w:rPr>
                <w:sz w:val="4"/>
                <w:szCs w:val="4"/>
                <w:color w:val="auto"/>
              </w:rPr>
            </w:pPr>
          </w:p>
        </w:tc>
        <w:tc>
          <w:tcPr>
            <w:tcW w:w="300" w:type="dxa"/>
            <w:vAlign w:val="bottom"/>
          </w:tcPr>
          <w:p>
            <w:pPr>
              <w:ind w:left="160"/>
              <w:spacing w:after="0" w:line="49" w:lineRule="exact"/>
              <w:rPr>
                <w:sz w:val="20"/>
                <w:szCs w:val="20"/>
                <w:color w:val="auto"/>
              </w:rPr>
            </w:pPr>
            <w:r>
              <w:rPr>
                <w:rFonts w:ascii="Arial" w:cs="Arial" w:eastAsia="Arial" w:hAnsi="Arial"/>
                <w:sz w:val="5"/>
                <w:szCs w:val="5"/>
                <w:color w:val="auto"/>
              </w:rPr>
              <w:t>​</w:t>
            </w:r>
          </w:p>
        </w:tc>
        <w:tc>
          <w:tcPr>
            <w:tcW w:w="2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8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gridSpan w:val="2"/>
          </w:tcPr>
          <w:p>
            <w:pPr>
              <w:ind w:left="100"/>
              <w:spacing w:after="0" w:line="49" w:lineRule="exact"/>
              <w:rPr>
                <w:sz w:val="20"/>
                <w:szCs w:val="20"/>
                <w:color w:val="auto"/>
              </w:rPr>
            </w:pPr>
            <w:r>
              <w:rPr>
                <w:rFonts w:ascii="Arial" w:cs="Arial" w:eastAsia="Arial" w:hAnsi="Arial"/>
                <w:sz w:val="5"/>
                <w:szCs w:val="5"/>
                <w:color w:val="auto"/>
              </w:rPr>
              <w:t>​ 57,139</w:t>
            </w: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3"/>
          </w:tcPr>
          <w:p>
            <w:pPr>
              <w:ind w:left="100"/>
              <w:spacing w:after="0" w:line="49" w:lineRule="exact"/>
              <w:rPr>
                <w:sz w:val="20"/>
                <w:szCs w:val="20"/>
                <w:color w:val="auto"/>
              </w:rPr>
            </w:pPr>
            <w:r>
              <w:rPr>
                <w:rFonts w:ascii="Arial" w:cs="Arial" w:eastAsia="Arial" w:hAnsi="Arial"/>
                <w:sz w:val="5"/>
                <w:szCs w:val="5"/>
                <w:color w:val="auto"/>
              </w:rPr>
              <w:t>$37,563</w:t>
            </w:r>
          </w:p>
        </w:tc>
        <w:tc>
          <w:tcPr>
            <w:tcW w:w="60" w:type="dxa"/>
            <w:vAlign w:val="bottom"/>
          </w:tcPr>
          <w:p>
            <w:pPr>
              <w:spacing w:after="0"/>
              <w:rPr>
                <w:sz w:val="4"/>
                <w:szCs w:val="4"/>
                <w:color w:val="auto"/>
              </w:rPr>
            </w:pPr>
          </w:p>
        </w:tc>
        <w:tc>
          <w:tcPr>
            <w:tcW w:w="14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ind w:left="20"/>
              <w:spacing w:after="0"/>
              <w:rPr>
                <w:sz w:val="20"/>
                <w:szCs w:val="20"/>
                <w:color w:val="auto"/>
              </w:rPr>
            </w:pPr>
            <w:r>
              <w:rPr>
                <w:rFonts w:ascii="Arial" w:cs="Arial" w:eastAsia="Arial" w:hAnsi="Arial"/>
                <w:sz w:val="12"/>
                <w:szCs w:val="12"/>
                <w:color w:val="auto"/>
              </w:rPr>
              <w:t>​</w:t>
            </w:r>
          </w:p>
        </w:tc>
        <w:tc>
          <w:tcPr>
            <w:tcW w:w="160" w:type="dxa"/>
            <w:vAlign w:val="bottom"/>
            <w:gridSpan w:val="2"/>
          </w:tcPr>
          <w:p>
            <w:pPr>
              <w:ind w:left="6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54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100" w:type="dxa"/>
            <w:vAlign w:val="bottom"/>
          </w:tcPr>
          <w:p>
            <w:pPr>
              <w:ind w:left="40"/>
              <w:spacing w:after="0"/>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280" w:type="dxa"/>
            <w:vAlign w:val="bottom"/>
            <w:gridSpan w:val="3"/>
          </w:tcPr>
          <w:p>
            <w:pPr>
              <w:ind w:left="10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 xml:space="preserve"> ​</w:t>
            </w:r>
          </w:p>
        </w:tc>
        <w:tc>
          <w:tcPr>
            <w:tcW w:w="4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70" w:lineRule="exact"/>
              <w:rPr>
                <w:sz w:val="20"/>
                <w:szCs w:val="20"/>
                <w:color w:val="auto"/>
              </w:rPr>
            </w:pPr>
            <w:r>
              <w:rPr>
                <w:rFonts w:ascii="Arial" w:cs="Arial" w:eastAsia="Arial" w:hAnsi="Arial"/>
                <w:sz w:val="19"/>
                <w:szCs w:val="19"/>
                <w:b w:val="1"/>
                <w:bCs w:val="1"/>
                <w:color w:val="auto"/>
                <w:vertAlign w:val="superscript"/>
              </w:rPr>
              <w:t>​</w:t>
            </w:r>
            <w:r>
              <w:rPr>
                <w:rFonts w:ascii="Arial" w:cs="Arial" w:eastAsia="Arial" w:hAnsi="Arial"/>
                <w:sz w:val="10"/>
                <w:szCs w:val="10"/>
                <w:color w:val="auto"/>
              </w:rPr>
              <w:t>​</w:t>
            </w:r>
          </w:p>
        </w:tc>
        <w:tc>
          <w:tcPr>
            <w:tcW w:w="600" w:type="dxa"/>
            <w:vAlign w:val="bottom"/>
            <w:gridSpan w:val="2"/>
          </w:tcPr>
          <w:p>
            <w:pPr>
              <w:jc w:val="right"/>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b w:val="1"/>
                <w:bCs w:val="1"/>
                <w:color w:val="auto"/>
                <w:vertAlign w:val="superscript"/>
              </w:rPr>
              <w:t>​</w:t>
            </w:r>
          </w:p>
        </w:tc>
        <w:tc>
          <w:tcPr>
            <w:tcW w:w="180" w:type="dxa"/>
            <w:vAlign w:val="bottom"/>
          </w:tcPr>
          <w:p>
            <w:pPr>
              <w:ind w:left="10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gridSpan w:val="2"/>
          </w:tcPr>
          <w:p>
            <w:pPr>
              <w:ind w:left="10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 xml:space="preserve"> ​</w:t>
            </w: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4"/>
          </w:tcPr>
          <w:p>
            <w:pPr>
              <w:ind w:left="10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 19,072</w:t>
            </w:r>
            <w:r>
              <w:rPr>
                <w:rFonts w:ascii="Arial" w:cs="Arial" w:eastAsia="Arial" w:hAnsi="Arial"/>
                <w:sz w:val="13"/>
                <w:szCs w:val="13"/>
                <w:color w:val="auto"/>
                <w:vertAlign w:val="superscript"/>
              </w:rPr>
              <w:t>(19)</w:t>
            </w: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640" w:type="dxa"/>
            <w:vAlign w:val="bottom"/>
            <w:gridSpan w:val="3"/>
          </w:tcPr>
          <w:p>
            <w:pPr>
              <w:ind w:left="2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$12,538</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ind w:left="20"/>
              <w:spacing w:after="0" w:line="121" w:lineRule="exact"/>
              <w:rPr>
                <w:sz w:val="20"/>
                <w:szCs w:val="20"/>
                <w:color w:val="auto"/>
              </w:rPr>
            </w:pPr>
            <w:r>
              <w:rPr>
                <w:rFonts w:ascii="Arial" w:cs="Arial" w:eastAsia="Arial" w:hAnsi="Arial"/>
                <w:sz w:val="12"/>
                <w:szCs w:val="12"/>
                <w:color w:val="auto"/>
              </w:rPr>
              <w:t>​</w:t>
            </w:r>
          </w:p>
        </w:tc>
        <w:tc>
          <w:tcPr>
            <w:tcW w:w="160" w:type="dxa"/>
            <w:vAlign w:val="bottom"/>
            <w:gridSpan w:val="2"/>
          </w:tcPr>
          <w:p>
            <w:pPr>
              <w:ind w:left="60"/>
              <w:spacing w:after="0" w:line="121" w:lineRule="exact"/>
              <w:rPr>
                <w:sz w:val="20"/>
                <w:szCs w:val="20"/>
                <w:color w:val="auto"/>
              </w:rPr>
            </w:pPr>
            <w:r>
              <w:rPr>
                <w:rFonts w:ascii="Arial" w:cs="Arial" w:eastAsia="Arial" w:hAnsi="Arial"/>
                <w:sz w:val="12"/>
                <w:szCs w:val="12"/>
                <w:color w:val="auto"/>
              </w:rPr>
              <w:t>​</w:t>
            </w:r>
          </w:p>
        </w:tc>
        <w:tc>
          <w:tcPr>
            <w:tcW w:w="5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21" w:lineRule="exact"/>
              <w:rPr>
                <w:sz w:val="20"/>
                <w:szCs w:val="20"/>
                <w:color w:val="auto"/>
              </w:rPr>
            </w:pPr>
            <w:r>
              <w:rPr>
                <w:rFonts w:ascii="Arial" w:cs="Arial" w:eastAsia="Arial" w:hAnsi="Arial"/>
                <w:sz w:val="12"/>
                <w:szCs w:val="12"/>
                <w:color w:val="auto"/>
              </w:rPr>
              <w:t>​</w:t>
            </w: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21" w:lineRule="exact"/>
              <w:rPr>
                <w:sz w:val="20"/>
                <w:szCs w:val="20"/>
                <w:color w:val="auto"/>
              </w:rPr>
            </w:pPr>
            <w:r>
              <w:rPr>
                <w:rFonts w:ascii="Arial" w:cs="Arial" w:eastAsia="Arial" w:hAnsi="Arial"/>
                <w:sz w:val="12"/>
                <w:szCs w:val="12"/>
                <w:color w:val="auto"/>
              </w:rPr>
              <w:t>​</w:t>
            </w: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1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80" w:type="dxa"/>
            <w:vAlign w:val="bottom"/>
            <w:gridSpan w:val="2"/>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18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380" w:type="dxa"/>
            <w:vAlign w:val="bottom"/>
          </w:tcPr>
          <w:p>
            <w:pPr>
              <w:spacing w:after="0"/>
              <w:rPr>
                <w:sz w:val="10"/>
                <w:szCs w:val="10"/>
                <w:color w:val="auto"/>
              </w:rPr>
            </w:pPr>
          </w:p>
        </w:tc>
        <w:tc>
          <w:tcPr>
            <w:tcW w:w="140" w:type="dxa"/>
            <w:vAlign w:val="bottom"/>
          </w:tcPr>
          <w:p>
            <w:pPr>
              <w:jc w:val="right"/>
              <w:spacing w:after="0"/>
              <w:rPr>
                <w:sz w:val="20"/>
                <w:szCs w:val="20"/>
                <w:color w:val="auto"/>
              </w:rPr>
            </w:pPr>
            <w:r>
              <w:rPr>
                <w:rFonts w:ascii="Arial" w:cs="Arial" w:eastAsia="Arial" w:hAnsi="Arial"/>
                <w:sz w:val="6"/>
                <w:szCs w:val="6"/>
                <w:color w:val="auto"/>
                <w:w w:val="93"/>
              </w:rPr>
              <w:t>(18)</w:t>
            </w: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0" w:type="dxa"/>
            <w:vAlign w:val="bottom"/>
          </w:tcPr>
          <w:p>
            <w:pPr>
              <w:ind w:left="20"/>
              <w:spacing w:after="0" w:line="121" w:lineRule="exact"/>
              <w:rPr>
                <w:sz w:val="20"/>
                <w:szCs w:val="20"/>
                <w:color w:val="auto"/>
              </w:rPr>
            </w:pPr>
            <w:r>
              <w:rPr>
                <w:rFonts w:ascii="Arial" w:cs="Arial" w:eastAsia="Arial" w:hAnsi="Arial"/>
                <w:sz w:val="12"/>
                <w:szCs w:val="12"/>
                <w:color w:val="auto"/>
              </w:rPr>
              <w:t>​</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500" w:type="dxa"/>
            <w:vAlign w:val="bottom"/>
            <w:vMerge w:val="restart"/>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68"/>
        </w:trPr>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line="68" w:lineRule="exact"/>
              <w:rPr>
                <w:sz w:val="20"/>
                <w:szCs w:val="20"/>
                <w:color w:val="auto"/>
              </w:rPr>
            </w:pPr>
            <w:r>
              <w:rPr>
                <w:rFonts w:ascii="Arial" w:cs="Arial" w:eastAsia="Arial" w:hAnsi="Arial"/>
                <w:sz w:val="7"/>
                <w:szCs w:val="7"/>
                <w:color w:val="auto"/>
              </w:rPr>
              <w:t>​</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tcPr>
          <w:p>
            <w:pPr>
              <w:ind w:left="340"/>
              <w:spacing w:after="0" w:line="68" w:lineRule="exact"/>
              <w:rPr>
                <w:sz w:val="20"/>
                <w:szCs w:val="20"/>
                <w:color w:val="auto"/>
              </w:rPr>
            </w:pPr>
            <w:r>
              <w:rPr>
                <w:rFonts w:ascii="Arial" w:cs="Arial" w:eastAsia="Arial" w:hAnsi="Arial"/>
                <w:sz w:val="7"/>
                <w:szCs w:val="7"/>
                <w:color w:val="auto"/>
              </w:rPr>
              <w:t>​—</w:t>
            </w:r>
          </w:p>
        </w:tc>
        <w:tc>
          <w:tcPr>
            <w:tcW w:w="100" w:type="dxa"/>
            <w:vAlign w:val="bottom"/>
          </w:tcPr>
          <w:p>
            <w:pPr>
              <w:spacing w:after="0"/>
              <w:rPr>
                <w:sz w:val="5"/>
                <w:szCs w:val="5"/>
                <w:color w:val="auto"/>
              </w:rPr>
            </w:pPr>
          </w:p>
        </w:tc>
        <w:tc>
          <w:tcPr>
            <w:tcW w:w="300" w:type="dxa"/>
            <w:vAlign w:val="bottom"/>
          </w:tcPr>
          <w:p>
            <w:pPr>
              <w:ind w:left="160"/>
              <w:spacing w:after="0" w:line="68" w:lineRule="exact"/>
              <w:rPr>
                <w:sz w:val="20"/>
                <w:szCs w:val="20"/>
                <w:color w:val="auto"/>
              </w:rPr>
            </w:pPr>
            <w:r>
              <w:rPr>
                <w:rFonts w:ascii="Arial" w:cs="Arial" w:eastAsia="Arial" w:hAnsi="Arial"/>
                <w:sz w:val="7"/>
                <w:szCs w:val="7"/>
                <w:color w:val="auto"/>
              </w:rPr>
              <w:t>​</w:t>
            </w:r>
          </w:p>
        </w:tc>
        <w:tc>
          <w:tcPr>
            <w:tcW w:w="2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8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5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gridSpan w:val="2"/>
          </w:tcPr>
          <w:p>
            <w:pPr>
              <w:ind w:left="100"/>
              <w:spacing w:after="0" w:line="68" w:lineRule="exact"/>
              <w:rPr>
                <w:sz w:val="20"/>
                <w:szCs w:val="20"/>
                <w:color w:val="auto"/>
              </w:rPr>
            </w:pPr>
            <w:r>
              <w:rPr>
                <w:rFonts w:ascii="Arial" w:cs="Arial" w:eastAsia="Arial" w:hAnsi="Arial"/>
                <w:sz w:val="7"/>
                <w:szCs w:val="7"/>
                <w:color w:val="auto"/>
              </w:rPr>
              <w:t>​ 19,072</w:t>
            </w: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3"/>
          </w:tcPr>
          <w:p>
            <w:pPr>
              <w:ind w:left="100"/>
              <w:spacing w:after="0" w:line="68" w:lineRule="exact"/>
              <w:rPr>
                <w:sz w:val="20"/>
                <w:szCs w:val="20"/>
                <w:color w:val="auto"/>
              </w:rPr>
            </w:pPr>
            <w:r>
              <w:rPr>
                <w:rFonts w:ascii="Arial" w:cs="Arial" w:eastAsia="Arial" w:hAnsi="Arial"/>
                <w:sz w:val="7"/>
                <w:szCs w:val="7"/>
                <w:color w:val="auto"/>
              </w:rPr>
              <w:t>$12,538</w:t>
            </w:r>
          </w:p>
        </w:tc>
        <w:tc>
          <w:tcPr>
            <w:tcW w:w="60" w:type="dxa"/>
            <w:vAlign w:val="bottom"/>
          </w:tcPr>
          <w:p>
            <w:pPr>
              <w:spacing w:after="0"/>
              <w:rPr>
                <w:sz w:val="5"/>
                <w:szCs w:val="5"/>
                <w:color w:val="auto"/>
              </w:rPr>
            </w:pPr>
          </w:p>
        </w:tc>
        <w:tc>
          <w:tcPr>
            <w:tcW w:w="140" w:type="dxa"/>
            <w:vAlign w:val="bottom"/>
          </w:tcPr>
          <w:p>
            <w:pPr>
              <w:ind w:left="100"/>
              <w:spacing w:after="0" w:line="68" w:lineRule="exact"/>
              <w:rPr>
                <w:sz w:val="20"/>
                <w:szCs w:val="20"/>
                <w:color w:val="auto"/>
              </w:rPr>
            </w:pPr>
            <w:r>
              <w:rPr>
                <w:rFonts w:ascii="Arial" w:cs="Arial" w:eastAsia="Arial" w:hAnsi="Arial"/>
                <w:sz w:val="7"/>
                <w:szCs w:val="7"/>
                <w:color w:val="auto"/>
              </w:rPr>
              <w:t>​</w:t>
            </w:r>
          </w:p>
        </w:tc>
        <w:tc>
          <w:tcPr>
            <w:tcW w:w="4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40" w:type="dxa"/>
            <w:vAlign w:val="bottom"/>
            <w:vMerge w:val="restart"/>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02"/>
        </w:trPr>
        <w:tc>
          <w:tcPr>
            <w:tcW w:w="260" w:type="dxa"/>
            <w:vAlign w:val="bottom"/>
            <w:shd w:val="clear" w:color="auto" w:fill="CCEEFF"/>
          </w:tcPr>
          <w:p>
            <w:pPr>
              <w:spacing w:after="0" w:line="102" w:lineRule="exact"/>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spacing w:after="0"/>
              <w:rPr>
                <w:sz w:val="8"/>
                <w:szCs w:val="8"/>
                <w:color w:val="auto"/>
              </w:rPr>
            </w:pPr>
          </w:p>
        </w:tc>
        <w:tc>
          <w:tcPr>
            <w:tcW w:w="140" w:type="dxa"/>
            <w:vAlign w:val="bottom"/>
            <w:gridSpan w:val="2"/>
            <w:shd w:val="clear" w:color="auto" w:fill="CCEEFF"/>
          </w:tcPr>
          <w:p>
            <w:pPr>
              <w:ind w:left="20"/>
              <w:spacing w:after="0" w:line="10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line="102" w:lineRule="exact"/>
              <w:rPr>
                <w:sz w:val="20"/>
                <w:szCs w:val="20"/>
                <w:color w:val="auto"/>
              </w:rPr>
            </w:pPr>
            <w:r>
              <w:rPr>
                <w:rFonts w:ascii="Arial" w:cs="Arial" w:eastAsia="Arial" w:hAnsi="Arial"/>
                <w:sz w:val="11"/>
                <w:szCs w:val="11"/>
                <w:color w:val="auto"/>
              </w:rPr>
              <w:t>​</w:t>
            </w:r>
          </w:p>
        </w:tc>
        <w:tc>
          <w:tcPr>
            <w:tcW w:w="5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7,800</w:t>
            </w:r>
          </w:p>
        </w:tc>
        <w:tc>
          <w:tcPr>
            <w:tcW w:w="60" w:type="dxa"/>
            <w:vAlign w:val="bottom"/>
            <w:shd w:val="clear" w:color="auto" w:fill="CCEEFF"/>
          </w:tcPr>
          <w:p>
            <w:pPr>
              <w:spacing w:after="0" w:line="10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ind w:left="320"/>
              <w:spacing w:after="0" w:line="10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ind w:left="40"/>
              <w:spacing w:after="0" w:line="102" w:lineRule="exact"/>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ind w:left="160"/>
              <w:spacing w:after="0" w:line="102" w:lineRule="exact"/>
              <w:rPr>
                <w:sz w:val="20"/>
                <w:szCs w:val="20"/>
                <w:color w:val="auto"/>
              </w:rPr>
            </w:pPr>
            <w:r>
              <w:rPr>
                <w:rFonts w:ascii="Arial" w:cs="Arial" w:eastAsia="Arial" w:hAnsi="Arial"/>
                <w:sz w:val="11"/>
                <w:szCs w:val="11"/>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line="102" w:lineRule="exact"/>
              <w:rPr>
                <w:sz w:val="20"/>
                <w:szCs w:val="20"/>
                <w:color w:val="auto"/>
              </w:rPr>
            </w:pPr>
            <w:r>
              <w:rPr>
                <w:rFonts w:ascii="Arial" w:cs="Arial" w:eastAsia="Arial" w:hAnsi="Arial"/>
                <w:sz w:val="11"/>
                <w:szCs w:val="11"/>
                <w:color w:val="auto"/>
              </w:rPr>
              <w:t>​​</w:t>
            </w:r>
          </w:p>
        </w:tc>
        <w:tc>
          <w:tcPr>
            <w:tcW w:w="180" w:type="dxa"/>
            <w:vAlign w:val="bottom"/>
            <w:gridSpan w:val="2"/>
            <w:shd w:val="clear" w:color="auto" w:fill="CCEEFF"/>
          </w:tcPr>
          <w:p>
            <w:pPr>
              <w:ind w:left="100"/>
              <w:spacing w:after="0" w:line="10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4/15/2025</w:t>
            </w:r>
          </w:p>
        </w:tc>
        <w:tc>
          <w:tcPr>
            <w:tcW w:w="200" w:type="dxa"/>
            <w:vAlign w:val="bottom"/>
            <w:tcBorders>
              <w:right w:val="single" w:sz="8" w:color="CCEEFF"/>
            </w:tcBorders>
            <w:gridSpan w:val="2"/>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1"/>
                <w:szCs w:val="11"/>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line="10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ind w:left="100"/>
              <w:spacing w:after="0" w:line="102" w:lineRule="exact"/>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Borders>
              <w:left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ind w:left="100"/>
              <w:spacing w:after="0" w:line="102" w:lineRule="exact"/>
              <w:rPr>
                <w:sz w:val="20"/>
                <w:szCs w:val="20"/>
                <w:color w:val="auto"/>
              </w:rPr>
            </w:pPr>
            <w:r>
              <w:rPr>
                <w:rFonts w:ascii="Arial" w:cs="Arial" w:eastAsia="Arial" w:hAnsi="Arial"/>
                <w:sz w:val="11"/>
                <w:szCs w:val="11"/>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w:t>
            </w:r>
          </w:p>
        </w:tc>
        <w:tc>
          <w:tcPr>
            <w:tcW w:w="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50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1260" w:type="dxa"/>
            <w:vAlign w:val="bottom"/>
            <w:gridSpan w:val="2"/>
            <w:shd w:val="clear" w:color="auto" w:fill="CCEEFF"/>
          </w:tcPr>
          <w:p>
            <w:pPr>
              <w:spacing w:after="0" w:line="49" w:lineRule="exact"/>
              <w:rPr>
                <w:sz w:val="20"/>
                <w:szCs w:val="20"/>
                <w:color w:val="auto"/>
              </w:rPr>
            </w:pPr>
            <w:r>
              <w:rPr>
                <w:rFonts w:ascii="Arial" w:cs="Arial" w:eastAsia="Arial" w:hAnsi="Arial"/>
                <w:sz w:val="5"/>
                <w:szCs w:val="5"/>
                <w:color w:val="auto"/>
              </w:rPr>
              <w:t>Gregory J. Ritts</w:t>
            </w: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540" w:type="dxa"/>
            <w:vAlign w:val="bottom"/>
            <w:tcBorders>
              <w:right w:val="single" w:sz="8" w:color="CCEEFF"/>
            </w:tcBorders>
            <w:gridSpan w:val="2"/>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0" w:type="dxa"/>
            <w:vAlign w:val="bottom"/>
            <w:gridSpan w:val="2"/>
            <w:shd w:val="clear" w:color="auto" w:fill="CCEEFF"/>
          </w:tcPr>
          <w:p>
            <w:pPr>
              <w:ind w:left="340"/>
              <w:spacing w:after="0" w:line="49" w:lineRule="exact"/>
              <w:rPr>
                <w:sz w:val="20"/>
                <w:szCs w:val="20"/>
                <w:color w:val="auto"/>
              </w:rPr>
            </w:pPr>
            <w:r>
              <w:rPr>
                <w:rFonts w:ascii="Arial" w:cs="Arial" w:eastAsia="Arial" w:hAnsi="Arial"/>
                <w:sz w:val="5"/>
                <w:szCs w:val="5"/>
                <w:color w:val="auto"/>
              </w:rPr>
              <w:t>​—</w:t>
            </w:r>
          </w:p>
        </w:tc>
        <w:tc>
          <w:tcPr>
            <w:tcW w:w="100" w:type="dxa"/>
            <w:vAlign w:val="bottom"/>
            <w:shd w:val="clear" w:color="auto" w:fill="CCEEFF"/>
          </w:tcPr>
          <w:p>
            <w:pPr>
              <w:spacing w:after="0"/>
              <w:rPr>
                <w:sz w:val="4"/>
                <w:szCs w:val="4"/>
                <w:color w:val="auto"/>
              </w:rPr>
            </w:pPr>
          </w:p>
        </w:tc>
        <w:tc>
          <w:tcPr>
            <w:tcW w:w="300" w:type="dxa"/>
            <w:vAlign w:val="bottom"/>
            <w:shd w:val="clear" w:color="auto" w:fill="CCEEFF"/>
          </w:tcPr>
          <w:p>
            <w:pPr>
              <w:ind w:left="160"/>
              <w:spacing w:after="0" w:line="49" w:lineRule="exact"/>
              <w:rPr>
                <w:sz w:val="20"/>
                <w:szCs w:val="20"/>
                <w:color w:val="auto"/>
              </w:rPr>
            </w:pPr>
            <w:r>
              <w:rPr>
                <w:rFonts w:ascii="Arial" w:cs="Arial" w:eastAsia="Arial" w:hAnsi="Arial"/>
                <w:sz w:val="5"/>
                <w:szCs w:val="5"/>
                <w:color w:val="auto"/>
              </w:rPr>
              <w:t>​</w:t>
            </w:r>
          </w:p>
        </w:tc>
        <w:tc>
          <w:tcPr>
            <w:tcW w:w="200" w:type="dxa"/>
            <w:vAlign w:val="bottom"/>
            <w:vMerge w:val="continue"/>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00" w:type="dxa"/>
            <w:vAlign w:val="bottom"/>
            <w:gridSpan w:val="5"/>
            <w:shd w:val="clear" w:color="auto" w:fill="CCEEFF"/>
          </w:tcPr>
          <w:p>
            <w:pPr>
              <w:ind w:left="120"/>
              <w:spacing w:after="0" w:line="49" w:lineRule="exact"/>
              <w:rPr>
                <w:sz w:val="20"/>
                <w:szCs w:val="20"/>
                <w:color w:val="auto"/>
              </w:rPr>
            </w:pPr>
            <w:r>
              <w:rPr>
                <w:rFonts w:ascii="Arial" w:cs="Arial" w:eastAsia="Arial" w:hAnsi="Arial"/>
                <w:sz w:val="5"/>
                <w:szCs w:val="5"/>
                <w:color w:val="auto"/>
              </w:rPr>
              <w:t>$18.79</w:t>
            </w:r>
          </w:p>
        </w:tc>
        <w:tc>
          <w:tcPr>
            <w:tcW w:w="8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80" w:type="dxa"/>
            <w:vAlign w:val="bottom"/>
            <w:tcBorders>
              <w:right w:val="single" w:sz="8" w:color="CCEEFF"/>
            </w:tcBorders>
            <w:vMerge w:val="continue"/>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80" w:type="dxa"/>
            <w:vAlign w:val="bottom"/>
            <w:tcBorders>
              <w:right w:val="single" w:sz="8" w:color="CCEEFF"/>
            </w:tcBorders>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60" w:type="dxa"/>
            <w:vAlign w:val="bottom"/>
            <w:tcBorders>
              <w:left w:val="single" w:sz="8" w:color="CCEEFF"/>
            </w:tcBorders>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420" w:type="dxa"/>
            <w:vAlign w:val="bottom"/>
            <w:vMerge w:val="continue"/>
            <w:shd w:val="clear" w:color="auto" w:fill="CCEEFF"/>
          </w:tcPr>
          <w:p>
            <w:pPr>
              <w:spacing w:after="0"/>
              <w:rPr>
                <w:sz w:val="4"/>
                <w:szCs w:val="4"/>
                <w:color w:val="auto"/>
              </w:rPr>
            </w:pPr>
          </w:p>
        </w:tc>
        <w:tc>
          <w:tcPr>
            <w:tcW w:w="60" w:type="dxa"/>
            <w:vAlign w:val="bottom"/>
            <w:tcBorders>
              <w:left w:val="single" w:sz="8" w:color="CCEEFF"/>
            </w:tcBorders>
            <w:shd w:val="clear" w:color="auto" w:fill="CCEEFF"/>
          </w:tcPr>
          <w:p>
            <w:pPr>
              <w:spacing w:after="0"/>
              <w:rPr>
                <w:sz w:val="4"/>
                <w:szCs w:val="4"/>
                <w:color w:val="auto"/>
              </w:rPr>
            </w:pPr>
          </w:p>
        </w:tc>
        <w:tc>
          <w:tcPr>
            <w:tcW w:w="140" w:type="dxa"/>
            <w:vAlign w:val="bottom"/>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80" w:type="dxa"/>
            <w:vAlign w:val="bottom"/>
            <w:tcBorders>
              <w:lef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 w:type="dxa"/>
            <w:vAlign w:val="bottom"/>
            <w:vMerge w:val="continue"/>
            <w:shd w:val="clear" w:color="auto" w:fill="CCEEFF"/>
          </w:tcPr>
          <w:p>
            <w:pPr>
              <w:spacing w:after="0"/>
              <w:rPr>
                <w:sz w:val="4"/>
                <w:szCs w:val="4"/>
                <w:color w:val="auto"/>
              </w:rPr>
            </w:pPr>
          </w:p>
        </w:tc>
        <w:tc>
          <w:tcPr>
            <w:tcW w:w="500" w:type="dxa"/>
            <w:vAlign w:val="bottom"/>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ind w:left="300"/>
              <w:spacing w:after="0"/>
              <w:rPr>
                <w:sz w:val="20"/>
                <w:szCs w:val="20"/>
                <w:color w:val="auto"/>
              </w:rPr>
            </w:pPr>
            <w:r>
              <w:rPr>
                <w:rFonts w:ascii="Arial" w:cs="Arial" w:eastAsia="Arial" w:hAnsi="Arial"/>
                <w:sz w:val="11"/>
                <w:szCs w:val="11"/>
                <w:color w:val="auto"/>
                <w:w w:val="72"/>
              </w:rPr>
              <w:t>—</w:t>
            </w: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320"/>
              <w:spacing w:after="0" w:line="121"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ind w:left="160"/>
              <w:spacing w:after="0" w:line="121"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8"/>
                <w:szCs w:val="8"/>
                <w:color w:val="auto"/>
              </w:rPr>
              <w:t>(8)</w:t>
            </w:r>
          </w:p>
        </w:tc>
        <w:tc>
          <w:tcPr>
            <w:tcW w:w="1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8/29/2026</w:t>
            </w:r>
          </w:p>
        </w:tc>
        <w:tc>
          <w:tcPr>
            <w:tcW w:w="20" w:type="dxa"/>
            <w:vAlign w:val="bottom"/>
            <w:shd w:val="clear" w:color="auto" w:fill="CCEEFF"/>
          </w:tcPr>
          <w:p>
            <w:pPr>
              <w:jc w:val="right"/>
              <w:spacing w:after="0"/>
              <w:rPr>
                <w:sz w:val="20"/>
                <w:szCs w:val="20"/>
                <w:color w:val="auto"/>
              </w:rPr>
            </w:pPr>
            <w:r>
              <w:rPr>
                <w:rFonts w:ascii="Arial" w:cs="Arial" w:eastAsia="Arial" w:hAnsi="Arial"/>
                <w:sz w:val="1"/>
                <w:szCs w:val="1"/>
                <w:b w:val="1"/>
                <w:bCs w:val="1"/>
                <w:color w:val="auto"/>
                <w:w w:val="4294942296"/>
              </w:rPr>
              <w:t>​</w:t>
            </w:r>
          </w:p>
        </w:tc>
        <w:tc>
          <w:tcPr>
            <w:tcW w:w="180" w:type="dxa"/>
            <w:vAlign w:val="bottom"/>
            <w:tcBorders>
              <w:right w:val="single" w:sz="8" w:color="CCEEFF"/>
            </w:tcBorders>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tcBorders>
              <w:left w:val="single" w:sz="8" w:color="CCEEFF"/>
            </w:tcBorders>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w:t>
            </w:r>
          </w:p>
        </w:tc>
        <w:tc>
          <w:tcPr>
            <w:tcW w:w="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50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9"/>
        </w:trPr>
        <w:tc>
          <w:tcPr>
            <w:tcW w:w="2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0" w:type="dxa"/>
            <w:vAlign w:val="bottom"/>
            <w:gridSpan w:val="2"/>
            <w:shd w:val="clear" w:color="auto" w:fill="CCEEFF"/>
          </w:tcPr>
          <w:p>
            <w:pPr>
              <w:ind w:left="340"/>
              <w:spacing w:after="0" w:line="49" w:lineRule="exact"/>
              <w:rPr>
                <w:sz w:val="20"/>
                <w:szCs w:val="20"/>
                <w:color w:val="auto"/>
              </w:rPr>
            </w:pPr>
            <w:r>
              <w:rPr>
                <w:rFonts w:ascii="Arial" w:cs="Arial" w:eastAsia="Arial" w:hAnsi="Arial"/>
                <w:sz w:val="5"/>
                <w:szCs w:val="5"/>
                <w:color w:val="auto"/>
              </w:rPr>
              <w:t>​—</w:t>
            </w:r>
          </w:p>
        </w:tc>
        <w:tc>
          <w:tcPr>
            <w:tcW w:w="100" w:type="dxa"/>
            <w:vAlign w:val="bottom"/>
            <w:shd w:val="clear" w:color="auto" w:fill="CCEEFF"/>
          </w:tcPr>
          <w:p>
            <w:pPr>
              <w:spacing w:after="0"/>
              <w:rPr>
                <w:sz w:val="4"/>
                <w:szCs w:val="4"/>
                <w:color w:val="auto"/>
              </w:rPr>
            </w:pPr>
          </w:p>
        </w:tc>
        <w:tc>
          <w:tcPr>
            <w:tcW w:w="500" w:type="dxa"/>
            <w:vAlign w:val="bottom"/>
            <w:gridSpan w:val="2"/>
            <w:shd w:val="clear" w:color="auto" w:fill="CCEEFF"/>
          </w:tcPr>
          <w:p>
            <w:pPr>
              <w:jc w:val="right"/>
              <w:spacing w:after="0" w:line="49" w:lineRule="exact"/>
              <w:rPr>
                <w:sz w:val="20"/>
                <w:szCs w:val="20"/>
                <w:color w:val="auto"/>
              </w:rPr>
            </w:pPr>
            <w:r>
              <w:rPr>
                <w:rFonts w:ascii="Arial" w:cs="Arial" w:eastAsia="Arial" w:hAnsi="Arial"/>
                <w:sz w:val="5"/>
                <w:szCs w:val="5"/>
                <w:color w:val="auto"/>
              </w:rPr>
              <w:t>​1,667</w:t>
            </w:r>
          </w:p>
        </w:tc>
        <w:tc>
          <w:tcPr>
            <w:tcW w:w="2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00" w:type="dxa"/>
            <w:vAlign w:val="bottom"/>
            <w:gridSpan w:val="5"/>
            <w:shd w:val="clear" w:color="auto" w:fill="CCEEFF"/>
          </w:tcPr>
          <w:p>
            <w:pPr>
              <w:ind w:left="120"/>
              <w:spacing w:after="0" w:line="49" w:lineRule="exact"/>
              <w:rPr>
                <w:sz w:val="20"/>
                <w:szCs w:val="20"/>
                <w:color w:val="auto"/>
              </w:rPr>
            </w:pPr>
            <w:r>
              <w:rPr>
                <w:rFonts w:ascii="Arial" w:cs="Arial" w:eastAsia="Arial" w:hAnsi="Arial"/>
                <w:sz w:val="5"/>
                <w:szCs w:val="5"/>
                <w:color w:val="auto"/>
              </w:rPr>
              <w:t>$32.64</w:t>
            </w:r>
          </w:p>
        </w:tc>
        <w:tc>
          <w:tcPr>
            <w:tcW w:w="8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80" w:type="dxa"/>
            <w:vAlign w:val="bottom"/>
            <w:tcBorders>
              <w:right w:val="single" w:sz="8" w:color="CCEEFF"/>
            </w:tcBorders>
            <w:vMerge w:val="continue"/>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80" w:type="dxa"/>
            <w:vAlign w:val="bottom"/>
            <w:tcBorders>
              <w:right w:val="single" w:sz="8" w:color="CCEEFF"/>
            </w:tcBorders>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60" w:type="dxa"/>
            <w:vAlign w:val="bottom"/>
            <w:tcBorders>
              <w:left w:val="single" w:sz="8" w:color="CCEEFF"/>
            </w:tcBorders>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420" w:type="dxa"/>
            <w:vAlign w:val="bottom"/>
            <w:vMerge w:val="continue"/>
            <w:shd w:val="clear" w:color="auto" w:fill="CCEEFF"/>
          </w:tcPr>
          <w:p>
            <w:pPr>
              <w:spacing w:after="0"/>
              <w:rPr>
                <w:sz w:val="4"/>
                <w:szCs w:val="4"/>
                <w:color w:val="auto"/>
              </w:rPr>
            </w:pPr>
          </w:p>
        </w:tc>
        <w:tc>
          <w:tcPr>
            <w:tcW w:w="60" w:type="dxa"/>
            <w:vAlign w:val="bottom"/>
            <w:tcBorders>
              <w:left w:val="single" w:sz="8" w:color="CCEEFF"/>
            </w:tcBorders>
            <w:shd w:val="clear" w:color="auto" w:fill="CCEEFF"/>
          </w:tcPr>
          <w:p>
            <w:pPr>
              <w:spacing w:after="0"/>
              <w:rPr>
                <w:sz w:val="4"/>
                <w:szCs w:val="4"/>
                <w:color w:val="auto"/>
              </w:rPr>
            </w:pPr>
          </w:p>
        </w:tc>
        <w:tc>
          <w:tcPr>
            <w:tcW w:w="140" w:type="dxa"/>
            <w:vAlign w:val="bottom"/>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80" w:type="dxa"/>
            <w:vAlign w:val="bottom"/>
            <w:tcBorders>
              <w:lef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 w:type="dxa"/>
            <w:vAlign w:val="bottom"/>
            <w:vMerge w:val="continue"/>
            <w:shd w:val="clear" w:color="auto" w:fill="CCEEFF"/>
          </w:tcPr>
          <w:p>
            <w:pPr>
              <w:spacing w:after="0"/>
              <w:rPr>
                <w:sz w:val="4"/>
                <w:szCs w:val="4"/>
                <w:color w:val="auto"/>
              </w:rPr>
            </w:pPr>
          </w:p>
        </w:tc>
        <w:tc>
          <w:tcPr>
            <w:tcW w:w="500" w:type="dxa"/>
            <w:vAlign w:val="bottom"/>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ind w:left="300"/>
              <w:spacing w:after="0"/>
              <w:rPr>
                <w:sz w:val="20"/>
                <w:szCs w:val="20"/>
                <w:color w:val="auto"/>
              </w:rPr>
            </w:pPr>
            <w:r>
              <w:rPr>
                <w:rFonts w:ascii="Arial" w:cs="Arial" w:eastAsia="Arial" w:hAnsi="Arial"/>
                <w:sz w:val="11"/>
                <w:szCs w:val="11"/>
                <w:color w:val="auto"/>
                <w:w w:val="72"/>
              </w:rPr>
              <w:t>—</w:t>
            </w: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320"/>
              <w:spacing w:after="0" w:line="121"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ind w:left="160"/>
              <w:spacing w:after="0" w:line="121"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8"/>
                <w:szCs w:val="8"/>
                <w:color w:val="auto"/>
              </w:rPr>
              <w:t>(9)</w:t>
            </w:r>
          </w:p>
        </w:tc>
        <w:tc>
          <w:tcPr>
            <w:tcW w:w="1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8/29/2026</w:t>
            </w:r>
          </w:p>
        </w:tc>
        <w:tc>
          <w:tcPr>
            <w:tcW w:w="20" w:type="dxa"/>
            <w:vAlign w:val="bottom"/>
            <w:shd w:val="clear" w:color="auto" w:fill="CCEEFF"/>
          </w:tcPr>
          <w:p>
            <w:pPr>
              <w:jc w:val="right"/>
              <w:spacing w:after="0"/>
              <w:rPr>
                <w:sz w:val="20"/>
                <w:szCs w:val="20"/>
                <w:color w:val="auto"/>
              </w:rPr>
            </w:pPr>
            <w:r>
              <w:rPr>
                <w:rFonts w:ascii="Arial" w:cs="Arial" w:eastAsia="Arial" w:hAnsi="Arial"/>
                <w:sz w:val="1"/>
                <w:szCs w:val="1"/>
                <w:b w:val="1"/>
                <w:bCs w:val="1"/>
                <w:color w:val="auto"/>
                <w:w w:val="4294942296"/>
              </w:rPr>
              <w:t>​</w:t>
            </w:r>
          </w:p>
        </w:tc>
        <w:tc>
          <w:tcPr>
            <w:tcW w:w="180" w:type="dxa"/>
            <w:vAlign w:val="bottom"/>
            <w:tcBorders>
              <w:right w:val="single" w:sz="8" w:color="CCEEFF"/>
            </w:tcBorders>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tcBorders>
              <w:left w:val="single" w:sz="8" w:color="CCEEFF"/>
            </w:tcBorders>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w:t>
            </w:r>
          </w:p>
        </w:tc>
        <w:tc>
          <w:tcPr>
            <w:tcW w:w="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50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9"/>
        </w:trPr>
        <w:tc>
          <w:tcPr>
            <w:tcW w:w="2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0" w:type="dxa"/>
            <w:vAlign w:val="bottom"/>
            <w:gridSpan w:val="2"/>
            <w:shd w:val="clear" w:color="auto" w:fill="CCEEFF"/>
          </w:tcPr>
          <w:p>
            <w:pPr>
              <w:ind w:left="340"/>
              <w:spacing w:after="0" w:line="49" w:lineRule="exact"/>
              <w:rPr>
                <w:sz w:val="20"/>
                <w:szCs w:val="20"/>
                <w:color w:val="auto"/>
              </w:rPr>
            </w:pPr>
            <w:r>
              <w:rPr>
                <w:rFonts w:ascii="Arial" w:cs="Arial" w:eastAsia="Arial" w:hAnsi="Arial"/>
                <w:sz w:val="5"/>
                <w:szCs w:val="5"/>
                <w:color w:val="auto"/>
              </w:rPr>
              <w:t>​—</w:t>
            </w:r>
          </w:p>
        </w:tc>
        <w:tc>
          <w:tcPr>
            <w:tcW w:w="100" w:type="dxa"/>
            <w:vAlign w:val="bottom"/>
            <w:shd w:val="clear" w:color="auto" w:fill="CCEEFF"/>
          </w:tcPr>
          <w:p>
            <w:pPr>
              <w:spacing w:after="0"/>
              <w:rPr>
                <w:sz w:val="4"/>
                <w:szCs w:val="4"/>
                <w:color w:val="auto"/>
              </w:rPr>
            </w:pPr>
          </w:p>
        </w:tc>
        <w:tc>
          <w:tcPr>
            <w:tcW w:w="500" w:type="dxa"/>
            <w:vAlign w:val="bottom"/>
            <w:gridSpan w:val="2"/>
            <w:shd w:val="clear" w:color="auto" w:fill="CCEEFF"/>
          </w:tcPr>
          <w:p>
            <w:pPr>
              <w:jc w:val="right"/>
              <w:spacing w:after="0" w:line="49" w:lineRule="exact"/>
              <w:rPr>
                <w:sz w:val="20"/>
                <w:szCs w:val="20"/>
                <w:color w:val="auto"/>
              </w:rPr>
            </w:pPr>
            <w:r>
              <w:rPr>
                <w:rFonts w:ascii="Arial" w:cs="Arial" w:eastAsia="Arial" w:hAnsi="Arial"/>
                <w:sz w:val="5"/>
                <w:szCs w:val="5"/>
                <w:color w:val="auto"/>
              </w:rPr>
              <w:t>​3,333</w:t>
            </w:r>
          </w:p>
        </w:tc>
        <w:tc>
          <w:tcPr>
            <w:tcW w:w="2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00" w:type="dxa"/>
            <w:vAlign w:val="bottom"/>
            <w:gridSpan w:val="5"/>
            <w:shd w:val="clear" w:color="auto" w:fill="CCEEFF"/>
          </w:tcPr>
          <w:p>
            <w:pPr>
              <w:ind w:left="120"/>
              <w:spacing w:after="0" w:line="49" w:lineRule="exact"/>
              <w:rPr>
                <w:sz w:val="20"/>
                <w:szCs w:val="20"/>
                <w:color w:val="auto"/>
              </w:rPr>
            </w:pPr>
            <w:r>
              <w:rPr>
                <w:rFonts w:ascii="Arial" w:cs="Arial" w:eastAsia="Arial" w:hAnsi="Arial"/>
                <w:sz w:val="5"/>
                <w:szCs w:val="5"/>
                <w:color w:val="auto"/>
              </w:rPr>
              <w:t>$32.64</w:t>
            </w:r>
          </w:p>
        </w:tc>
        <w:tc>
          <w:tcPr>
            <w:tcW w:w="8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80" w:type="dxa"/>
            <w:vAlign w:val="bottom"/>
            <w:tcBorders>
              <w:right w:val="single" w:sz="8" w:color="CCEEFF"/>
            </w:tcBorders>
            <w:vMerge w:val="continue"/>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80" w:type="dxa"/>
            <w:vAlign w:val="bottom"/>
            <w:tcBorders>
              <w:right w:val="single" w:sz="8" w:color="CCEEFF"/>
            </w:tcBorders>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60" w:type="dxa"/>
            <w:vAlign w:val="bottom"/>
            <w:tcBorders>
              <w:left w:val="single" w:sz="8" w:color="CCEEFF"/>
            </w:tcBorders>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420" w:type="dxa"/>
            <w:vAlign w:val="bottom"/>
            <w:vMerge w:val="continue"/>
            <w:shd w:val="clear" w:color="auto" w:fill="CCEEFF"/>
          </w:tcPr>
          <w:p>
            <w:pPr>
              <w:spacing w:after="0"/>
              <w:rPr>
                <w:sz w:val="4"/>
                <w:szCs w:val="4"/>
                <w:color w:val="auto"/>
              </w:rPr>
            </w:pPr>
          </w:p>
        </w:tc>
        <w:tc>
          <w:tcPr>
            <w:tcW w:w="60" w:type="dxa"/>
            <w:vAlign w:val="bottom"/>
            <w:tcBorders>
              <w:left w:val="single" w:sz="8" w:color="CCEEFF"/>
            </w:tcBorders>
            <w:shd w:val="clear" w:color="auto" w:fill="CCEEFF"/>
          </w:tcPr>
          <w:p>
            <w:pPr>
              <w:spacing w:after="0"/>
              <w:rPr>
                <w:sz w:val="4"/>
                <w:szCs w:val="4"/>
                <w:color w:val="auto"/>
              </w:rPr>
            </w:pPr>
          </w:p>
        </w:tc>
        <w:tc>
          <w:tcPr>
            <w:tcW w:w="140" w:type="dxa"/>
            <w:vAlign w:val="bottom"/>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80" w:type="dxa"/>
            <w:vAlign w:val="bottom"/>
            <w:tcBorders>
              <w:lef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 w:type="dxa"/>
            <w:vAlign w:val="bottom"/>
            <w:vMerge w:val="continue"/>
            <w:shd w:val="clear" w:color="auto" w:fill="CCEEFF"/>
          </w:tcPr>
          <w:p>
            <w:pPr>
              <w:spacing w:after="0"/>
              <w:rPr>
                <w:sz w:val="4"/>
                <w:szCs w:val="4"/>
                <w:color w:val="auto"/>
              </w:rPr>
            </w:pPr>
          </w:p>
        </w:tc>
        <w:tc>
          <w:tcPr>
            <w:tcW w:w="500" w:type="dxa"/>
            <w:vAlign w:val="bottom"/>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w:t>
            </w: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32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10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ind w:left="16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700" w:type="dxa"/>
            <w:vAlign w:val="bottom"/>
            <w:gridSpan w:val="5"/>
            <w:shd w:val="clear" w:color="auto" w:fill="CCEEFF"/>
          </w:tcPr>
          <w:p>
            <w:pPr>
              <w:ind w:left="10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$32.64</w:t>
            </w:r>
          </w:p>
        </w:tc>
        <w:tc>
          <w:tcPr>
            <w:tcW w:w="80" w:type="dxa"/>
            <w:vAlign w:val="bottom"/>
            <w:shd w:val="clear" w:color="auto" w:fill="CCEEFF"/>
          </w:tcPr>
          <w:p>
            <w:pPr>
              <w:jc w:val="right"/>
              <w:spacing w:after="0" w:line="170"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9"/>
                <w:szCs w:val="19"/>
                <w:color w:val="auto"/>
                <w:vertAlign w:val="subscript"/>
              </w:rPr>
              <w:t>​</w:t>
            </w:r>
          </w:p>
        </w:tc>
        <w:tc>
          <w:tcPr>
            <w:tcW w:w="60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0"/>
                <w:szCs w:val="10"/>
                <w:color w:val="auto"/>
              </w:rPr>
              <w:t>8/29/2026</w:t>
            </w:r>
            <w:r>
              <w:rPr>
                <w:rFonts w:ascii="Arial" w:cs="Arial" w:eastAsia="Arial" w:hAnsi="Arial"/>
                <w:sz w:val="19"/>
                <w:szCs w:val="19"/>
                <w:b w:val="1"/>
                <w:bCs w:val="1"/>
                <w:color w:val="auto"/>
                <w:vertAlign w:val="superscript"/>
              </w:rPr>
              <w:t>​</w:t>
            </w:r>
          </w:p>
        </w:tc>
        <w:tc>
          <w:tcPr>
            <w:tcW w:w="180" w:type="dxa"/>
            <w:vAlign w:val="bottom"/>
            <w:tcBorders>
              <w:right w:val="single" w:sz="8" w:color="CCEEFF"/>
            </w:tcBorders>
            <w:shd w:val="clear" w:color="auto" w:fill="CCEEFF"/>
          </w:tcPr>
          <w:p>
            <w:pPr>
              <w:ind w:left="10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240" w:type="dxa"/>
            <w:vAlign w:val="bottom"/>
            <w:gridSpan w:val="2"/>
            <w:shd w:val="clear" w:color="auto" w:fill="CCEEFF"/>
          </w:tcPr>
          <w:p>
            <w:pPr>
              <w:ind w:left="10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10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5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02"/>
        </w:trPr>
        <w:tc>
          <w:tcPr>
            <w:tcW w:w="26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6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line="102" w:lineRule="exact"/>
              <w:rPr>
                <w:sz w:val="20"/>
                <w:szCs w:val="20"/>
                <w:color w:val="auto"/>
              </w:rPr>
            </w:pPr>
            <w:r>
              <w:rPr>
                <w:rFonts w:ascii="Arial" w:cs="Arial" w:eastAsia="Arial" w:hAnsi="Arial"/>
                <w:sz w:val="11"/>
                <w:szCs w:val="11"/>
                <w:color w:val="auto"/>
              </w:rPr>
              <w:t>​</w:t>
            </w:r>
          </w:p>
        </w:tc>
        <w:tc>
          <w:tcPr>
            <w:tcW w:w="400" w:type="dxa"/>
            <w:vAlign w:val="bottom"/>
            <w:vMerge w:val="restart"/>
            <w:shd w:val="clear" w:color="auto" w:fill="CCEEFF"/>
          </w:tcPr>
          <w:p>
            <w:pPr>
              <w:ind w:left="300"/>
              <w:spacing w:after="0"/>
              <w:rPr>
                <w:sz w:val="20"/>
                <w:szCs w:val="20"/>
                <w:color w:val="auto"/>
              </w:rPr>
            </w:pPr>
            <w:r>
              <w:rPr>
                <w:rFonts w:ascii="Arial" w:cs="Arial" w:eastAsia="Arial" w:hAnsi="Arial"/>
                <w:sz w:val="11"/>
                <w:szCs w:val="11"/>
                <w:color w:val="auto"/>
                <w:w w:val="72"/>
              </w:rPr>
              <w:t>—</w:t>
            </w:r>
          </w:p>
        </w:tc>
        <w:tc>
          <w:tcPr>
            <w:tcW w:w="140" w:type="dxa"/>
            <w:vAlign w:val="bottom"/>
            <w:tcBorders>
              <w:right w:val="single" w:sz="8" w:color="CCEEFF"/>
            </w:tcBorders>
            <w:shd w:val="clear" w:color="auto" w:fill="CCEEFF"/>
          </w:tcPr>
          <w:p>
            <w:pPr>
              <w:spacing w:after="0"/>
              <w:rPr>
                <w:sz w:val="8"/>
                <w:szCs w:val="8"/>
                <w:color w:val="auto"/>
              </w:rPr>
            </w:pPr>
          </w:p>
        </w:tc>
        <w:tc>
          <w:tcPr>
            <w:tcW w:w="6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460" w:type="dxa"/>
            <w:vAlign w:val="bottom"/>
          </w:tcPr>
          <w:p>
            <w:pPr>
              <w:ind w:left="320"/>
              <w:spacing w:after="0" w:line="102" w:lineRule="exact"/>
              <w:rPr>
                <w:sz w:val="20"/>
                <w:szCs w:val="20"/>
                <w:color w:val="auto"/>
              </w:rPr>
            </w:pPr>
            <w:r>
              <w:rPr>
                <w:rFonts w:ascii="Arial" w:cs="Arial" w:eastAsia="Arial" w:hAnsi="Arial"/>
                <w:sz w:val="11"/>
                <w:szCs w:val="11"/>
                <w:color w:val="auto"/>
              </w:rPr>
              <w:t>​</w:t>
            </w:r>
          </w:p>
        </w:tc>
        <w:tc>
          <w:tcPr>
            <w:tcW w:w="340" w:type="dxa"/>
            <w:vAlign w:val="bottom"/>
          </w:tcPr>
          <w:p>
            <w:pPr>
              <w:spacing w:after="0"/>
              <w:rPr>
                <w:sz w:val="8"/>
                <w:szCs w:val="8"/>
                <w:color w:val="auto"/>
              </w:rPr>
            </w:pPr>
          </w:p>
        </w:tc>
        <w:tc>
          <w:tcPr>
            <w:tcW w:w="100" w:type="dxa"/>
            <w:vAlign w:val="bottom"/>
          </w:tcPr>
          <w:p>
            <w:pPr>
              <w:ind w:left="40"/>
              <w:spacing w:after="0" w:line="102" w:lineRule="exact"/>
              <w:rPr>
                <w:sz w:val="20"/>
                <w:szCs w:val="20"/>
                <w:color w:val="auto"/>
              </w:rPr>
            </w:pPr>
            <w:r>
              <w:rPr>
                <w:rFonts w:ascii="Arial" w:cs="Arial" w:eastAsia="Arial" w:hAnsi="Arial"/>
                <w:sz w:val="11"/>
                <w:szCs w:val="11"/>
                <w:color w:val="auto"/>
              </w:rPr>
              <w:t>​​</w:t>
            </w:r>
          </w:p>
        </w:tc>
        <w:tc>
          <w:tcPr>
            <w:tcW w:w="300" w:type="dxa"/>
            <w:vAlign w:val="bottom"/>
          </w:tcPr>
          <w:p>
            <w:pPr>
              <w:ind w:left="160"/>
              <w:spacing w:after="0" w:line="102"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8"/>
                <w:szCs w:val="8"/>
                <w:color w:val="auto"/>
              </w:rPr>
            </w:pPr>
          </w:p>
        </w:tc>
        <w:tc>
          <w:tcPr>
            <w:tcW w:w="200" w:type="dxa"/>
            <w:vAlign w:val="bottom"/>
          </w:tcPr>
          <w:p>
            <w:pPr>
              <w:spacing w:after="0"/>
              <w:rPr>
                <w:sz w:val="20"/>
                <w:szCs w:val="20"/>
                <w:color w:val="auto"/>
              </w:rPr>
            </w:pPr>
            <w:r>
              <w:rPr>
                <w:rFonts w:ascii="Arial" w:cs="Arial" w:eastAsia="Arial" w:hAnsi="Arial"/>
                <w:sz w:val="8"/>
                <w:szCs w:val="8"/>
                <w:color w:val="auto"/>
              </w:rPr>
              <w:t>(10)</w:t>
            </w:r>
          </w:p>
        </w:tc>
        <w:tc>
          <w:tcPr>
            <w:tcW w:w="14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180" w:type="dxa"/>
            <w:vAlign w:val="bottom"/>
            <w:gridSpan w:val="2"/>
          </w:tcPr>
          <w:p>
            <w:pPr>
              <w:ind w:left="100"/>
              <w:spacing w:after="0" w:line="10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7/27/2027</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18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8"/>
                <w:szCs w:val="8"/>
                <w:color w:val="auto"/>
              </w:rPr>
            </w:pPr>
          </w:p>
        </w:tc>
        <w:tc>
          <w:tcPr>
            <w:tcW w:w="6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10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8"/>
                <w:szCs w:val="8"/>
                <w:color w:val="auto"/>
              </w:rPr>
            </w:pPr>
          </w:p>
        </w:tc>
        <w:tc>
          <w:tcPr>
            <w:tcW w:w="8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100" w:type="dxa"/>
            <w:vAlign w:val="bottom"/>
          </w:tcPr>
          <w:p>
            <w:pPr>
              <w:ind w:left="20"/>
              <w:spacing w:after="0" w:line="102" w:lineRule="exact"/>
              <w:rPr>
                <w:sz w:val="20"/>
                <w:szCs w:val="20"/>
                <w:color w:val="auto"/>
              </w:rPr>
            </w:pPr>
            <w:r>
              <w:rPr>
                <w:rFonts w:ascii="Arial" w:cs="Arial" w:eastAsia="Arial" w:hAnsi="Arial"/>
                <w:sz w:val="11"/>
                <w:szCs w:val="11"/>
                <w:color w:val="auto"/>
              </w:rPr>
              <w:t>​</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500" w:type="dxa"/>
            <w:vAlign w:val="bottom"/>
            <w:vMerge w:val="restart"/>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0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49"/>
        </w:trPr>
        <w:tc>
          <w:tcPr>
            <w:tcW w:w="2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ind w:left="340"/>
              <w:spacing w:after="0" w:line="49" w:lineRule="exact"/>
              <w:rPr>
                <w:sz w:val="20"/>
                <w:szCs w:val="20"/>
                <w:color w:val="auto"/>
              </w:rPr>
            </w:pPr>
            <w:r>
              <w:rPr>
                <w:rFonts w:ascii="Arial" w:cs="Arial" w:eastAsia="Arial" w:hAnsi="Arial"/>
                <w:sz w:val="5"/>
                <w:szCs w:val="5"/>
                <w:color w:val="auto"/>
              </w:rPr>
              <w:t>​—</w:t>
            </w: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gridSpan w:val="2"/>
          </w:tcPr>
          <w:p>
            <w:pPr>
              <w:jc w:val="right"/>
              <w:spacing w:after="0" w:line="49" w:lineRule="exact"/>
              <w:rPr>
                <w:sz w:val="20"/>
                <w:szCs w:val="20"/>
                <w:color w:val="auto"/>
              </w:rPr>
            </w:pPr>
            <w:r>
              <w:rPr>
                <w:rFonts w:ascii="Arial" w:cs="Arial" w:eastAsia="Arial" w:hAnsi="Arial"/>
                <w:sz w:val="5"/>
                <w:szCs w:val="5"/>
                <w:color w:val="auto"/>
              </w:rPr>
              <w:t>​1,667</w:t>
            </w: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gridSpan w:val="5"/>
          </w:tcPr>
          <w:p>
            <w:pPr>
              <w:ind w:left="120"/>
              <w:spacing w:after="0" w:line="49" w:lineRule="exact"/>
              <w:rPr>
                <w:sz w:val="20"/>
                <w:szCs w:val="20"/>
                <w:color w:val="auto"/>
              </w:rPr>
            </w:pPr>
            <w:r>
              <w:rPr>
                <w:rFonts w:ascii="Arial" w:cs="Arial" w:eastAsia="Arial" w:hAnsi="Arial"/>
                <w:sz w:val="5"/>
                <w:szCs w:val="5"/>
                <w:color w:val="auto"/>
              </w:rPr>
              <w:t>$27.65</w:t>
            </w:r>
          </w:p>
        </w:tc>
        <w:tc>
          <w:tcPr>
            <w:tcW w:w="8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ind w:left="300"/>
              <w:spacing w:after="0"/>
              <w:rPr>
                <w:sz w:val="20"/>
                <w:szCs w:val="20"/>
                <w:color w:val="auto"/>
              </w:rPr>
            </w:pPr>
            <w:r>
              <w:rPr>
                <w:rFonts w:ascii="Arial" w:cs="Arial" w:eastAsia="Arial" w:hAnsi="Arial"/>
                <w:sz w:val="11"/>
                <w:szCs w:val="11"/>
                <w:color w:val="auto"/>
                <w:w w:val="72"/>
              </w:rPr>
              <w:t>—</w:t>
            </w: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460" w:type="dxa"/>
            <w:vAlign w:val="bottom"/>
          </w:tcPr>
          <w:p>
            <w:pPr>
              <w:ind w:left="320"/>
              <w:spacing w:after="0" w:line="121"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ind w:left="160"/>
              <w:spacing w:after="0" w:line="121"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8"/>
                <w:szCs w:val="8"/>
                <w:color w:val="auto"/>
              </w:rPr>
              <w:t>(11)</w:t>
            </w:r>
          </w:p>
        </w:tc>
        <w:tc>
          <w:tcPr>
            <w:tcW w:w="14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7/27/2027</w:t>
            </w:r>
          </w:p>
        </w:tc>
        <w:tc>
          <w:tcPr>
            <w:tcW w:w="20" w:type="dxa"/>
            <w:vAlign w:val="bottom"/>
            <w:shd w:val="clear" w:color="auto" w:fill="CCEEFF"/>
          </w:tcPr>
          <w:p>
            <w:pPr>
              <w:jc w:val="right"/>
              <w:spacing w:after="0"/>
              <w:rPr>
                <w:sz w:val="20"/>
                <w:szCs w:val="20"/>
                <w:color w:val="auto"/>
              </w:rPr>
            </w:pPr>
            <w:r>
              <w:rPr>
                <w:rFonts w:ascii="Arial" w:cs="Arial" w:eastAsia="Arial" w:hAnsi="Arial"/>
                <w:sz w:val="1"/>
                <w:szCs w:val="1"/>
                <w:b w:val="1"/>
                <w:bCs w:val="1"/>
                <w:color w:val="auto"/>
                <w:w w:val="4294942296"/>
              </w:rPr>
              <w:t>​</w:t>
            </w:r>
          </w:p>
        </w:tc>
        <w:tc>
          <w:tcPr>
            <w:tcW w:w="180" w:type="dxa"/>
            <w:vAlign w:val="bottom"/>
            <w:tcBorders>
              <w:right w:val="single" w:sz="8" w:color="CCEEFF"/>
            </w:tcBorders>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tcBorders>
              <w:left w:val="single" w:sz="8" w:color="CCEEFF"/>
            </w:tcBorders>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w:t>
            </w:r>
          </w:p>
        </w:tc>
        <w:tc>
          <w:tcPr>
            <w:tcW w:w="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50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68"/>
        </w:trPr>
        <w:tc>
          <w:tcPr>
            <w:tcW w:w="2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ind w:left="340"/>
              <w:spacing w:after="0" w:line="49" w:lineRule="exact"/>
              <w:rPr>
                <w:sz w:val="20"/>
                <w:szCs w:val="20"/>
                <w:color w:val="auto"/>
              </w:rPr>
            </w:pPr>
            <w:r>
              <w:rPr>
                <w:rFonts w:ascii="Arial" w:cs="Arial" w:eastAsia="Arial" w:hAnsi="Arial"/>
                <w:sz w:val="5"/>
                <w:szCs w:val="5"/>
                <w:color w:val="auto"/>
              </w:rPr>
              <w:t>​—</w:t>
            </w:r>
          </w:p>
        </w:tc>
        <w:tc>
          <w:tcPr>
            <w:tcW w:w="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gridSpan w:val="2"/>
            <w:shd w:val="clear" w:color="auto" w:fill="CCEEFF"/>
          </w:tcPr>
          <w:p>
            <w:pPr>
              <w:jc w:val="right"/>
              <w:spacing w:after="0" w:line="49" w:lineRule="exact"/>
              <w:rPr>
                <w:sz w:val="20"/>
                <w:szCs w:val="20"/>
                <w:color w:val="auto"/>
              </w:rPr>
            </w:pPr>
            <w:r>
              <w:rPr>
                <w:rFonts w:ascii="Arial" w:cs="Arial" w:eastAsia="Arial" w:hAnsi="Arial"/>
                <w:sz w:val="5"/>
                <w:szCs w:val="5"/>
                <w:color w:val="auto"/>
              </w:rPr>
              <w:t>​3,333</w:t>
            </w:r>
          </w:p>
        </w:tc>
        <w:tc>
          <w:tcPr>
            <w:tcW w:w="2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00" w:type="dxa"/>
            <w:vAlign w:val="bottom"/>
            <w:gridSpan w:val="5"/>
            <w:shd w:val="clear" w:color="auto" w:fill="CCEEFF"/>
          </w:tcPr>
          <w:p>
            <w:pPr>
              <w:ind w:left="120"/>
              <w:spacing w:after="0" w:line="49" w:lineRule="exact"/>
              <w:rPr>
                <w:sz w:val="20"/>
                <w:szCs w:val="20"/>
                <w:color w:val="auto"/>
              </w:rPr>
            </w:pPr>
            <w:r>
              <w:rPr>
                <w:rFonts w:ascii="Arial" w:cs="Arial" w:eastAsia="Arial" w:hAnsi="Arial"/>
                <w:sz w:val="5"/>
                <w:szCs w:val="5"/>
                <w:color w:val="auto"/>
              </w:rPr>
              <w:t>$27.65</w:t>
            </w:r>
          </w:p>
        </w:tc>
        <w:tc>
          <w:tcPr>
            <w:tcW w:w="8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80" w:type="dxa"/>
            <w:vAlign w:val="bottom"/>
            <w:tcBorders>
              <w:right w:val="single" w:sz="8" w:color="CCEEFF"/>
            </w:tcBorders>
            <w:vMerge w:val="continue"/>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80" w:type="dxa"/>
            <w:vAlign w:val="bottom"/>
            <w:tcBorders>
              <w:right w:val="single" w:sz="8" w:color="CCEEFF"/>
            </w:tcBorders>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60" w:type="dxa"/>
            <w:vAlign w:val="bottom"/>
            <w:tcBorders>
              <w:left w:val="single" w:sz="8" w:color="CCEEFF"/>
            </w:tcBorders>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420" w:type="dxa"/>
            <w:vAlign w:val="bottom"/>
            <w:vMerge w:val="continue"/>
            <w:shd w:val="clear" w:color="auto" w:fill="CCEEFF"/>
          </w:tcPr>
          <w:p>
            <w:pPr>
              <w:spacing w:after="0"/>
              <w:rPr>
                <w:sz w:val="5"/>
                <w:szCs w:val="5"/>
                <w:color w:val="auto"/>
              </w:rPr>
            </w:pPr>
          </w:p>
        </w:tc>
        <w:tc>
          <w:tcPr>
            <w:tcW w:w="60" w:type="dxa"/>
            <w:vAlign w:val="bottom"/>
            <w:tcBorders>
              <w:left w:val="single" w:sz="8" w:color="CCEEFF"/>
            </w:tcBorders>
            <w:shd w:val="clear" w:color="auto" w:fill="CCEEFF"/>
          </w:tcPr>
          <w:p>
            <w:pPr>
              <w:spacing w:after="0"/>
              <w:rPr>
                <w:sz w:val="5"/>
                <w:szCs w:val="5"/>
                <w:color w:val="auto"/>
              </w:rPr>
            </w:pPr>
          </w:p>
        </w:tc>
        <w:tc>
          <w:tcPr>
            <w:tcW w:w="140" w:type="dxa"/>
            <w:vAlign w:val="bottom"/>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80" w:type="dxa"/>
            <w:vAlign w:val="bottom"/>
            <w:tcBorders>
              <w:left w:val="single" w:sz="8" w:color="CCEEFF"/>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 w:type="dxa"/>
            <w:vAlign w:val="bottom"/>
            <w:vMerge w:val="continue"/>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0"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14,842</w:t>
            </w:r>
          </w:p>
        </w:tc>
        <w:tc>
          <w:tcPr>
            <w:tcW w:w="140" w:type="dxa"/>
            <w:vAlign w:val="bottom"/>
            <w:tcBorders>
              <w:right w:val="single" w:sz="8" w:color="CCEEFF"/>
            </w:tcBorders>
            <w:shd w:val="clear" w:color="auto" w:fill="CCEEFF"/>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460" w:type="dxa"/>
            <w:vAlign w:val="bottom"/>
          </w:tcPr>
          <w:p>
            <w:pPr>
              <w:ind w:left="32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w:t>
            </w:r>
          </w:p>
        </w:tc>
        <w:tc>
          <w:tcPr>
            <w:tcW w:w="340" w:type="dxa"/>
            <w:vAlign w:val="bottom"/>
          </w:tcPr>
          <w:p>
            <w:pPr>
              <w:spacing w:after="0"/>
              <w:rPr>
                <w:sz w:val="13"/>
                <w:szCs w:val="13"/>
                <w:color w:val="auto"/>
              </w:rPr>
            </w:pPr>
          </w:p>
        </w:tc>
        <w:tc>
          <w:tcPr>
            <w:tcW w:w="100" w:type="dxa"/>
            <w:vAlign w:val="bottom"/>
          </w:tcPr>
          <w:p>
            <w:pPr>
              <w:ind w:left="40"/>
              <w:spacing w:after="0"/>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50"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700" w:type="dxa"/>
            <w:vAlign w:val="bottom"/>
            <w:gridSpan w:val="5"/>
          </w:tcPr>
          <w:p>
            <w:pPr>
              <w:ind w:left="10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0"/>
                <w:szCs w:val="10"/>
                <w:color w:val="auto"/>
              </w:rPr>
              <w:t>$24.82</w:t>
            </w:r>
          </w:p>
        </w:tc>
        <w:tc>
          <w:tcPr>
            <w:tcW w:w="80" w:type="dxa"/>
            <w:vAlign w:val="bottom"/>
          </w:tcPr>
          <w:p>
            <w:pPr>
              <w:jc w:val="right"/>
              <w:spacing w:after="0" w:line="150"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7"/>
                <w:szCs w:val="17"/>
                <w:color w:val="auto"/>
                <w:vertAlign w:val="subscript"/>
              </w:rPr>
              <w:t>​</w:t>
            </w:r>
          </w:p>
        </w:tc>
        <w:tc>
          <w:tcPr>
            <w:tcW w:w="600" w:type="dxa"/>
            <w:vAlign w:val="bottom"/>
            <w:gridSpan w:val="2"/>
          </w:tcPr>
          <w:p>
            <w:pPr>
              <w:jc w:val="right"/>
              <w:spacing w:after="0" w:line="150" w:lineRule="exact"/>
              <w:rPr>
                <w:sz w:val="20"/>
                <w:szCs w:val="20"/>
                <w:color w:val="auto"/>
              </w:rPr>
            </w:pPr>
            <w:r>
              <w:rPr>
                <w:rFonts w:ascii="Arial" w:cs="Arial" w:eastAsia="Arial" w:hAnsi="Arial"/>
                <w:sz w:val="10"/>
                <w:szCs w:val="10"/>
                <w:color w:val="auto"/>
              </w:rPr>
              <w:t>2/12/2028</w:t>
            </w:r>
            <w:r>
              <w:rPr>
                <w:rFonts w:ascii="Arial" w:cs="Arial" w:eastAsia="Arial" w:hAnsi="Arial"/>
                <w:sz w:val="17"/>
                <w:szCs w:val="17"/>
                <w:b w:val="1"/>
                <w:bCs w:val="1"/>
                <w:color w:val="auto"/>
                <w:vertAlign w:val="superscript"/>
              </w:rPr>
              <w:t>​</w:t>
            </w:r>
          </w:p>
        </w:tc>
        <w:tc>
          <w:tcPr>
            <w:tcW w:w="180" w:type="dxa"/>
            <w:vAlign w:val="bottom"/>
          </w:tcPr>
          <w:p>
            <w:pPr>
              <w:ind w:left="100"/>
              <w:spacing w:after="0" w:line="150"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gridSpan w:val="2"/>
          </w:tcPr>
          <w:p>
            <w:pPr>
              <w:ind w:left="100"/>
              <w:spacing w:after="0" w:line="15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7"/>
                <w:szCs w:val="17"/>
                <w:color w:val="auto"/>
                <w:vertAlign w:val="subscript"/>
              </w:rPr>
              <w:t>​</w:t>
            </w:r>
          </w:p>
        </w:tc>
        <w:tc>
          <w:tcPr>
            <w:tcW w:w="4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ind w:left="100"/>
              <w:spacing w:after="0" w:line="150" w:lineRule="exact"/>
              <w:rPr>
                <w:sz w:val="20"/>
                <w:szCs w:val="20"/>
                <w:color w:val="auto"/>
              </w:rPr>
            </w:pPr>
            <w:r>
              <w:rPr>
                <w:rFonts w:ascii="Arial" w:cs="Arial" w:eastAsia="Arial" w:hAnsi="Arial"/>
                <w:sz w:val="10"/>
                <w:szCs w:val="10"/>
                <w:color w:val="auto"/>
              </w:rPr>
              <w:t>​</w:t>
            </w:r>
            <w:r>
              <w:rPr>
                <w:rFonts w:ascii="Arial" w:cs="Arial" w:eastAsia="Arial" w:hAnsi="Arial"/>
                <w:sz w:val="17"/>
                <w:szCs w:val="17"/>
                <w:color w:val="auto"/>
                <w:vertAlign w:val="subscript"/>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gridSpan w:val="2"/>
          </w:tcPr>
          <w:p>
            <w:pPr>
              <w:ind w:left="20"/>
              <w:spacing w:after="0" w:line="15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7"/>
                <w:szCs w:val="17"/>
                <w:color w:val="auto"/>
                <w:vertAlign w:val="subscript"/>
              </w:rPr>
              <w:t>​</w:t>
            </w:r>
          </w:p>
        </w:tc>
        <w:tc>
          <w:tcPr>
            <w:tcW w:w="50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1"/>
        </w:trPr>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ind w:left="300"/>
              <w:spacing w:after="0"/>
              <w:rPr>
                <w:sz w:val="20"/>
                <w:szCs w:val="20"/>
                <w:color w:val="auto"/>
              </w:rPr>
            </w:pPr>
            <w:r>
              <w:rPr>
                <w:rFonts w:ascii="Arial" w:cs="Arial" w:eastAsia="Arial" w:hAnsi="Arial"/>
                <w:sz w:val="11"/>
                <w:szCs w:val="11"/>
                <w:color w:val="auto"/>
                <w:w w:val="72"/>
              </w:rPr>
              <w:t>—</w:t>
            </w: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460" w:type="dxa"/>
            <w:vAlign w:val="bottom"/>
          </w:tcPr>
          <w:p>
            <w:pPr>
              <w:ind w:left="320"/>
              <w:spacing w:after="0" w:line="121"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21" w:lineRule="exact"/>
              <w:rPr>
                <w:sz w:val="20"/>
                <w:szCs w:val="20"/>
                <w:color w:val="auto"/>
              </w:rPr>
            </w:pPr>
            <w:r>
              <w:rPr>
                <w:rFonts w:ascii="Arial" w:cs="Arial" w:eastAsia="Arial" w:hAnsi="Arial"/>
                <w:sz w:val="12"/>
                <w:szCs w:val="12"/>
                <w:color w:val="auto"/>
              </w:rPr>
              <w:t>​</w:t>
            </w: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1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80" w:type="dxa"/>
            <w:vAlign w:val="bottom"/>
            <w:gridSpan w:val="2"/>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18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420" w:type="dxa"/>
            <w:vAlign w:val="bottom"/>
            <w:vMerge w:val="restart"/>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tcPr>
          <w:p>
            <w:pPr>
              <w:ind w:left="100"/>
              <w:spacing w:after="0" w:line="121" w:lineRule="exact"/>
              <w:rPr>
                <w:sz w:val="20"/>
                <w:szCs w:val="20"/>
                <w:color w:val="auto"/>
              </w:rPr>
            </w:pPr>
            <w:r>
              <w:rPr>
                <w:rFonts w:ascii="Arial" w:cs="Arial" w:eastAsia="Arial" w:hAnsi="Arial"/>
                <w:sz w:val="12"/>
                <w:szCs w:val="12"/>
                <w:color w:val="auto"/>
              </w:rPr>
              <w:t>​</w:t>
            </w:r>
          </w:p>
        </w:tc>
        <w:tc>
          <w:tcPr>
            <w:tcW w:w="400" w:type="dxa"/>
            <w:vAlign w:val="bottom"/>
          </w:tcPr>
          <w:p>
            <w:pPr>
              <w:spacing w:after="0"/>
              <w:rPr>
                <w:sz w:val="10"/>
                <w:szCs w:val="10"/>
                <w:color w:val="auto"/>
              </w:rPr>
            </w:pPr>
          </w:p>
        </w:tc>
        <w:tc>
          <w:tcPr>
            <w:tcW w:w="140" w:type="dxa"/>
            <w:vAlign w:val="bottom"/>
          </w:tcPr>
          <w:p>
            <w:pPr>
              <w:jc w:val="right"/>
              <w:ind w:right="2"/>
              <w:spacing w:after="0"/>
              <w:rPr>
                <w:sz w:val="20"/>
                <w:szCs w:val="20"/>
                <w:color w:val="auto"/>
              </w:rPr>
            </w:pPr>
            <w:r>
              <w:rPr>
                <w:rFonts w:ascii="Arial" w:cs="Arial" w:eastAsia="Arial" w:hAnsi="Arial"/>
                <w:sz w:val="8"/>
                <w:szCs w:val="8"/>
                <w:color w:val="auto"/>
                <w:w w:val="81"/>
              </w:rPr>
              <w:t>(6)</w:t>
            </w:r>
          </w:p>
        </w:tc>
        <w:tc>
          <w:tcPr>
            <w:tcW w:w="80" w:type="dxa"/>
            <w:vAlign w:val="bottom"/>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0" w:type="dxa"/>
            <w:vAlign w:val="bottom"/>
          </w:tcPr>
          <w:p>
            <w:pPr>
              <w:ind w:left="20"/>
              <w:spacing w:after="0" w:line="121"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9"/>
        </w:trPr>
        <w:tc>
          <w:tcPr>
            <w:tcW w:w="2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ind w:left="340"/>
              <w:spacing w:after="0" w:line="49" w:lineRule="exact"/>
              <w:rPr>
                <w:sz w:val="20"/>
                <w:szCs w:val="20"/>
                <w:color w:val="auto"/>
              </w:rPr>
            </w:pPr>
            <w:r>
              <w:rPr>
                <w:rFonts w:ascii="Arial" w:cs="Arial" w:eastAsia="Arial" w:hAnsi="Arial"/>
                <w:sz w:val="5"/>
                <w:szCs w:val="5"/>
                <w:color w:val="auto"/>
              </w:rPr>
              <w:t>​—</w:t>
            </w: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ind w:left="160"/>
              <w:spacing w:after="0" w:line="49" w:lineRule="exact"/>
              <w:rPr>
                <w:sz w:val="20"/>
                <w:szCs w:val="20"/>
                <w:color w:val="auto"/>
              </w:rPr>
            </w:pPr>
            <w:r>
              <w:rPr>
                <w:rFonts w:ascii="Arial" w:cs="Arial" w:eastAsia="Arial" w:hAnsi="Arial"/>
                <w:sz w:val="5"/>
                <w:szCs w:val="5"/>
                <w:color w:val="auto"/>
              </w:rPr>
              <w:t>​</w:t>
            </w:r>
          </w:p>
        </w:tc>
        <w:tc>
          <w:tcPr>
            <w:tcW w:w="2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8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gridSpan w:val="2"/>
          </w:tcPr>
          <w:p>
            <w:pPr>
              <w:ind w:left="100"/>
              <w:spacing w:after="0" w:line="49" w:lineRule="exact"/>
              <w:rPr>
                <w:sz w:val="20"/>
                <w:szCs w:val="20"/>
                <w:color w:val="auto"/>
              </w:rPr>
            </w:pPr>
            <w:r>
              <w:rPr>
                <w:rFonts w:ascii="Arial" w:cs="Arial" w:eastAsia="Arial" w:hAnsi="Arial"/>
                <w:sz w:val="5"/>
                <w:szCs w:val="5"/>
                <w:color w:val="auto"/>
              </w:rPr>
              <w:t>​ 19,000</w:t>
            </w: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gridSpan w:val="4"/>
          </w:tcPr>
          <w:p>
            <w:pPr>
              <w:ind w:left="120"/>
              <w:spacing w:after="0" w:line="49" w:lineRule="exact"/>
              <w:rPr>
                <w:sz w:val="20"/>
                <w:szCs w:val="20"/>
                <w:color w:val="auto"/>
              </w:rPr>
            </w:pPr>
            <w:r>
              <w:rPr>
                <w:rFonts w:ascii="Arial" w:cs="Arial" w:eastAsia="Arial" w:hAnsi="Arial"/>
                <w:sz w:val="5"/>
                <w:szCs w:val="5"/>
                <w:color w:val="auto"/>
              </w:rPr>
              <w:t>$12,491</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400" w:type="dxa"/>
            <w:vAlign w:val="bottom"/>
            <w:shd w:val="clear" w:color="auto" w:fill="CCEEFF"/>
          </w:tcPr>
          <w:p>
            <w:pPr>
              <w:ind w:left="300"/>
              <w:spacing w:after="0"/>
              <w:rPr>
                <w:sz w:val="20"/>
                <w:szCs w:val="20"/>
                <w:color w:val="auto"/>
              </w:rPr>
            </w:pPr>
            <w:r>
              <w:rPr>
                <w:rFonts w:ascii="Arial" w:cs="Arial" w:eastAsia="Arial" w:hAnsi="Arial"/>
                <w:sz w:val="11"/>
                <w:szCs w:val="11"/>
                <w:color w:val="auto"/>
                <w:w w:val="72"/>
              </w:rPr>
              <w:t>—</w:t>
            </w: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460" w:type="dxa"/>
            <w:vAlign w:val="bottom"/>
          </w:tcPr>
          <w:p>
            <w:pPr>
              <w:ind w:left="32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340" w:type="dxa"/>
            <w:vAlign w:val="bottom"/>
          </w:tcPr>
          <w:p>
            <w:pPr>
              <w:spacing w:after="0"/>
              <w:rPr>
                <w:sz w:val="16"/>
                <w:szCs w:val="16"/>
                <w:color w:val="auto"/>
              </w:rPr>
            </w:pPr>
          </w:p>
        </w:tc>
        <w:tc>
          <w:tcPr>
            <w:tcW w:w="100" w:type="dxa"/>
            <w:vAlign w:val="bottom"/>
          </w:tcPr>
          <w:p>
            <w:pPr>
              <w:ind w:left="40"/>
              <w:spacing w:after="0"/>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80" w:type="dxa"/>
            <w:vAlign w:val="bottom"/>
            <w:gridSpan w:val="3"/>
            <w:shd w:val="clear" w:color="auto" w:fill="CCEEFF"/>
          </w:tcPr>
          <w:p>
            <w:pPr>
              <w:ind w:left="10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line="170"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9"/>
                <w:szCs w:val="19"/>
                <w:color w:val="auto"/>
                <w:vertAlign w:val="subscript"/>
              </w:rPr>
              <w:t>​</w:t>
            </w:r>
          </w:p>
        </w:tc>
        <w:tc>
          <w:tcPr>
            <w:tcW w:w="60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b w:val="1"/>
                <w:bCs w:val="1"/>
                <w:color w:val="auto"/>
                <w:vertAlign w:val="superscript"/>
              </w:rPr>
              <w:t>​</w:t>
            </w:r>
          </w:p>
        </w:tc>
        <w:tc>
          <w:tcPr>
            <w:tcW w:w="180" w:type="dxa"/>
            <w:vAlign w:val="bottom"/>
            <w:tcBorders>
              <w:right w:val="single" w:sz="8" w:color="CCEEFF"/>
            </w:tcBorders>
            <w:shd w:val="clear" w:color="auto" w:fill="CCEEFF"/>
          </w:tcPr>
          <w:p>
            <w:pPr>
              <w:ind w:left="10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6"/>
                <w:szCs w:val="16"/>
                <w:color w:val="auto"/>
              </w:rPr>
            </w:pPr>
          </w:p>
        </w:tc>
        <w:tc>
          <w:tcPr>
            <w:tcW w:w="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240" w:type="dxa"/>
            <w:vAlign w:val="bottom"/>
            <w:gridSpan w:val="2"/>
            <w:shd w:val="clear" w:color="auto" w:fill="CCEEFF"/>
          </w:tcPr>
          <w:p>
            <w:pPr>
              <w:ind w:left="10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4"/>
            <w:shd w:val="clear" w:color="auto" w:fill="CCEEFF"/>
          </w:tcPr>
          <w:p>
            <w:pPr>
              <w:ind w:left="10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 10,000</w:t>
            </w:r>
            <w:r>
              <w:rPr>
                <w:rFonts w:ascii="Arial" w:cs="Arial" w:eastAsia="Arial" w:hAnsi="Arial"/>
                <w:sz w:val="13"/>
                <w:szCs w:val="13"/>
                <w:color w:val="auto"/>
                <w:vertAlign w:val="superscript"/>
              </w:rPr>
              <w:t>(13)</w:t>
            </w: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line="170" w:lineRule="exact"/>
              <w:rPr>
                <w:sz w:val="20"/>
                <w:szCs w:val="20"/>
                <w:color w:val="auto"/>
              </w:rPr>
            </w:pPr>
            <w:r>
              <w:rPr>
                <w:rFonts w:ascii="Arial" w:cs="Arial" w:eastAsia="Arial" w:hAnsi="Arial"/>
                <w:sz w:val="10"/>
                <w:szCs w:val="10"/>
                <w:color w:val="auto"/>
                <w:w w:val="84"/>
              </w:rPr>
              <w:t>​</w:t>
            </w:r>
            <w:r>
              <w:rPr>
                <w:rFonts w:ascii="Arial" w:cs="Arial" w:eastAsia="Arial" w:hAnsi="Arial"/>
                <w:sz w:val="19"/>
                <w:szCs w:val="19"/>
                <w:color w:val="auto"/>
                <w:w w:val="84"/>
                <w:vertAlign w:val="subscript"/>
              </w:rPr>
              <w:t>$</w:t>
            </w: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6,574</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02"/>
        </w:trPr>
        <w:tc>
          <w:tcPr>
            <w:tcW w:w="26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6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line="102" w:lineRule="exact"/>
              <w:rPr>
                <w:sz w:val="20"/>
                <w:szCs w:val="20"/>
                <w:color w:val="auto"/>
              </w:rPr>
            </w:pPr>
            <w:r>
              <w:rPr>
                <w:rFonts w:ascii="Arial" w:cs="Arial" w:eastAsia="Arial" w:hAnsi="Arial"/>
                <w:sz w:val="11"/>
                <w:szCs w:val="11"/>
                <w:color w:val="auto"/>
              </w:rPr>
              <w:t>​</w:t>
            </w:r>
          </w:p>
        </w:tc>
        <w:tc>
          <w:tcPr>
            <w:tcW w:w="400" w:type="dxa"/>
            <w:vAlign w:val="bottom"/>
            <w:vMerge w:val="restart"/>
            <w:shd w:val="clear" w:color="auto" w:fill="CCEEFF"/>
          </w:tcPr>
          <w:p>
            <w:pPr>
              <w:ind w:left="300"/>
              <w:spacing w:after="0"/>
              <w:rPr>
                <w:sz w:val="20"/>
                <w:szCs w:val="20"/>
                <w:color w:val="auto"/>
              </w:rPr>
            </w:pPr>
            <w:r>
              <w:rPr>
                <w:rFonts w:ascii="Arial" w:cs="Arial" w:eastAsia="Arial" w:hAnsi="Arial"/>
                <w:sz w:val="11"/>
                <w:szCs w:val="11"/>
                <w:color w:val="auto"/>
                <w:w w:val="72"/>
              </w:rPr>
              <w:t>—</w:t>
            </w:r>
          </w:p>
        </w:tc>
        <w:tc>
          <w:tcPr>
            <w:tcW w:w="140" w:type="dxa"/>
            <w:vAlign w:val="bottom"/>
            <w:tcBorders>
              <w:right w:val="single" w:sz="8" w:color="CCEEFF"/>
            </w:tcBorders>
            <w:shd w:val="clear" w:color="auto" w:fill="CCEEFF"/>
          </w:tcPr>
          <w:p>
            <w:pPr>
              <w:spacing w:after="0"/>
              <w:rPr>
                <w:sz w:val="8"/>
                <w:szCs w:val="8"/>
                <w:color w:val="auto"/>
              </w:rPr>
            </w:pPr>
          </w:p>
        </w:tc>
        <w:tc>
          <w:tcPr>
            <w:tcW w:w="6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460" w:type="dxa"/>
            <w:vAlign w:val="bottom"/>
          </w:tcPr>
          <w:p>
            <w:pPr>
              <w:ind w:left="320"/>
              <w:spacing w:after="0" w:line="102" w:lineRule="exact"/>
              <w:rPr>
                <w:sz w:val="20"/>
                <w:szCs w:val="20"/>
                <w:color w:val="auto"/>
              </w:rPr>
            </w:pPr>
            <w:r>
              <w:rPr>
                <w:rFonts w:ascii="Arial" w:cs="Arial" w:eastAsia="Arial" w:hAnsi="Arial"/>
                <w:sz w:val="11"/>
                <w:szCs w:val="11"/>
                <w:color w:val="auto"/>
              </w:rPr>
              <w:t>​</w:t>
            </w:r>
          </w:p>
        </w:tc>
        <w:tc>
          <w:tcPr>
            <w:tcW w:w="340" w:type="dxa"/>
            <w:vAlign w:val="bottom"/>
          </w:tcPr>
          <w:p>
            <w:pPr>
              <w:spacing w:after="0"/>
              <w:rPr>
                <w:sz w:val="8"/>
                <w:szCs w:val="8"/>
                <w:color w:val="auto"/>
              </w:rPr>
            </w:pPr>
          </w:p>
        </w:tc>
        <w:tc>
          <w:tcPr>
            <w:tcW w:w="100" w:type="dxa"/>
            <w:vAlign w:val="bottom"/>
          </w:tcPr>
          <w:p>
            <w:pPr>
              <w:ind w:left="40"/>
              <w:spacing w:after="0" w:line="102" w:lineRule="exact"/>
              <w:rPr>
                <w:sz w:val="20"/>
                <w:szCs w:val="20"/>
                <w:color w:val="auto"/>
              </w:rPr>
            </w:pPr>
            <w:r>
              <w:rPr>
                <w:rFonts w:ascii="Arial" w:cs="Arial" w:eastAsia="Arial" w:hAnsi="Arial"/>
                <w:sz w:val="11"/>
                <w:szCs w:val="11"/>
                <w:color w:val="auto"/>
              </w:rPr>
              <w:t>​​</w:t>
            </w:r>
          </w:p>
        </w:tc>
        <w:tc>
          <w:tcPr>
            <w:tcW w:w="300" w:type="dxa"/>
            <w:vAlign w:val="bottom"/>
          </w:tcPr>
          <w:p>
            <w:pPr>
              <w:ind w:left="160"/>
              <w:spacing w:after="0" w:line="102" w:lineRule="exact"/>
              <w:rPr>
                <w:sz w:val="20"/>
                <w:szCs w:val="20"/>
                <w:color w:val="auto"/>
              </w:rPr>
            </w:pPr>
            <w:r>
              <w:rPr>
                <w:rFonts w:ascii="Arial" w:cs="Arial" w:eastAsia="Arial" w:hAnsi="Arial"/>
                <w:sz w:val="11"/>
                <w:szCs w:val="11"/>
                <w:color w:val="auto"/>
              </w:rPr>
              <w:t>​</w:t>
            </w: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8"/>
                <w:szCs w:val="8"/>
                <w:color w:val="auto"/>
              </w:rPr>
            </w:pPr>
          </w:p>
        </w:tc>
        <w:tc>
          <w:tcPr>
            <w:tcW w:w="14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8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line="102" w:lineRule="exact"/>
              <w:rPr>
                <w:sz w:val="20"/>
                <w:szCs w:val="20"/>
                <w:color w:val="auto"/>
              </w:rPr>
            </w:pPr>
            <w:r>
              <w:rPr>
                <w:rFonts w:ascii="Arial" w:cs="Arial" w:eastAsia="Arial" w:hAnsi="Arial"/>
                <w:sz w:val="11"/>
                <w:szCs w:val="11"/>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18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380" w:type="dxa"/>
            <w:vAlign w:val="bottom"/>
            <w:vMerge w:val="restart"/>
          </w:tcPr>
          <w:p>
            <w:pPr>
              <w:jc w:val="right"/>
              <w:spacing w:after="0"/>
              <w:rPr>
                <w:sz w:val="20"/>
                <w:szCs w:val="20"/>
                <w:color w:val="auto"/>
              </w:rPr>
            </w:pPr>
            <w:r>
              <w:rPr>
                <w:rFonts w:ascii="Arial" w:cs="Arial" w:eastAsia="Arial" w:hAnsi="Arial"/>
                <w:sz w:val="12"/>
                <w:szCs w:val="12"/>
                <w:color w:val="auto"/>
              </w:rPr>
              <w:t>3,334</w:t>
            </w:r>
          </w:p>
        </w:tc>
        <w:tc>
          <w:tcPr>
            <w:tcW w:w="140" w:type="dxa"/>
            <w:vAlign w:val="bottom"/>
          </w:tcPr>
          <w:p>
            <w:pPr>
              <w:jc w:val="right"/>
              <w:spacing w:after="0"/>
              <w:rPr>
                <w:sz w:val="20"/>
                <w:szCs w:val="20"/>
                <w:color w:val="auto"/>
              </w:rPr>
            </w:pPr>
            <w:r>
              <w:rPr>
                <w:rFonts w:ascii="Arial" w:cs="Arial" w:eastAsia="Arial" w:hAnsi="Arial"/>
                <w:sz w:val="6"/>
                <w:szCs w:val="6"/>
                <w:color w:val="auto"/>
                <w:w w:val="93"/>
              </w:rPr>
              <w:t>(12)</w:t>
            </w:r>
          </w:p>
        </w:tc>
        <w:tc>
          <w:tcPr>
            <w:tcW w:w="60" w:type="dxa"/>
            <w:vAlign w:val="bottom"/>
          </w:tcPr>
          <w:p>
            <w:pPr>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ind w:left="100"/>
              <w:spacing w:after="0" w:line="102" w:lineRule="exact"/>
              <w:rPr>
                <w:sz w:val="20"/>
                <w:szCs w:val="20"/>
                <w:color w:val="auto"/>
              </w:rPr>
            </w:pPr>
            <w:r>
              <w:rPr>
                <w:rFonts w:ascii="Arial" w:cs="Arial" w:eastAsia="Arial" w:hAnsi="Arial"/>
                <w:sz w:val="11"/>
                <w:szCs w:val="11"/>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8"/>
                <w:szCs w:val="8"/>
                <w:color w:val="auto"/>
              </w:rPr>
            </w:pPr>
          </w:p>
        </w:tc>
        <w:tc>
          <w:tcPr>
            <w:tcW w:w="8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100" w:type="dxa"/>
            <w:vAlign w:val="bottom"/>
          </w:tcPr>
          <w:p>
            <w:pPr>
              <w:ind w:left="20"/>
              <w:spacing w:after="0" w:line="102" w:lineRule="exact"/>
              <w:rPr>
                <w:sz w:val="20"/>
                <w:szCs w:val="20"/>
                <w:color w:val="auto"/>
              </w:rPr>
            </w:pPr>
            <w:r>
              <w:rPr>
                <w:rFonts w:ascii="Arial" w:cs="Arial" w:eastAsia="Arial" w:hAnsi="Arial"/>
                <w:sz w:val="11"/>
                <w:szCs w:val="11"/>
                <w:color w:val="auto"/>
              </w:rPr>
              <w:t>​</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500" w:type="dxa"/>
            <w:vAlign w:val="bottom"/>
            <w:vMerge w:val="restart"/>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0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49"/>
        </w:trPr>
        <w:tc>
          <w:tcPr>
            <w:tcW w:w="2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ind w:left="340"/>
              <w:spacing w:after="0" w:line="49" w:lineRule="exact"/>
              <w:rPr>
                <w:sz w:val="20"/>
                <w:szCs w:val="20"/>
                <w:color w:val="auto"/>
              </w:rPr>
            </w:pPr>
            <w:r>
              <w:rPr>
                <w:rFonts w:ascii="Arial" w:cs="Arial" w:eastAsia="Arial" w:hAnsi="Arial"/>
                <w:sz w:val="5"/>
                <w:szCs w:val="5"/>
                <w:color w:val="auto"/>
              </w:rPr>
              <w:t>​—</w:t>
            </w: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ind w:left="160"/>
              <w:spacing w:after="0" w:line="49" w:lineRule="exact"/>
              <w:rPr>
                <w:sz w:val="20"/>
                <w:szCs w:val="20"/>
                <w:color w:val="auto"/>
              </w:rPr>
            </w:pPr>
            <w:r>
              <w:rPr>
                <w:rFonts w:ascii="Arial" w:cs="Arial" w:eastAsia="Arial" w:hAnsi="Arial"/>
                <w:sz w:val="5"/>
                <w:szCs w:val="5"/>
                <w:color w:val="auto"/>
              </w:rPr>
              <w:t>​</w:t>
            </w:r>
          </w:p>
        </w:tc>
        <w:tc>
          <w:tcPr>
            <w:tcW w:w="2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80" w:type="dxa"/>
            <w:vAlign w:val="bottom"/>
          </w:tcPr>
          <w:p>
            <w:pPr>
              <w:jc w:val="right"/>
              <w:spacing w:after="0" w:line="49" w:lineRule="exact"/>
              <w:rPr>
                <w:sz w:val="20"/>
                <w:szCs w:val="20"/>
                <w:color w:val="auto"/>
              </w:rPr>
            </w:pPr>
            <w:r>
              <w:rPr>
                <w:rFonts w:ascii="Arial" w:cs="Arial" w:eastAsia="Arial" w:hAnsi="Arial"/>
                <w:sz w:val="5"/>
                <w:szCs w:val="5"/>
                <w:color w:val="auto"/>
              </w:rPr>
              <w:t>​</w:t>
            </w:r>
          </w:p>
        </w:tc>
        <w:tc>
          <w:tcPr>
            <w:tcW w:w="5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3"/>
          </w:tcPr>
          <w:p>
            <w:pPr>
              <w:ind w:left="100"/>
              <w:spacing w:after="0" w:line="49" w:lineRule="exact"/>
              <w:rPr>
                <w:sz w:val="20"/>
                <w:szCs w:val="20"/>
                <w:color w:val="auto"/>
              </w:rPr>
            </w:pPr>
            <w:r>
              <w:rPr>
                <w:rFonts w:ascii="Arial" w:cs="Arial" w:eastAsia="Arial" w:hAnsi="Arial"/>
                <w:sz w:val="5"/>
                <w:szCs w:val="5"/>
                <w:color w:val="auto"/>
              </w:rPr>
              <w:t>$ 2,192</w:t>
            </w:r>
          </w:p>
        </w:tc>
        <w:tc>
          <w:tcPr>
            <w:tcW w:w="60" w:type="dxa"/>
            <w:vAlign w:val="bottom"/>
          </w:tcPr>
          <w:p>
            <w:pPr>
              <w:spacing w:after="0"/>
              <w:rPr>
                <w:sz w:val="4"/>
                <w:szCs w:val="4"/>
                <w:color w:val="auto"/>
              </w:rPr>
            </w:pPr>
          </w:p>
        </w:tc>
        <w:tc>
          <w:tcPr>
            <w:tcW w:w="140" w:type="dxa"/>
            <w:vAlign w:val="bottom"/>
          </w:tcPr>
          <w:p>
            <w:pPr>
              <w:ind w:left="100"/>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ind w:left="300"/>
              <w:spacing w:after="0"/>
              <w:rPr>
                <w:sz w:val="20"/>
                <w:szCs w:val="20"/>
                <w:color w:val="auto"/>
              </w:rPr>
            </w:pPr>
            <w:r>
              <w:rPr>
                <w:rFonts w:ascii="Arial" w:cs="Arial" w:eastAsia="Arial" w:hAnsi="Arial"/>
                <w:sz w:val="11"/>
                <w:szCs w:val="11"/>
                <w:color w:val="auto"/>
                <w:w w:val="72"/>
              </w:rPr>
              <w:t>—</w:t>
            </w: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460" w:type="dxa"/>
            <w:vAlign w:val="bottom"/>
          </w:tcPr>
          <w:p>
            <w:pPr>
              <w:ind w:left="320"/>
              <w:spacing w:after="0" w:line="121"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21" w:lineRule="exact"/>
              <w:rPr>
                <w:sz w:val="20"/>
                <w:szCs w:val="20"/>
                <w:color w:val="auto"/>
              </w:rPr>
            </w:pPr>
            <w:r>
              <w:rPr>
                <w:rFonts w:ascii="Arial" w:cs="Arial" w:eastAsia="Arial" w:hAnsi="Arial"/>
                <w:sz w:val="12"/>
                <w:szCs w:val="12"/>
                <w:color w:val="auto"/>
              </w:rPr>
              <w:t>​</w:t>
            </w: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1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gridSpan w:val="2"/>
            <w:vMerge w:val="restart"/>
            <w:shd w:val="clear" w:color="auto" w:fill="CCEEFF"/>
          </w:tcPr>
          <w:p>
            <w:pPr>
              <w:ind w:lef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jc w:val="right"/>
              <w:spacing w:after="0"/>
              <w:rPr>
                <w:sz w:val="20"/>
                <w:szCs w:val="20"/>
                <w:color w:val="auto"/>
              </w:rPr>
            </w:pPr>
            <w:r>
              <w:rPr>
                <w:rFonts w:ascii="Arial" w:cs="Arial" w:eastAsia="Arial" w:hAnsi="Arial"/>
                <w:sz w:val="1"/>
                <w:szCs w:val="1"/>
                <w:b w:val="1"/>
                <w:bCs w:val="1"/>
                <w:color w:val="auto"/>
                <w:w w:val="4294942296"/>
              </w:rPr>
              <w:t>​</w:t>
            </w:r>
          </w:p>
        </w:tc>
        <w:tc>
          <w:tcPr>
            <w:tcW w:w="180" w:type="dxa"/>
            <w:vAlign w:val="bottom"/>
            <w:tcBorders>
              <w:right w:val="single" w:sz="8" w:color="CCEEFF"/>
            </w:tcBorders>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4,871</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6"/>
                <w:szCs w:val="6"/>
                <w:color w:val="auto"/>
                <w:w w:val="93"/>
              </w:rPr>
              <w:t>(14)</w:t>
            </w:r>
          </w:p>
        </w:tc>
        <w:tc>
          <w:tcPr>
            <w:tcW w:w="60" w:type="dxa"/>
            <w:vAlign w:val="bottom"/>
            <w:tcBorders>
              <w:left w:val="single" w:sz="8" w:color="CCEEFF"/>
            </w:tcBorders>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w:t>
            </w:r>
          </w:p>
        </w:tc>
        <w:tc>
          <w:tcPr>
            <w:tcW w:w="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50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9"/>
        </w:trPr>
        <w:tc>
          <w:tcPr>
            <w:tcW w:w="2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ind w:left="340"/>
              <w:spacing w:after="0" w:line="49" w:lineRule="exact"/>
              <w:rPr>
                <w:sz w:val="20"/>
                <w:szCs w:val="20"/>
                <w:color w:val="auto"/>
              </w:rPr>
            </w:pPr>
            <w:r>
              <w:rPr>
                <w:rFonts w:ascii="Arial" w:cs="Arial" w:eastAsia="Arial" w:hAnsi="Arial"/>
                <w:sz w:val="5"/>
                <w:szCs w:val="5"/>
                <w:color w:val="auto"/>
              </w:rPr>
              <w:t>​—</w:t>
            </w: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ind w:left="160"/>
              <w:spacing w:after="0" w:line="49" w:lineRule="exact"/>
              <w:rPr>
                <w:sz w:val="20"/>
                <w:szCs w:val="20"/>
                <w:color w:val="auto"/>
              </w:rPr>
            </w:pPr>
            <w:r>
              <w:rPr>
                <w:rFonts w:ascii="Arial" w:cs="Arial" w:eastAsia="Arial" w:hAnsi="Arial"/>
                <w:sz w:val="5"/>
                <w:szCs w:val="5"/>
                <w:color w:val="auto"/>
              </w:rPr>
              <w:t>​</w:t>
            </w:r>
          </w:p>
        </w:tc>
        <w:tc>
          <w:tcPr>
            <w:tcW w:w="2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420" w:type="dxa"/>
            <w:vAlign w:val="bottom"/>
            <w:gridSpan w:val="2"/>
            <w:vMerge w:val="continue"/>
            <w:shd w:val="clear" w:color="auto" w:fill="CCEEFF"/>
          </w:tcPr>
          <w:p>
            <w:pPr>
              <w:spacing w:after="0"/>
              <w:rPr>
                <w:sz w:val="4"/>
                <w:szCs w:val="4"/>
                <w:color w:val="auto"/>
              </w:rPr>
            </w:pPr>
          </w:p>
        </w:tc>
        <w:tc>
          <w:tcPr>
            <w:tcW w:w="8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80" w:type="dxa"/>
            <w:vAlign w:val="bottom"/>
            <w:tcBorders>
              <w:right w:val="single" w:sz="8" w:color="CCEEFF"/>
            </w:tcBorders>
            <w:vMerge w:val="continue"/>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80" w:type="dxa"/>
            <w:vAlign w:val="bottom"/>
            <w:tcBorders>
              <w:right w:val="single" w:sz="8" w:color="CCEEFF"/>
            </w:tcBorders>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60" w:type="dxa"/>
            <w:vAlign w:val="bottom"/>
            <w:tcBorders>
              <w:left w:val="single" w:sz="8" w:color="CCEEFF"/>
            </w:tcBorders>
            <w:shd w:val="clear" w:color="auto" w:fill="CCEEFF"/>
          </w:tcPr>
          <w:p>
            <w:pPr>
              <w:spacing w:after="0"/>
              <w:rPr>
                <w:sz w:val="4"/>
                <w:szCs w:val="4"/>
                <w:color w:val="auto"/>
              </w:rPr>
            </w:pPr>
          </w:p>
        </w:tc>
        <w:tc>
          <w:tcPr>
            <w:tcW w:w="660" w:type="dxa"/>
            <w:vAlign w:val="bottom"/>
            <w:gridSpan w:val="3"/>
            <w:shd w:val="clear" w:color="auto" w:fill="CCEEFF"/>
          </w:tcPr>
          <w:p>
            <w:pPr>
              <w:ind w:left="100"/>
              <w:spacing w:after="0" w:line="49" w:lineRule="exact"/>
              <w:rPr>
                <w:sz w:val="20"/>
                <w:szCs w:val="20"/>
                <w:color w:val="auto"/>
              </w:rPr>
            </w:pPr>
            <w:r>
              <w:rPr>
                <w:rFonts w:ascii="Arial" w:cs="Arial" w:eastAsia="Arial" w:hAnsi="Arial"/>
                <w:sz w:val="5"/>
                <w:szCs w:val="5"/>
                <w:color w:val="auto"/>
              </w:rPr>
              <w:t>$ 3,202</w:t>
            </w:r>
          </w:p>
        </w:tc>
        <w:tc>
          <w:tcPr>
            <w:tcW w:w="60" w:type="dxa"/>
            <w:vAlign w:val="bottom"/>
            <w:tcBorders>
              <w:left w:val="single" w:sz="8" w:color="CCEEFF"/>
            </w:tcBorders>
            <w:shd w:val="clear" w:color="auto" w:fill="CCEEFF"/>
          </w:tcPr>
          <w:p>
            <w:pPr>
              <w:spacing w:after="0"/>
              <w:rPr>
                <w:sz w:val="4"/>
                <w:szCs w:val="4"/>
                <w:color w:val="auto"/>
              </w:rPr>
            </w:pPr>
          </w:p>
        </w:tc>
        <w:tc>
          <w:tcPr>
            <w:tcW w:w="140" w:type="dxa"/>
            <w:vAlign w:val="bottom"/>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80" w:type="dxa"/>
            <w:vAlign w:val="bottom"/>
            <w:tcBorders>
              <w:lef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 w:type="dxa"/>
            <w:vAlign w:val="bottom"/>
            <w:vMerge w:val="continue"/>
            <w:shd w:val="clear" w:color="auto" w:fill="CCEEFF"/>
          </w:tcPr>
          <w:p>
            <w:pPr>
              <w:spacing w:after="0"/>
              <w:rPr>
                <w:sz w:val="4"/>
                <w:szCs w:val="4"/>
                <w:color w:val="auto"/>
              </w:rPr>
            </w:pPr>
          </w:p>
        </w:tc>
        <w:tc>
          <w:tcPr>
            <w:tcW w:w="500" w:type="dxa"/>
            <w:vAlign w:val="bottom"/>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400" w:type="dxa"/>
            <w:vAlign w:val="bottom"/>
            <w:shd w:val="clear" w:color="auto" w:fill="CCEEFF"/>
          </w:tcPr>
          <w:p>
            <w:pPr>
              <w:ind w:left="300"/>
              <w:spacing w:after="0"/>
              <w:rPr>
                <w:sz w:val="20"/>
                <w:szCs w:val="20"/>
                <w:color w:val="auto"/>
              </w:rPr>
            </w:pPr>
            <w:r>
              <w:rPr>
                <w:rFonts w:ascii="Arial" w:cs="Arial" w:eastAsia="Arial" w:hAnsi="Arial"/>
                <w:sz w:val="11"/>
                <w:szCs w:val="11"/>
                <w:color w:val="auto"/>
                <w:w w:val="72"/>
              </w:rPr>
              <w:t>—</w:t>
            </w:r>
          </w:p>
        </w:tc>
        <w:tc>
          <w:tcPr>
            <w:tcW w:w="140" w:type="dxa"/>
            <w:vAlign w:val="bottom"/>
            <w:tcBorders>
              <w:right w:val="single" w:sz="8" w:color="CCEEFF"/>
            </w:tcBorders>
            <w:shd w:val="clear" w:color="auto" w:fill="CCEEFF"/>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460" w:type="dxa"/>
            <w:vAlign w:val="bottom"/>
          </w:tcPr>
          <w:p>
            <w:pPr>
              <w:ind w:left="32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340" w:type="dxa"/>
            <w:vAlign w:val="bottom"/>
          </w:tcPr>
          <w:p>
            <w:pPr>
              <w:spacing w:after="0"/>
              <w:rPr>
                <w:sz w:val="14"/>
                <w:szCs w:val="14"/>
                <w:color w:val="auto"/>
              </w:rPr>
            </w:pPr>
          </w:p>
        </w:tc>
        <w:tc>
          <w:tcPr>
            <w:tcW w:w="100" w:type="dxa"/>
            <w:vAlign w:val="bottom"/>
          </w:tcPr>
          <w:p>
            <w:pPr>
              <w:ind w:left="40"/>
              <w:spacing w:after="0"/>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ind w:left="8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70"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9"/>
                <w:szCs w:val="19"/>
                <w:color w:val="auto"/>
                <w:vertAlign w:val="subscript"/>
              </w:rPr>
              <w:t>​</w:t>
            </w:r>
          </w:p>
        </w:tc>
        <w:tc>
          <w:tcPr>
            <w:tcW w:w="60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b w:val="1"/>
                <w:bCs w:val="1"/>
                <w:color w:val="auto"/>
                <w:vertAlign w:val="superscript"/>
              </w:rPr>
              <w:t>​</w:t>
            </w:r>
          </w:p>
        </w:tc>
        <w:tc>
          <w:tcPr>
            <w:tcW w:w="180" w:type="dxa"/>
            <w:vAlign w:val="bottom"/>
            <w:tcBorders>
              <w:right w:val="single" w:sz="8" w:color="CCEEFF"/>
            </w:tcBorders>
            <w:shd w:val="clear" w:color="auto" w:fill="CCEEFF"/>
          </w:tcPr>
          <w:p>
            <w:pPr>
              <w:ind w:left="10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4"/>
                <w:szCs w:val="14"/>
                <w:color w:val="auto"/>
              </w:rPr>
            </w:pPr>
          </w:p>
        </w:tc>
        <w:tc>
          <w:tcPr>
            <w:tcW w:w="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240" w:type="dxa"/>
            <w:vAlign w:val="bottom"/>
            <w:gridSpan w:val="2"/>
            <w:shd w:val="clear" w:color="auto" w:fill="CCEEFF"/>
          </w:tcPr>
          <w:p>
            <w:pPr>
              <w:ind w:left="10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4"/>
            <w:shd w:val="clear" w:color="auto" w:fill="CCEEFF"/>
          </w:tcPr>
          <w:p>
            <w:pPr>
              <w:ind w:left="10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 12,500</w:t>
            </w:r>
            <w:r>
              <w:rPr>
                <w:rFonts w:ascii="Arial" w:cs="Arial" w:eastAsia="Arial" w:hAnsi="Arial"/>
                <w:sz w:val="13"/>
                <w:szCs w:val="13"/>
                <w:color w:val="auto"/>
                <w:vertAlign w:val="superscript"/>
              </w:rPr>
              <w:t>(16)</w:t>
            </w: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line="170" w:lineRule="exact"/>
              <w:rPr>
                <w:sz w:val="20"/>
                <w:szCs w:val="20"/>
                <w:color w:val="auto"/>
              </w:rPr>
            </w:pPr>
            <w:r>
              <w:rPr>
                <w:rFonts w:ascii="Arial" w:cs="Arial" w:eastAsia="Arial" w:hAnsi="Arial"/>
                <w:sz w:val="10"/>
                <w:szCs w:val="10"/>
                <w:color w:val="auto"/>
                <w:w w:val="84"/>
              </w:rPr>
              <w:t>​</w:t>
            </w:r>
            <w:r>
              <w:rPr>
                <w:rFonts w:ascii="Arial" w:cs="Arial" w:eastAsia="Arial" w:hAnsi="Arial"/>
                <w:sz w:val="19"/>
                <w:szCs w:val="19"/>
                <w:color w:val="auto"/>
                <w:w w:val="84"/>
                <w:vertAlign w:val="subscript"/>
              </w:rPr>
              <w:t>$</w:t>
            </w:r>
          </w:p>
        </w:tc>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8,218</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1"/>
        </w:trPr>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ind w:left="300"/>
              <w:spacing w:after="0"/>
              <w:rPr>
                <w:sz w:val="20"/>
                <w:szCs w:val="20"/>
                <w:color w:val="auto"/>
              </w:rPr>
            </w:pPr>
            <w:r>
              <w:rPr>
                <w:rFonts w:ascii="Arial" w:cs="Arial" w:eastAsia="Arial" w:hAnsi="Arial"/>
                <w:sz w:val="11"/>
                <w:szCs w:val="11"/>
                <w:color w:val="auto"/>
                <w:w w:val="72"/>
              </w:rPr>
              <w:t>—</w:t>
            </w: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460" w:type="dxa"/>
            <w:vAlign w:val="bottom"/>
          </w:tcPr>
          <w:p>
            <w:pPr>
              <w:ind w:left="320"/>
              <w:spacing w:after="0" w:line="121"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21" w:lineRule="exact"/>
              <w:rPr>
                <w:sz w:val="20"/>
                <w:szCs w:val="20"/>
                <w:color w:val="auto"/>
              </w:rPr>
            </w:pPr>
            <w:r>
              <w:rPr>
                <w:rFonts w:ascii="Arial" w:cs="Arial" w:eastAsia="Arial" w:hAnsi="Arial"/>
                <w:sz w:val="12"/>
                <w:szCs w:val="12"/>
                <w:color w:val="auto"/>
              </w:rPr>
              <w:t>​</w:t>
            </w: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1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200" w:type="dxa"/>
            <w:vAlign w:val="bottom"/>
            <w:vMerge w:val="restart"/>
            <w:shd w:val="clear" w:color="auto" w:fill="CCEEFF"/>
          </w:tcPr>
          <w:p>
            <w:pPr>
              <w:ind w:left="8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jc w:val="right"/>
              <w:spacing w:after="0"/>
              <w:rPr>
                <w:sz w:val="20"/>
                <w:szCs w:val="20"/>
                <w:color w:val="auto"/>
              </w:rPr>
            </w:pPr>
            <w:r>
              <w:rPr>
                <w:rFonts w:ascii="Arial" w:cs="Arial" w:eastAsia="Arial" w:hAnsi="Arial"/>
                <w:sz w:val="1"/>
                <w:szCs w:val="1"/>
                <w:b w:val="1"/>
                <w:bCs w:val="1"/>
                <w:color w:val="auto"/>
                <w:w w:val="4294942296"/>
              </w:rPr>
              <w:t>​</w:t>
            </w:r>
          </w:p>
        </w:tc>
        <w:tc>
          <w:tcPr>
            <w:tcW w:w="180" w:type="dxa"/>
            <w:vAlign w:val="bottom"/>
            <w:tcBorders>
              <w:right w:val="single" w:sz="8" w:color="CCEEFF"/>
            </w:tcBorders>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8,333</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6"/>
                <w:szCs w:val="6"/>
                <w:color w:val="auto"/>
                <w:w w:val="93"/>
              </w:rPr>
              <w:t>(15)</w:t>
            </w:r>
          </w:p>
        </w:tc>
        <w:tc>
          <w:tcPr>
            <w:tcW w:w="60" w:type="dxa"/>
            <w:vAlign w:val="bottom"/>
            <w:tcBorders>
              <w:left w:val="single" w:sz="8" w:color="CCEEFF"/>
            </w:tcBorders>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w:t>
            </w:r>
          </w:p>
        </w:tc>
        <w:tc>
          <w:tcPr>
            <w:tcW w:w="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50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9"/>
        </w:trPr>
        <w:tc>
          <w:tcPr>
            <w:tcW w:w="2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ind w:left="340"/>
              <w:spacing w:after="0" w:line="49" w:lineRule="exact"/>
              <w:rPr>
                <w:sz w:val="20"/>
                <w:szCs w:val="20"/>
                <w:color w:val="auto"/>
              </w:rPr>
            </w:pPr>
            <w:r>
              <w:rPr>
                <w:rFonts w:ascii="Arial" w:cs="Arial" w:eastAsia="Arial" w:hAnsi="Arial"/>
                <w:sz w:val="5"/>
                <w:szCs w:val="5"/>
                <w:color w:val="auto"/>
              </w:rPr>
              <w:t>​—</w:t>
            </w: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ind w:left="160"/>
              <w:spacing w:after="0" w:line="49" w:lineRule="exact"/>
              <w:rPr>
                <w:sz w:val="20"/>
                <w:szCs w:val="20"/>
                <w:color w:val="auto"/>
              </w:rPr>
            </w:pPr>
            <w:r>
              <w:rPr>
                <w:rFonts w:ascii="Arial" w:cs="Arial" w:eastAsia="Arial" w:hAnsi="Arial"/>
                <w:sz w:val="5"/>
                <w:szCs w:val="5"/>
                <w:color w:val="auto"/>
              </w:rPr>
              <w:t>​</w:t>
            </w:r>
          </w:p>
        </w:tc>
        <w:tc>
          <w:tcPr>
            <w:tcW w:w="2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8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80" w:type="dxa"/>
            <w:vAlign w:val="bottom"/>
            <w:tcBorders>
              <w:right w:val="single" w:sz="8" w:color="CCEEFF"/>
            </w:tcBorders>
            <w:vMerge w:val="continue"/>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80" w:type="dxa"/>
            <w:vAlign w:val="bottom"/>
            <w:tcBorders>
              <w:right w:val="single" w:sz="8" w:color="CCEEFF"/>
            </w:tcBorders>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38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60" w:type="dxa"/>
            <w:vAlign w:val="bottom"/>
            <w:tcBorders>
              <w:left w:val="single" w:sz="8" w:color="CCEEFF"/>
            </w:tcBorders>
            <w:shd w:val="clear" w:color="auto" w:fill="CCEEFF"/>
          </w:tcPr>
          <w:p>
            <w:pPr>
              <w:spacing w:after="0"/>
              <w:rPr>
                <w:sz w:val="4"/>
                <w:szCs w:val="4"/>
                <w:color w:val="auto"/>
              </w:rPr>
            </w:pPr>
          </w:p>
        </w:tc>
        <w:tc>
          <w:tcPr>
            <w:tcW w:w="660" w:type="dxa"/>
            <w:vAlign w:val="bottom"/>
            <w:gridSpan w:val="3"/>
            <w:shd w:val="clear" w:color="auto" w:fill="CCEEFF"/>
          </w:tcPr>
          <w:p>
            <w:pPr>
              <w:ind w:left="100"/>
              <w:spacing w:after="0" w:line="49" w:lineRule="exact"/>
              <w:rPr>
                <w:sz w:val="20"/>
                <w:szCs w:val="20"/>
                <w:color w:val="auto"/>
              </w:rPr>
            </w:pPr>
            <w:r>
              <w:rPr>
                <w:rFonts w:ascii="Arial" w:cs="Arial" w:eastAsia="Arial" w:hAnsi="Arial"/>
                <w:sz w:val="5"/>
                <w:szCs w:val="5"/>
                <w:color w:val="auto"/>
              </w:rPr>
              <w:t>$ 5,478</w:t>
            </w:r>
          </w:p>
        </w:tc>
        <w:tc>
          <w:tcPr>
            <w:tcW w:w="60" w:type="dxa"/>
            <w:vAlign w:val="bottom"/>
            <w:tcBorders>
              <w:left w:val="single" w:sz="8" w:color="CCEEFF"/>
            </w:tcBorders>
            <w:shd w:val="clear" w:color="auto" w:fill="CCEEFF"/>
          </w:tcPr>
          <w:p>
            <w:pPr>
              <w:spacing w:after="0"/>
              <w:rPr>
                <w:sz w:val="4"/>
                <w:szCs w:val="4"/>
                <w:color w:val="auto"/>
              </w:rPr>
            </w:pPr>
          </w:p>
        </w:tc>
        <w:tc>
          <w:tcPr>
            <w:tcW w:w="140" w:type="dxa"/>
            <w:vAlign w:val="bottom"/>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80" w:type="dxa"/>
            <w:vAlign w:val="bottom"/>
            <w:tcBorders>
              <w:lef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 w:type="dxa"/>
            <w:vAlign w:val="bottom"/>
            <w:vMerge w:val="continue"/>
            <w:shd w:val="clear" w:color="auto" w:fill="CCEEFF"/>
          </w:tcPr>
          <w:p>
            <w:pPr>
              <w:spacing w:after="0"/>
              <w:rPr>
                <w:sz w:val="4"/>
                <w:szCs w:val="4"/>
                <w:color w:val="auto"/>
              </w:rPr>
            </w:pPr>
          </w:p>
        </w:tc>
        <w:tc>
          <w:tcPr>
            <w:tcW w:w="500" w:type="dxa"/>
            <w:vAlign w:val="bottom"/>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ind w:left="300"/>
              <w:spacing w:after="0"/>
              <w:rPr>
                <w:sz w:val="20"/>
                <w:szCs w:val="20"/>
                <w:color w:val="auto"/>
              </w:rPr>
            </w:pPr>
            <w:r>
              <w:rPr>
                <w:rFonts w:ascii="Arial" w:cs="Arial" w:eastAsia="Arial" w:hAnsi="Arial"/>
                <w:sz w:val="11"/>
                <w:szCs w:val="11"/>
                <w:color w:val="auto"/>
                <w:w w:val="72"/>
              </w:rPr>
              <w:t>—</w:t>
            </w: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460" w:type="dxa"/>
            <w:vAlign w:val="bottom"/>
          </w:tcPr>
          <w:p>
            <w:pPr>
              <w:ind w:left="320"/>
              <w:spacing w:after="0" w:line="121"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21" w:lineRule="exact"/>
              <w:rPr>
                <w:sz w:val="20"/>
                <w:szCs w:val="20"/>
                <w:color w:val="auto"/>
              </w:rPr>
            </w:pPr>
            <w:r>
              <w:rPr>
                <w:rFonts w:ascii="Arial" w:cs="Arial" w:eastAsia="Arial" w:hAnsi="Arial"/>
                <w:sz w:val="12"/>
                <w:szCs w:val="12"/>
                <w:color w:val="auto"/>
              </w:rPr>
              <w:t>​</w:t>
            </w: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1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200" w:type="dxa"/>
            <w:vAlign w:val="bottom"/>
            <w:vMerge w:val="restart"/>
            <w:shd w:val="clear" w:color="auto" w:fill="CCEEFF"/>
          </w:tcPr>
          <w:p>
            <w:pPr>
              <w:ind w:left="8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jc w:val="right"/>
              <w:spacing w:after="0"/>
              <w:rPr>
                <w:sz w:val="20"/>
                <w:szCs w:val="20"/>
                <w:color w:val="auto"/>
              </w:rPr>
            </w:pPr>
            <w:r>
              <w:rPr>
                <w:rFonts w:ascii="Arial" w:cs="Arial" w:eastAsia="Arial" w:hAnsi="Arial"/>
                <w:sz w:val="1"/>
                <w:szCs w:val="1"/>
                <w:b w:val="1"/>
                <w:bCs w:val="1"/>
                <w:color w:val="auto"/>
                <w:w w:val="4294942296"/>
              </w:rPr>
              <w:t>​</w:t>
            </w:r>
          </w:p>
        </w:tc>
        <w:tc>
          <w:tcPr>
            <w:tcW w:w="180" w:type="dxa"/>
            <w:vAlign w:val="bottom"/>
            <w:tcBorders>
              <w:right w:val="single" w:sz="8" w:color="CCEEFF"/>
            </w:tcBorders>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6"/>
                <w:szCs w:val="6"/>
                <w:color w:val="auto"/>
                <w:w w:val="93"/>
              </w:rPr>
              <w:t>(17)</w:t>
            </w:r>
          </w:p>
        </w:tc>
        <w:tc>
          <w:tcPr>
            <w:tcW w:w="60" w:type="dxa"/>
            <w:vAlign w:val="bottom"/>
            <w:tcBorders>
              <w:left w:val="single" w:sz="8" w:color="CCEEFF"/>
            </w:tcBorders>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w:t>
            </w:r>
          </w:p>
        </w:tc>
        <w:tc>
          <w:tcPr>
            <w:tcW w:w="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50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9"/>
        </w:trPr>
        <w:tc>
          <w:tcPr>
            <w:tcW w:w="26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ind w:left="340"/>
              <w:spacing w:after="0" w:line="49" w:lineRule="exact"/>
              <w:rPr>
                <w:sz w:val="20"/>
                <w:szCs w:val="20"/>
                <w:color w:val="auto"/>
              </w:rPr>
            </w:pPr>
            <w:r>
              <w:rPr>
                <w:rFonts w:ascii="Arial" w:cs="Arial" w:eastAsia="Arial" w:hAnsi="Arial"/>
                <w:sz w:val="5"/>
                <w:szCs w:val="5"/>
                <w:color w:val="auto"/>
              </w:rPr>
              <w:t>​—</w:t>
            </w: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ind w:left="160"/>
              <w:spacing w:after="0" w:line="49" w:lineRule="exact"/>
              <w:rPr>
                <w:sz w:val="20"/>
                <w:szCs w:val="20"/>
                <w:color w:val="auto"/>
              </w:rPr>
            </w:pPr>
            <w:r>
              <w:rPr>
                <w:rFonts w:ascii="Arial" w:cs="Arial" w:eastAsia="Arial" w:hAnsi="Arial"/>
                <w:sz w:val="5"/>
                <w:szCs w:val="5"/>
                <w:color w:val="auto"/>
              </w:rPr>
              <w:t>​</w:t>
            </w:r>
          </w:p>
        </w:tc>
        <w:tc>
          <w:tcPr>
            <w:tcW w:w="20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80" w:type="dxa"/>
            <w:vAlign w:val="bottom"/>
            <w:shd w:val="clear" w:color="auto" w:fill="CCEEFF"/>
          </w:tcPr>
          <w:p>
            <w:pPr>
              <w:jc w:val="right"/>
              <w:spacing w:after="0" w:line="49" w:lineRule="exact"/>
              <w:rPr>
                <w:sz w:val="20"/>
                <w:szCs w:val="20"/>
                <w:color w:val="auto"/>
              </w:rPr>
            </w:pPr>
            <w:r>
              <w:rPr>
                <w:rFonts w:ascii="Arial" w:cs="Arial" w:eastAsia="Arial" w:hAnsi="Arial"/>
                <w:sz w:val="5"/>
                <w:szCs w:val="5"/>
                <w:color w:val="auto"/>
              </w:rPr>
              <w:t>​</w:t>
            </w:r>
          </w:p>
        </w:tc>
        <w:tc>
          <w:tcPr>
            <w:tcW w:w="580" w:type="dxa"/>
            <w:vAlign w:val="bottom"/>
            <w:tcBorders>
              <w:right w:val="single" w:sz="8" w:color="CCEEFF"/>
            </w:tcBorders>
            <w:vMerge w:val="continue"/>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560" w:type="dxa"/>
            <w:vAlign w:val="bottom"/>
            <w:gridSpan w:val="2"/>
            <w:shd w:val="clear" w:color="auto" w:fill="CCEEFF"/>
          </w:tcPr>
          <w:p>
            <w:pPr>
              <w:ind w:left="100"/>
              <w:spacing w:after="0" w:line="49" w:lineRule="exact"/>
              <w:rPr>
                <w:sz w:val="20"/>
                <w:szCs w:val="20"/>
                <w:color w:val="auto"/>
              </w:rPr>
            </w:pPr>
            <w:r>
              <w:rPr>
                <w:rFonts w:ascii="Arial" w:cs="Arial" w:eastAsia="Arial" w:hAnsi="Arial"/>
                <w:sz w:val="5"/>
                <w:szCs w:val="5"/>
                <w:color w:val="auto"/>
              </w:rPr>
              <w:t>​ 46,854</w:t>
            </w:r>
          </w:p>
        </w:tc>
        <w:tc>
          <w:tcPr>
            <w:tcW w:w="140" w:type="dxa"/>
            <w:vAlign w:val="bottom"/>
            <w:tcBorders>
              <w:right w:val="single" w:sz="8" w:color="CCEEFF"/>
            </w:tcBorders>
            <w:shd w:val="clear" w:color="auto" w:fill="CCEEFF"/>
          </w:tcPr>
          <w:p>
            <w:pPr>
              <w:spacing w:after="0"/>
              <w:rPr>
                <w:sz w:val="4"/>
                <w:szCs w:val="4"/>
                <w:color w:val="auto"/>
              </w:rPr>
            </w:pPr>
          </w:p>
        </w:tc>
        <w:tc>
          <w:tcPr>
            <w:tcW w:w="60" w:type="dxa"/>
            <w:vAlign w:val="bottom"/>
            <w:tcBorders>
              <w:left w:val="single" w:sz="8" w:color="CCEEFF"/>
            </w:tcBorders>
            <w:shd w:val="clear" w:color="auto" w:fill="CCEEFF"/>
          </w:tcPr>
          <w:p>
            <w:pPr>
              <w:spacing w:after="0"/>
              <w:rPr>
                <w:sz w:val="4"/>
                <w:szCs w:val="4"/>
                <w:color w:val="auto"/>
              </w:rPr>
            </w:pPr>
          </w:p>
        </w:tc>
        <w:tc>
          <w:tcPr>
            <w:tcW w:w="660" w:type="dxa"/>
            <w:vAlign w:val="bottom"/>
            <w:gridSpan w:val="3"/>
            <w:shd w:val="clear" w:color="auto" w:fill="CCEEFF"/>
          </w:tcPr>
          <w:p>
            <w:pPr>
              <w:ind w:left="100"/>
              <w:spacing w:after="0" w:line="49" w:lineRule="exact"/>
              <w:rPr>
                <w:sz w:val="20"/>
                <w:szCs w:val="20"/>
                <w:color w:val="auto"/>
              </w:rPr>
            </w:pPr>
            <w:r>
              <w:rPr>
                <w:rFonts w:ascii="Arial" w:cs="Arial" w:eastAsia="Arial" w:hAnsi="Arial"/>
                <w:sz w:val="5"/>
                <w:szCs w:val="5"/>
                <w:color w:val="auto"/>
              </w:rPr>
              <w:t>$30,802</w:t>
            </w:r>
          </w:p>
        </w:tc>
        <w:tc>
          <w:tcPr>
            <w:tcW w:w="60" w:type="dxa"/>
            <w:vAlign w:val="bottom"/>
            <w:tcBorders>
              <w:left w:val="single" w:sz="8" w:color="CCEEFF"/>
            </w:tcBorders>
            <w:shd w:val="clear" w:color="auto" w:fill="CCEEFF"/>
          </w:tcPr>
          <w:p>
            <w:pPr>
              <w:spacing w:after="0"/>
              <w:rPr>
                <w:sz w:val="4"/>
                <w:szCs w:val="4"/>
                <w:color w:val="auto"/>
              </w:rPr>
            </w:pPr>
          </w:p>
        </w:tc>
        <w:tc>
          <w:tcPr>
            <w:tcW w:w="140" w:type="dxa"/>
            <w:vAlign w:val="bottom"/>
            <w:shd w:val="clear" w:color="auto" w:fill="CCEEFF"/>
          </w:tcPr>
          <w:p>
            <w:pPr>
              <w:ind w:left="100"/>
              <w:spacing w:after="0" w:line="49" w:lineRule="exact"/>
              <w:rPr>
                <w:sz w:val="20"/>
                <w:szCs w:val="20"/>
                <w:color w:val="auto"/>
              </w:rPr>
            </w:pPr>
            <w:r>
              <w:rPr>
                <w:rFonts w:ascii="Arial" w:cs="Arial" w:eastAsia="Arial" w:hAnsi="Arial"/>
                <w:sz w:val="5"/>
                <w:szCs w:val="5"/>
                <w:color w:val="auto"/>
              </w:rPr>
              <w:t>​</w:t>
            </w:r>
          </w:p>
        </w:tc>
        <w:tc>
          <w:tcPr>
            <w:tcW w:w="400" w:type="dxa"/>
            <w:vAlign w:val="bottom"/>
            <w:vMerge w:val="continue"/>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80" w:type="dxa"/>
            <w:vAlign w:val="bottom"/>
            <w:tcBorders>
              <w:lef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 w:type="dxa"/>
            <w:vAlign w:val="bottom"/>
            <w:vMerge w:val="continue"/>
            <w:shd w:val="clear" w:color="auto" w:fill="CCEEFF"/>
          </w:tcPr>
          <w:p>
            <w:pPr>
              <w:spacing w:after="0"/>
              <w:rPr>
                <w:sz w:val="4"/>
                <w:szCs w:val="4"/>
                <w:color w:val="auto"/>
              </w:rPr>
            </w:pPr>
          </w:p>
        </w:tc>
        <w:tc>
          <w:tcPr>
            <w:tcW w:w="500" w:type="dxa"/>
            <w:vAlign w:val="bottom"/>
            <w:vMerge w:val="continue"/>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400" w:type="dxa"/>
            <w:vAlign w:val="bottom"/>
            <w:shd w:val="clear" w:color="auto" w:fill="CCEEFF"/>
          </w:tcPr>
          <w:p>
            <w:pPr>
              <w:ind w:left="300"/>
              <w:spacing w:after="0"/>
              <w:rPr>
                <w:sz w:val="20"/>
                <w:szCs w:val="20"/>
                <w:color w:val="auto"/>
              </w:rPr>
            </w:pPr>
            <w:r>
              <w:rPr>
                <w:rFonts w:ascii="Arial" w:cs="Arial" w:eastAsia="Arial" w:hAnsi="Arial"/>
                <w:sz w:val="11"/>
                <w:szCs w:val="11"/>
                <w:color w:val="auto"/>
                <w:w w:val="72"/>
              </w:rPr>
              <w:t>—</w:t>
            </w:r>
          </w:p>
        </w:tc>
        <w:tc>
          <w:tcPr>
            <w:tcW w:w="140" w:type="dxa"/>
            <w:vAlign w:val="bottom"/>
            <w:tcBorders>
              <w:right w:val="single" w:sz="8" w:color="CCEEFF"/>
            </w:tcBorders>
            <w:shd w:val="clear" w:color="auto" w:fill="CCEEFF"/>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2"/>
                <w:szCs w:val="12"/>
                <w:color w:val="auto"/>
              </w:rPr>
              <w:t>​​</w:t>
            </w:r>
          </w:p>
        </w:tc>
        <w:tc>
          <w:tcPr>
            <w:tcW w:w="460" w:type="dxa"/>
            <w:vAlign w:val="bottom"/>
          </w:tcPr>
          <w:p>
            <w:pPr>
              <w:ind w:left="32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w:t>
            </w:r>
          </w:p>
        </w:tc>
        <w:tc>
          <w:tcPr>
            <w:tcW w:w="340" w:type="dxa"/>
            <w:vAlign w:val="bottom"/>
          </w:tcPr>
          <w:p>
            <w:pPr>
              <w:spacing w:after="0"/>
              <w:rPr>
                <w:sz w:val="14"/>
                <w:szCs w:val="14"/>
                <w:color w:val="auto"/>
              </w:rPr>
            </w:pPr>
          </w:p>
        </w:tc>
        <w:tc>
          <w:tcPr>
            <w:tcW w:w="100" w:type="dxa"/>
            <w:vAlign w:val="bottom"/>
          </w:tcPr>
          <w:p>
            <w:pPr>
              <w:ind w:left="40"/>
              <w:spacing w:after="0"/>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ind w:left="8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70"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9"/>
                <w:szCs w:val="19"/>
                <w:color w:val="auto"/>
                <w:vertAlign w:val="subscript"/>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jc w:val="right"/>
              <w:spacing w:after="0"/>
              <w:rPr>
                <w:sz w:val="20"/>
                <w:szCs w:val="20"/>
                <w:color w:val="auto"/>
              </w:rPr>
            </w:pPr>
            <w:r>
              <w:rPr>
                <w:rFonts w:ascii="Arial" w:cs="Arial" w:eastAsia="Arial" w:hAnsi="Arial"/>
                <w:sz w:val="1"/>
                <w:szCs w:val="1"/>
                <w:b w:val="1"/>
                <w:bCs w:val="1"/>
                <w:color w:val="auto"/>
                <w:w w:val="4294942296"/>
              </w:rPr>
              <w:t>​</w:t>
            </w:r>
          </w:p>
        </w:tc>
        <w:tc>
          <w:tcPr>
            <w:tcW w:w="180" w:type="dxa"/>
            <w:vAlign w:val="bottom"/>
            <w:tcBorders>
              <w:right w:val="single" w:sz="8" w:color="CCEEFF"/>
            </w:tcBorders>
            <w:shd w:val="clear" w:color="auto" w:fill="CCEEFF"/>
          </w:tcPr>
          <w:p>
            <w:pPr>
              <w:ind w:left="10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4"/>
                <w:szCs w:val="14"/>
                <w:color w:val="auto"/>
              </w:rPr>
            </w:pPr>
          </w:p>
        </w:tc>
        <w:tc>
          <w:tcPr>
            <w:tcW w:w="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2"/>
                <w:szCs w:val="12"/>
                <w:color w:val="auto"/>
              </w:rPr>
              <w:t>​​</w:t>
            </w:r>
          </w:p>
        </w:tc>
        <w:tc>
          <w:tcPr>
            <w:tcW w:w="240" w:type="dxa"/>
            <w:vAlign w:val="bottom"/>
            <w:gridSpan w:val="2"/>
            <w:shd w:val="clear" w:color="auto" w:fill="CCEEFF"/>
          </w:tcPr>
          <w:p>
            <w:pPr>
              <w:ind w:left="100"/>
              <w:spacing w:after="0" w:line="170"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bscript"/>
              </w:rPr>
              <w:t>​</w:t>
            </w:r>
          </w:p>
        </w:tc>
        <w:tc>
          <w:tcPr>
            <w:tcW w:w="4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4"/>
            <w:shd w:val="clear" w:color="auto" w:fill="CCEEFF"/>
          </w:tcPr>
          <w:p>
            <w:pPr>
              <w:ind w:left="100"/>
              <w:spacing w:after="0" w:line="170"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bscript"/>
              </w:rPr>
              <w:t>​ 19,072</w:t>
            </w:r>
            <w:r>
              <w:rPr>
                <w:rFonts w:ascii="Arial" w:cs="Arial" w:eastAsia="Arial" w:hAnsi="Arial"/>
                <w:sz w:val="13"/>
                <w:szCs w:val="13"/>
                <w:color w:val="auto"/>
                <w:vertAlign w:val="superscript"/>
              </w:rPr>
              <w:t>(19)</w:t>
            </w:r>
            <w:r>
              <w:rPr>
                <w:rFonts w:ascii="Arial" w:cs="Arial" w:eastAsia="Arial" w:hAnsi="Arial"/>
                <w:sz w:val="10"/>
                <w:szCs w:val="10"/>
                <w:color w:val="auto"/>
              </w:rPr>
              <w:t>​​</w:t>
            </w:r>
          </w:p>
        </w:tc>
        <w:tc>
          <w:tcPr>
            <w:tcW w:w="80" w:type="dxa"/>
            <w:vAlign w:val="bottom"/>
            <w:shd w:val="clear" w:color="auto" w:fill="CCEEFF"/>
          </w:tcPr>
          <w:p>
            <w:pPr>
              <w:spacing w:after="0"/>
              <w:rPr>
                <w:sz w:val="14"/>
                <w:szCs w:val="14"/>
                <w:color w:val="auto"/>
              </w:rPr>
            </w:pPr>
          </w:p>
        </w:tc>
        <w:tc>
          <w:tcPr>
            <w:tcW w:w="640" w:type="dxa"/>
            <w:vAlign w:val="bottom"/>
            <w:gridSpan w:val="3"/>
            <w:shd w:val="clear" w:color="auto" w:fill="CCEEFF"/>
          </w:tcPr>
          <w:p>
            <w:pPr>
              <w:ind w:left="2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$12,538</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1"/>
        </w:trPr>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ind w:left="300"/>
              <w:spacing w:after="0"/>
              <w:rPr>
                <w:sz w:val="20"/>
                <w:szCs w:val="20"/>
                <w:color w:val="auto"/>
              </w:rPr>
            </w:pPr>
            <w:r>
              <w:rPr>
                <w:rFonts w:ascii="Arial" w:cs="Arial" w:eastAsia="Arial" w:hAnsi="Arial"/>
                <w:sz w:val="11"/>
                <w:szCs w:val="11"/>
                <w:color w:val="auto"/>
                <w:w w:val="72"/>
              </w:rPr>
              <w:t>—</w:t>
            </w: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460" w:type="dxa"/>
            <w:vAlign w:val="bottom"/>
          </w:tcPr>
          <w:p>
            <w:pPr>
              <w:ind w:left="320"/>
              <w:spacing w:after="0" w:line="121"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0"/>
                <w:szCs w:val="10"/>
                <w:color w:val="auto"/>
              </w:rPr>
            </w:pPr>
          </w:p>
        </w:tc>
        <w:tc>
          <w:tcPr>
            <w:tcW w:w="100" w:type="dxa"/>
            <w:vAlign w:val="bottom"/>
          </w:tcPr>
          <w:p>
            <w:pPr>
              <w:ind w:left="40"/>
              <w:spacing w:after="0" w:line="121" w:lineRule="exact"/>
              <w:rPr>
                <w:sz w:val="20"/>
                <w:szCs w:val="20"/>
                <w:color w:val="auto"/>
              </w:rPr>
            </w:pPr>
            <w:r>
              <w:rPr>
                <w:rFonts w:ascii="Arial" w:cs="Arial" w:eastAsia="Arial" w:hAnsi="Arial"/>
                <w:sz w:val="12"/>
                <w:szCs w:val="12"/>
                <w:color w:val="auto"/>
              </w:rPr>
              <w:t>​​</w:t>
            </w:r>
          </w:p>
        </w:tc>
        <w:tc>
          <w:tcPr>
            <w:tcW w:w="300" w:type="dxa"/>
            <w:vAlign w:val="bottom"/>
          </w:tcPr>
          <w:p>
            <w:pPr>
              <w:ind w:left="160"/>
              <w:spacing w:after="0" w:line="121" w:lineRule="exact"/>
              <w:rPr>
                <w:sz w:val="20"/>
                <w:szCs w:val="20"/>
                <w:color w:val="auto"/>
              </w:rPr>
            </w:pPr>
            <w:r>
              <w:rPr>
                <w:rFonts w:ascii="Arial" w:cs="Arial" w:eastAsia="Arial" w:hAnsi="Arial"/>
                <w:sz w:val="12"/>
                <w:szCs w:val="12"/>
                <w:color w:val="auto"/>
              </w:rPr>
              <w:t>​</w:t>
            </w:r>
          </w:p>
        </w:tc>
        <w:tc>
          <w:tcPr>
            <w:tcW w:w="2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140" w:type="dxa"/>
            <w:vAlign w:val="bottom"/>
          </w:tcPr>
          <w:p>
            <w:pPr>
              <w:spacing w:after="0" w:line="121"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200" w:type="dxa"/>
            <w:vAlign w:val="bottom"/>
            <w:vMerge w:val="restart"/>
            <w:shd w:val="clear" w:color="auto" w:fill="CCEEFF"/>
          </w:tcPr>
          <w:p>
            <w:pPr>
              <w:ind w:left="8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b w:val="1"/>
                <w:bCs w:val="1"/>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jc w:val="right"/>
              <w:spacing w:after="0"/>
              <w:rPr>
                <w:sz w:val="20"/>
                <w:szCs w:val="20"/>
                <w:color w:val="auto"/>
              </w:rPr>
            </w:pPr>
            <w:r>
              <w:rPr>
                <w:rFonts w:ascii="Arial" w:cs="Arial" w:eastAsia="Arial" w:hAnsi="Arial"/>
                <w:sz w:val="1"/>
                <w:szCs w:val="1"/>
                <w:b w:val="1"/>
                <w:bCs w:val="1"/>
                <w:color w:val="auto"/>
                <w:w w:val="4294942296"/>
              </w:rPr>
              <w:t>​</w:t>
            </w:r>
          </w:p>
        </w:tc>
        <w:tc>
          <w:tcPr>
            <w:tcW w:w="180" w:type="dxa"/>
            <w:vAlign w:val="bottom"/>
            <w:tcBorders>
              <w:right w:val="single" w:sz="8" w:color="CCEEFF"/>
            </w:tcBorders>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6"/>
                <w:szCs w:val="6"/>
                <w:color w:val="auto"/>
                <w:w w:val="93"/>
              </w:rPr>
              <w:t>(18)</w:t>
            </w:r>
          </w:p>
        </w:tc>
        <w:tc>
          <w:tcPr>
            <w:tcW w:w="60" w:type="dxa"/>
            <w:vAlign w:val="bottom"/>
            <w:tcBorders>
              <w:left w:val="single" w:sz="8" w:color="CCEEFF"/>
            </w:tcBorders>
            <w:shd w:val="clear" w:color="auto" w:fill="CCEEFF"/>
          </w:tcPr>
          <w:p>
            <w:pPr>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ind w:left="100"/>
              <w:spacing w:after="0" w:line="121" w:lineRule="exact"/>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ind w:left="20"/>
              <w:spacing w:after="0" w:line="121" w:lineRule="exact"/>
              <w:rPr>
                <w:sz w:val="20"/>
                <w:szCs w:val="20"/>
                <w:color w:val="auto"/>
              </w:rPr>
            </w:pPr>
            <w:r>
              <w:rPr>
                <w:rFonts w:ascii="Arial" w:cs="Arial" w:eastAsia="Arial" w:hAnsi="Arial"/>
                <w:sz w:val="12"/>
                <w:szCs w:val="12"/>
                <w:color w:val="auto"/>
              </w:rPr>
              <w:t>​</w:t>
            </w:r>
          </w:p>
        </w:tc>
        <w:tc>
          <w:tcPr>
            <w:tcW w:w="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500" w:type="dxa"/>
            <w:vAlign w:val="bottom"/>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line="121"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47"/>
        </w:trPr>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00" w:type="dxa"/>
            <w:vAlign w:val="bottom"/>
            <w:vMerge w:val="continue"/>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ind w:left="340"/>
              <w:spacing w:after="0"/>
              <w:rPr>
                <w:sz w:val="20"/>
                <w:szCs w:val="20"/>
                <w:color w:val="auto"/>
              </w:rPr>
            </w:pPr>
            <w:r>
              <w:rPr>
                <w:rFonts w:ascii="Arial" w:cs="Arial" w:eastAsia="Arial" w:hAnsi="Arial"/>
                <w:sz w:val="12"/>
                <w:szCs w:val="12"/>
                <w:color w:val="auto"/>
                <w:w w:val="82"/>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ind w:left="160"/>
              <w:spacing w:after="0"/>
              <w:rPr>
                <w:sz w:val="20"/>
                <w:szCs w:val="20"/>
                <w:color w:val="auto"/>
              </w:rPr>
            </w:pPr>
            <w:r>
              <w:rPr>
                <w:rFonts w:ascii="Arial" w:cs="Arial" w:eastAsia="Arial" w:hAnsi="Arial"/>
                <w:sz w:val="12"/>
                <w:szCs w:val="12"/>
                <w:color w:val="auto"/>
              </w:rPr>
              <w:t>​</w:t>
            </w:r>
          </w:p>
        </w:tc>
        <w:tc>
          <w:tcPr>
            <w:tcW w:w="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tcBorders>
              <w:right w:val="single" w:sz="8" w:color="CCEEFF"/>
            </w:tcBorders>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 19,072</w:t>
            </w:r>
          </w:p>
        </w:tc>
        <w:tc>
          <w:tcPr>
            <w:tcW w:w="140" w:type="dxa"/>
            <w:vAlign w:val="bottom"/>
            <w:tcBorders>
              <w:right w:val="single" w:sz="8" w:color="CCEEFF"/>
            </w:tcBorders>
            <w:shd w:val="clear" w:color="auto" w:fill="CCEEFF"/>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66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$12,538</w:t>
            </w:r>
          </w:p>
        </w:tc>
        <w:tc>
          <w:tcPr>
            <w:tcW w:w="6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400" w:type="dxa"/>
            <w:vAlign w:val="bottom"/>
            <w:vMerge w:val="continue"/>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1552575</wp:posOffset>
            </wp:positionH>
            <wp:positionV relativeFrom="paragraph">
              <wp:posOffset>-4144010</wp:posOffset>
            </wp:positionV>
            <wp:extent cx="3893185" cy="8616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93185" cy="861695"/>
                    </a:xfrm>
                    <a:prstGeom prst="rect">
                      <a:avLst/>
                    </a:prstGeom>
                    <a:noFill/>
                  </pic:spPr>
                </pic:pic>
              </a:graphicData>
            </a:graphic>
          </wp:anchor>
        </w:drawing>
        <w:drawing>
          <wp:anchor simplePos="0" relativeHeight="251657728" behindDoc="1" locked="0" layoutInCell="0" allowOverlap="1">
            <wp:simplePos x="0" y="0"/>
            <wp:positionH relativeFrom="column">
              <wp:posOffset>1552575</wp:posOffset>
            </wp:positionH>
            <wp:positionV relativeFrom="paragraph">
              <wp:posOffset>-1450340</wp:posOffset>
            </wp:positionV>
            <wp:extent cx="3893185" cy="14509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93185" cy="1450975"/>
                    </a:xfrm>
                    <a:prstGeom prst="rect">
                      <a:avLst/>
                    </a:prstGeom>
                    <a:noFill/>
                  </pic:spPr>
                </pic:pic>
              </a:graphicData>
            </a:graphic>
          </wp:anchor>
        </w:drawing>
        <w:drawing>
          <wp:anchor simplePos="0" relativeHeight="251657728" behindDoc="1" locked="0" layoutInCell="0" allowOverlap="1">
            <wp:simplePos x="0" y="0"/>
            <wp:positionH relativeFrom="column">
              <wp:posOffset>4935855</wp:posOffset>
            </wp:positionH>
            <wp:positionV relativeFrom="paragraph">
              <wp:posOffset>-4467225</wp:posOffset>
            </wp:positionV>
            <wp:extent cx="1460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605" cy="6985"/>
                    </a:xfrm>
                    <a:prstGeom prst="rect">
                      <a:avLst/>
                    </a:prstGeom>
                    <a:noFill/>
                  </pic:spPr>
                </pic:pic>
              </a:graphicData>
            </a:graphic>
          </wp:anchor>
        </w:drawing>
        <w:drawing>
          <wp:anchor simplePos="0" relativeHeight="251657728" behindDoc="1" locked="0" layoutInCell="0" allowOverlap="1">
            <wp:simplePos x="0" y="0"/>
            <wp:positionH relativeFrom="column">
              <wp:posOffset>4476115</wp:posOffset>
            </wp:positionH>
            <wp:positionV relativeFrom="paragraph">
              <wp:posOffset>-4467225</wp:posOffset>
            </wp:positionV>
            <wp:extent cx="1460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605" cy="698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-4467225</wp:posOffset>
            </wp:positionV>
            <wp:extent cx="1460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605" cy="6985"/>
                    </a:xfrm>
                    <a:prstGeom prst="rect">
                      <a:avLst/>
                    </a:prstGeom>
                    <a:noFill/>
                  </pic:spPr>
                </pic:pic>
              </a:graphicData>
            </a:graphic>
          </wp:anchor>
        </w:drawing>
        <w:drawing>
          <wp:anchor simplePos="0" relativeHeight="251657728" behindDoc="1" locked="0" layoutInCell="0" allowOverlap="1">
            <wp:simplePos x="0" y="0"/>
            <wp:positionH relativeFrom="column">
              <wp:posOffset>3542665</wp:posOffset>
            </wp:positionH>
            <wp:positionV relativeFrom="paragraph">
              <wp:posOffset>-4467225</wp:posOffset>
            </wp:positionV>
            <wp:extent cx="698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85" cy="6985"/>
                    </a:xfrm>
                    <a:prstGeom prst="rect">
                      <a:avLst/>
                    </a:prstGeom>
                    <a:noFill/>
                  </pic:spPr>
                </pic:pic>
              </a:graphicData>
            </a:graphic>
          </wp:anchor>
        </w:drawing>
      </w:r>
    </w:p>
    <w:p>
      <w:pPr>
        <w:spacing w:after="0" w:line="146" w:lineRule="exact"/>
        <w:rPr>
          <w:sz w:val="20"/>
          <w:szCs w:val="20"/>
          <w:color w:val="auto"/>
        </w:rPr>
      </w:pPr>
    </w:p>
    <w:p>
      <w:pPr>
        <w:ind w:left="1360" w:right="1559" w:hanging="295"/>
        <w:spacing w:after="0" w:line="208" w:lineRule="auto"/>
        <w:tabs>
          <w:tab w:leader="none" w:pos="1360" w:val="left"/>
        </w:tabs>
        <w:numPr>
          <w:ilvl w:val="0"/>
          <w:numId w:val="40"/>
        </w:numPr>
        <w:rPr>
          <w:rFonts w:ascii="Arial" w:cs="Arial" w:eastAsia="Arial" w:hAnsi="Arial"/>
          <w:sz w:val="23"/>
          <w:szCs w:val="23"/>
          <w:color w:val="auto"/>
          <w:vertAlign w:val="superscript"/>
        </w:rPr>
      </w:pPr>
      <w:r>
        <w:rPr>
          <w:rFonts w:ascii="Arial" w:cs="Arial" w:eastAsia="Arial" w:hAnsi="Arial"/>
          <w:sz w:val="15"/>
          <w:szCs w:val="15"/>
          <w:color w:val="auto"/>
        </w:rPr>
        <w:t>Represents options for which performance hurdles have been achieved but remain subject to additional service-based criteria.</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8" w:name="page39"/>
    <w:bookmarkEnd w:id="38"/>
    <w:p>
      <w:pPr>
        <w:ind w:left="2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jc w:val="right"/>
        <w:ind w:right="103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3679190</wp:posOffset>
            </wp:positionH>
            <wp:positionV relativeFrom="paragraph">
              <wp:posOffset>-181610</wp:posOffset>
            </wp:positionV>
            <wp:extent cx="1357630" cy="1219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57630" cy="121920"/>
                    </a:xfrm>
                    <a:prstGeom prst="rect">
                      <a:avLst/>
                    </a:prstGeom>
                    <a:noFill/>
                  </pic:spPr>
                </pic:pic>
              </a:graphicData>
            </a:graphic>
          </wp:anchor>
        </w:drawing>
      </w:r>
    </w:p>
    <w:p>
      <w:pPr>
        <w:spacing w:after="0" w:line="31" w:lineRule="exact"/>
        <w:rPr>
          <w:sz w:val="20"/>
          <w:szCs w:val="20"/>
          <w:color w:val="auto"/>
        </w:rPr>
      </w:pPr>
    </w:p>
    <w:p>
      <w:pPr>
        <w:ind w:left="1360" w:hanging="295"/>
        <w:spacing w:after="0"/>
        <w:tabs>
          <w:tab w:leader="none" w:pos="1360" w:val="left"/>
        </w:tabs>
        <w:numPr>
          <w:ilvl w:val="0"/>
          <w:numId w:val="41"/>
        </w:numPr>
        <w:rPr>
          <w:rFonts w:ascii="Arial" w:cs="Arial" w:eastAsia="Arial" w:hAnsi="Arial"/>
          <w:sz w:val="23"/>
          <w:szCs w:val="23"/>
          <w:color w:val="auto"/>
          <w:vertAlign w:val="superscript"/>
        </w:rPr>
      </w:pPr>
      <w:r>
        <w:rPr>
          <w:rFonts w:ascii="Arial" w:cs="Arial" w:eastAsia="Arial" w:hAnsi="Arial"/>
          <w:sz w:val="15"/>
          <w:szCs w:val="15"/>
          <w:color w:val="auto"/>
        </w:rPr>
        <w:t>Represents options for which performance hurdles have not been achieved.</w:t>
      </w:r>
    </w:p>
    <w:p>
      <w:pPr>
        <w:spacing w:after="0" w:line="41" w:lineRule="exact"/>
        <w:rPr>
          <w:rFonts w:ascii="Arial" w:cs="Arial" w:eastAsia="Arial" w:hAnsi="Arial"/>
          <w:sz w:val="23"/>
          <w:szCs w:val="23"/>
          <w:color w:val="auto"/>
          <w:vertAlign w:val="superscript"/>
        </w:rPr>
      </w:pPr>
    </w:p>
    <w:p>
      <w:pPr>
        <w:ind w:left="1360" w:right="1219" w:hanging="295"/>
        <w:spacing w:after="0" w:line="200" w:lineRule="auto"/>
        <w:tabs>
          <w:tab w:leader="none" w:pos="1360" w:val="left"/>
        </w:tabs>
        <w:numPr>
          <w:ilvl w:val="0"/>
          <w:numId w:val="41"/>
        </w:numPr>
        <w:rPr>
          <w:rFonts w:ascii="Arial" w:cs="Arial" w:eastAsia="Arial" w:hAnsi="Arial"/>
          <w:sz w:val="23"/>
          <w:szCs w:val="23"/>
          <w:color w:val="auto"/>
          <w:vertAlign w:val="superscript"/>
        </w:rPr>
      </w:pPr>
      <w:r>
        <w:rPr>
          <w:rFonts w:ascii="Arial" w:cs="Arial" w:eastAsia="Arial" w:hAnsi="Arial"/>
          <w:sz w:val="15"/>
          <w:szCs w:val="15"/>
          <w:color w:val="auto"/>
        </w:rPr>
        <w:t>Represents restricted shares and RSUs that remain subject to additional service-based vesting criteria.</w:t>
      </w:r>
    </w:p>
    <w:p>
      <w:pPr>
        <w:spacing w:after="0" w:line="29" w:lineRule="exact"/>
        <w:rPr>
          <w:rFonts w:ascii="Arial" w:cs="Arial" w:eastAsia="Arial" w:hAnsi="Arial"/>
          <w:sz w:val="23"/>
          <w:szCs w:val="23"/>
          <w:color w:val="auto"/>
          <w:vertAlign w:val="superscript"/>
        </w:rPr>
      </w:pPr>
    </w:p>
    <w:p>
      <w:pPr>
        <w:ind w:left="1360" w:right="1319" w:hanging="295"/>
        <w:spacing w:after="0" w:line="208" w:lineRule="auto"/>
        <w:tabs>
          <w:tab w:leader="none" w:pos="1360" w:val="left"/>
        </w:tabs>
        <w:numPr>
          <w:ilvl w:val="0"/>
          <w:numId w:val="41"/>
        </w:numPr>
        <w:rPr>
          <w:rFonts w:ascii="Arial" w:cs="Arial" w:eastAsia="Arial" w:hAnsi="Arial"/>
          <w:sz w:val="23"/>
          <w:szCs w:val="23"/>
          <w:color w:val="auto"/>
          <w:vertAlign w:val="superscript"/>
        </w:rPr>
      </w:pPr>
      <w:r>
        <w:rPr>
          <w:rFonts w:ascii="Arial" w:cs="Arial" w:eastAsia="Arial" w:hAnsi="Arial"/>
          <w:sz w:val="15"/>
          <w:szCs w:val="15"/>
          <w:color w:val="auto"/>
        </w:rPr>
        <w:t>Represents restricted shares and RSUs for which performance hurdles have not been achieved.</w:t>
      </w:r>
    </w:p>
    <w:p>
      <w:pPr>
        <w:spacing w:after="0" w:line="28" w:lineRule="exact"/>
        <w:rPr>
          <w:rFonts w:ascii="Arial" w:cs="Arial" w:eastAsia="Arial" w:hAnsi="Arial"/>
          <w:sz w:val="23"/>
          <w:szCs w:val="23"/>
          <w:color w:val="auto"/>
          <w:vertAlign w:val="superscript"/>
        </w:rPr>
      </w:pPr>
    </w:p>
    <w:p>
      <w:pPr>
        <w:ind w:left="1360" w:right="1199" w:hanging="295"/>
        <w:spacing w:after="0" w:line="208" w:lineRule="auto"/>
        <w:tabs>
          <w:tab w:leader="none" w:pos="1360" w:val="left"/>
        </w:tabs>
        <w:numPr>
          <w:ilvl w:val="0"/>
          <w:numId w:val="41"/>
        </w:numPr>
        <w:rPr>
          <w:rFonts w:ascii="Arial" w:cs="Arial" w:eastAsia="Arial" w:hAnsi="Arial"/>
          <w:sz w:val="23"/>
          <w:szCs w:val="23"/>
          <w:color w:val="auto"/>
          <w:vertAlign w:val="superscript"/>
        </w:rPr>
      </w:pPr>
      <w:r>
        <w:rPr>
          <w:rFonts w:ascii="Arial" w:cs="Arial" w:eastAsia="Arial" w:hAnsi="Arial"/>
          <w:sz w:val="15"/>
          <w:szCs w:val="15"/>
          <w:color w:val="auto"/>
        </w:rPr>
        <w:t>All award values set forth herein have been calculated using the closing common share price of $0.66 for Altisource as of December 31, 2024.</w:t>
      </w:r>
    </w:p>
    <w:p>
      <w:pPr>
        <w:spacing w:after="0" w:line="28" w:lineRule="exact"/>
        <w:rPr>
          <w:rFonts w:ascii="Arial" w:cs="Arial" w:eastAsia="Arial" w:hAnsi="Arial"/>
          <w:sz w:val="23"/>
          <w:szCs w:val="23"/>
          <w:color w:val="auto"/>
          <w:vertAlign w:val="superscript"/>
        </w:rPr>
      </w:pPr>
    </w:p>
    <w:p>
      <w:pPr>
        <w:ind w:left="1360" w:right="1199" w:hanging="295"/>
        <w:spacing w:after="0" w:line="227" w:lineRule="auto"/>
        <w:tabs>
          <w:tab w:leader="none" w:pos="1360" w:val="left"/>
        </w:tabs>
        <w:numPr>
          <w:ilvl w:val="0"/>
          <w:numId w:val="41"/>
        </w:numPr>
        <w:rPr>
          <w:rFonts w:ascii="Arial" w:cs="Arial" w:eastAsia="Arial" w:hAnsi="Arial"/>
          <w:sz w:val="23"/>
          <w:szCs w:val="23"/>
          <w:color w:val="auto"/>
          <w:vertAlign w:val="superscript"/>
        </w:rPr>
      </w:pPr>
      <w:r>
        <w:rPr>
          <w:rFonts w:ascii="Arial" w:cs="Arial" w:eastAsia="Arial" w:hAnsi="Arial"/>
          <w:sz w:val="15"/>
          <w:szCs w:val="15"/>
          <w:color w:val="auto"/>
        </w:rPr>
        <w:t>Represents the performance-based portion of RSUs granted on October 1, 2020. The performance-based portion of the RSUs were scheduled to expire on October 1, 2030 if the performance metrics had not been achieved, but the performance-based portion of RSUs was canceled with the agreement of the participants as of January 29, 2025.</w:t>
      </w:r>
    </w:p>
    <w:p>
      <w:pPr>
        <w:spacing w:after="0" w:line="18" w:lineRule="exact"/>
        <w:rPr>
          <w:rFonts w:ascii="Arial" w:cs="Arial" w:eastAsia="Arial" w:hAnsi="Arial"/>
          <w:sz w:val="23"/>
          <w:szCs w:val="23"/>
          <w:color w:val="auto"/>
          <w:vertAlign w:val="superscript"/>
        </w:rPr>
      </w:pPr>
    </w:p>
    <w:p>
      <w:pPr>
        <w:ind w:left="1360" w:right="1259" w:hanging="295"/>
        <w:spacing w:after="0" w:line="208" w:lineRule="auto"/>
        <w:tabs>
          <w:tab w:leader="none" w:pos="1360" w:val="left"/>
        </w:tabs>
        <w:numPr>
          <w:ilvl w:val="0"/>
          <w:numId w:val="41"/>
        </w:numPr>
        <w:rPr>
          <w:rFonts w:ascii="Arial" w:cs="Arial" w:eastAsia="Arial" w:hAnsi="Arial"/>
          <w:sz w:val="23"/>
          <w:szCs w:val="23"/>
          <w:color w:val="auto"/>
          <w:vertAlign w:val="superscript"/>
        </w:rPr>
      </w:pPr>
      <w:r>
        <w:rPr>
          <w:rFonts w:ascii="Arial" w:cs="Arial" w:eastAsia="Arial" w:hAnsi="Arial"/>
          <w:sz w:val="15"/>
          <w:szCs w:val="15"/>
          <w:color w:val="auto"/>
        </w:rPr>
        <w:t>Represents performance-based options awarded on February 10, 2015. The performance metrics were not achieved and the options expired on February 10, 2025.</w:t>
      </w:r>
    </w:p>
    <w:p>
      <w:pPr>
        <w:spacing w:after="0" w:line="28" w:lineRule="exact"/>
        <w:rPr>
          <w:rFonts w:ascii="Arial" w:cs="Arial" w:eastAsia="Arial" w:hAnsi="Arial"/>
          <w:sz w:val="23"/>
          <w:szCs w:val="23"/>
          <w:color w:val="auto"/>
          <w:vertAlign w:val="superscript"/>
        </w:rPr>
      </w:pPr>
    </w:p>
    <w:p>
      <w:pPr>
        <w:ind w:left="1360" w:right="1219" w:hanging="295"/>
        <w:spacing w:after="0" w:line="231" w:lineRule="auto"/>
        <w:tabs>
          <w:tab w:leader="none" w:pos="1360" w:val="left"/>
        </w:tabs>
        <w:numPr>
          <w:ilvl w:val="0"/>
          <w:numId w:val="41"/>
        </w:numPr>
        <w:rPr>
          <w:rFonts w:ascii="Arial" w:cs="Arial" w:eastAsia="Arial" w:hAnsi="Arial"/>
          <w:sz w:val="23"/>
          <w:szCs w:val="23"/>
          <w:color w:val="auto"/>
          <w:vertAlign w:val="superscript"/>
        </w:rPr>
      </w:pPr>
      <w:r>
        <w:rPr>
          <w:rFonts w:ascii="Arial" w:cs="Arial" w:eastAsia="Arial" w:hAnsi="Arial"/>
          <w:sz w:val="15"/>
          <w:szCs w:val="15"/>
          <w:color w:val="auto"/>
        </w:rPr>
        <w:t>Represents performance-based options awarded on August 29, 2016. One-third of the options vest upon Altisource achieving a stock price of $97.92 and an annual rate of return of twenty-five percent (25%) over the exercise price with the balance vesting in equal one-third increments on each subsequent anniversary thereof. These options will expire on August 29, 2026 if the performance metrics have not been achieved.</w:t>
      </w:r>
    </w:p>
    <w:p>
      <w:pPr>
        <w:spacing w:after="0" w:line="31" w:lineRule="exact"/>
        <w:rPr>
          <w:rFonts w:ascii="Arial" w:cs="Arial" w:eastAsia="Arial" w:hAnsi="Arial"/>
          <w:sz w:val="23"/>
          <w:szCs w:val="23"/>
          <w:color w:val="auto"/>
          <w:vertAlign w:val="superscript"/>
        </w:rPr>
      </w:pPr>
    </w:p>
    <w:p>
      <w:pPr>
        <w:ind w:left="1360" w:right="1179" w:hanging="295"/>
        <w:spacing w:after="0" w:line="231" w:lineRule="auto"/>
        <w:tabs>
          <w:tab w:leader="none" w:pos="1360" w:val="left"/>
        </w:tabs>
        <w:numPr>
          <w:ilvl w:val="0"/>
          <w:numId w:val="41"/>
        </w:numPr>
        <w:rPr>
          <w:rFonts w:ascii="Arial" w:cs="Arial" w:eastAsia="Arial" w:hAnsi="Arial"/>
          <w:sz w:val="23"/>
          <w:szCs w:val="23"/>
          <w:color w:val="auto"/>
          <w:vertAlign w:val="superscript"/>
        </w:rPr>
      </w:pPr>
      <w:r>
        <w:rPr>
          <w:rFonts w:ascii="Arial" w:cs="Arial" w:eastAsia="Arial" w:hAnsi="Arial"/>
          <w:sz w:val="15"/>
          <w:szCs w:val="15"/>
          <w:color w:val="auto"/>
        </w:rPr>
        <w:t>Represents performance-based options awarded on August 29, 2016. One-third of the options vest upon Altisource achieving a stock price of $65.28 and an annual rate of return of twenty percent (20%) over the exercise price with the balance vesting in equal one-third increments on each subsequent anniversary thereof. These awards will expire on August 29, 2026 if the performance metrics have not been achieved.</w:t>
      </w:r>
    </w:p>
    <w:p>
      <w:pPr>
        <w:spacing w:after="0" w:line="20" w:lineRule="exact"/>
        <w:rPr>
          <w:rFonts w:ascii="Arial" w:cs="Arial" w:eastAsia="Arial" w:hAnsi="Arial"/>
          <w:sz w:val="23"/>
          <w:szCs w:val="23"/>
          <w:color w:val="auto"/>
          <w:vertAlign w:val="superscript"/>
        </w:rPr>
      </w:pPr>
    </w:p>
    <w:p>
      <w:pPr>
        <w:ind w:left="1360" w:right="1219" w:hanging="295"/>
        <w:spacing w:after="0" w:line="231" w:lineRule="auto"/>
        <w:tabs>
          <w:tab w:leader="none" w:pos="1360" w:val="left"/>
        </w:tabs>
        <w:numPr>
          <w:ilvl w:val="0"/>
          <w:numId w:val="41"/>
        </w:numPr>
        <w:rPr>
          <w:rFonts w:ascii="Arial" w:cs="Arial" w:eastAsia="Arial" w:hAnsi="Arial"/>
          <w:sz w:val="23"/>
          <w:szCs w:val="23"/>
          <w:color w:val="auto"/>
          <w:vertAlign w:val="superscript"/>
        </w:rPr>
      </w:pPr>
      <w:r>
        <w:rPr>
          <w:rFonts w:ascii="Arial" w:cs="Arial" w:eastAsia="Arial" w:hAnsi="Arial"/>
          <w:sz w:val="15"/>
          <w:szCs w:val="15"/>
          <w:color w:val="auto"/>
        </w:rPr>
        <w:t>Represents performance-based options awarded on July 27, 2017. One-third of the options vest upon Altisource achieving a stock price of $82.95 and an annual rate of return of twenty-five percent (25%) over the exercise price with the balance vesting in equal one-third increments on each subsequent anniversary thereof. These awards will expire on July 27, 2027 if the performance metrics have not been achieved.</w:t>
      </w:r>
    </w:p>
    <w:p>
      <w:pPr>
        <w:spacing w:after="0" w:line="31" w:lineRule="exact"/>
        <w:rPr>
          <w:rFonts w:ascii="Arial" w:cs="Arial" w:eastAsia="Arial" w:hAnsi="Arial"/>
          <w:sz w:val="23"/>
          <w:szCs w:val="23"/>
          <w:color w:val="auto"/>
          <w:vertAlign w:val="superscript"/>
        </w:rPr>
      </w:pPr>
    </w:p>
    <w:p>
      <w:pPr>
        <w:ind w:left="1360" w:right="1179" w:hanging="295"/>
        <w:spacing w:after="0" w:line="231" w:lineRule="auto"/>
        <w:tabs>
          <w:tab w:leader="none" w:pos="1360" w:val="left"/>
        </w:tabs>
        <w:numPr>
          <w:ilvl w:val="0"/>
          <w:numId w:val="41"/>
        </w:numPr>
        <w:rPr>
          <w:rFonts w:ascii="Arial" w:cs="Arial" w:eastAsia="Arial" w:hAnsi="Arial"/>
          <w:sz w:val="23"/>
          <w:szCs w:val="23"/>
          <w:color w:val="auto"/>
          <w:vertAlign w:val="superscript"/>
        </w:rPr>
      </w:pPr>
      <w:r>
        <w:rPr>
          <w:rFonts w:ascii="Arial" w:cs="Arial" w:eastAsia="Arial" w:hAnsi="Arial"/>
          <w:sz w:val="15"/>
          <w:szCs w:val="15"/>
          <w:color w:val="auto"/>
        </w:rPr>
        <w:t>Represents performance-based options awarded on July 27, 2017. One-third of the options vest upon Altisource achieving a stock price of $55.30 and an annual rate of return of twenty percent (20%) over the exercise price with the balance vesting in equal one-third increments on each subsequent anniversary thereof. These awards will expire on July 27, 2027 if the performance metrics have not been achieved.</w:t>
      </w:r>
    </w:p>
    <w:p>
      <w:pPr>
        <w:spacing w:after="0" w:line="3" w:lineRule="exact"/>
        <w:rPr>
          <w:rFonts w:ascii="Arial" w:cs="Arial" w:eastAsia="Arial" w:hAnsi="Arial"/>
          <w:sz w:val="23"/>
          <w:szCs w:val="23"/>
          <w:color w:val="auto"/>
          <w:vertAlign w:val="superscript"/>
        </w:rPr>
      </w:pPr>
    </w:p>
    <w:p>
      <w:pPr>
        <w:ind w:left="1360" w:hanging="295"/>
        <w:spacing w:after="0" w:line="205" w:lineRule="auto"/>
        <w:tabs>
          <w:tab w:leader="none" w:pos="1360" w:val="left"/>
        </w:tabs>
        <w:numPr>
          <w:ilvl w:val="0"/>
          <w:numId w:val="41"/>
        </w:numPr>
        <w:rPr>
          <w:rFonts w:ascii="Arial" w:cs="Arial" w:eastAsia="Arial" w:hAnsi="Arial"/>
          <w:sz w:val="23"/>
          <w:szCs w:val="23"/>
          <w:color w:val="auto"/>
          <w:vertAlign w:val="superscript"/>
        </w:rPr>
      </w:pPr>
      <w:r>
        <w:rPr>
          <w:rFonts w:ascii="Arial" w:cs="Arial" w:eastAsia="Arial" w:hAnsi="Arial"/>
          <w:sz w:val="15"/>
          <w:szCs w:val="15"/>
          <w:color w:val="auto"/>
        </w:rPr>
        <w:t>Represents time-based RSUs scheduled to vest on March 01, 2025.</w:t>
      </w:r>
    </w:p>
    <w:p>
      <w:pPr>
        <w:spacing w:after="0" w:line="53" w:lineRule="exact"/>
        <w:rPr>
          <w:rFonts w:ascii="Arial" w:cs="Arial" w:eastAsia="Arial" w:hAnsi="Arial"/>
          <w:sz w:val="23"/>
          <w:szCs w:val="23"/>
          <w:color w:val="auto"/>
          <w:vertAlign w:val="superscript"/>
        </w:rPr>
      </w:pPr>
    </w:p>
    <w:p>
      <w:pPr>
        <w:ind w:left="1360" w:right="1119" w:hanging="295"/>
        <w:spacing w:after="0"/>
        <w:tabs>
          <w:tab w:leader="none" w:pos="1360" w:val="left"/>
        </w:tabs>
        <w:numPr>
          <w:ilvl w:val="0"/>
          <w:numId w:val="41"/>
        </w:numPr>
        <w:rPr>
          <w:rFonts w:ascii="Arial" w:cs="Arial" w:eastAsia="Arial" w:hAnsi="Arial"/>
          <w:sz w:val="23"/>
          <w:szCs w:val="23"/>
          <w:color w:val="auto"/>
          <w:vertAlign w:val="superscript"/>
        </w:rPr>
      </w:pPr>
      <w:r>
        <w:rPr>
          <w:rFonts w:ascii="Arial" w:cs="Arial" w:eastAsia="Arial" w:hAnsi="Arial"/>
          <w:sz w:val="15"/>
          <w:szCs w:val="15"/>
          <w:color w:val="auto"/>
        </w:rPr>
        <w:t>Represents market and performance-based RSUs awarded on March 1, 2022, which cliff vest on the third anniversary of the grant date, based on the achievement of certain financial measures. The number of market and performance-based RSUs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depending on performance achieved. If the performance criteria are below a certain threshold, the award is cancelled.</w:t>
      </w:r>
    </w:p>
    <w:p>
      <w:pPr>
        <w:spacing w:after="0" w:line="160" w:lineRule="exact"/>
        <w:rPr>
          <w:rFonts w:ascii="Arial" w:cs="Arial" w:eastAsia="Arial" w:hAnsi="Arial"/>
          <w:sz w:val="23"/>
          <w:szCs w:val="23"/>
          <w:color w:val="auto"/>
          <w:vertAlign w:val="superscript"/>
        </w:rPr>
      </w:pPr>
    </w:p>
    <w:p>
      <w:pPr>
        <w:ind w:left="1360" w:hanging="295"/>
        <w:spacing w:after="0" w:line="195" w:lineRule="auto"/>
        <w:tabs>
          <w:tab w:leader="none" w:pos="1360" w:val="left"/>
        </w:tabs>
        <w:numPr>
          <w:ilvl w:val="0"/>
          <w:numId w:val="41"/>
        </w:numPr>
        <w:rPr>
          <w:rFonts w:ascii="Arial" w:cs="Arial" w:eastAsia="Arial" w:hAnsi="Arial"/>
          <w:sz w:val="23"/>
          <w:szCs w:val="23"/>
          <w:color w:val="auto"/>
          <w:vertAlign w:val="superscript"/>
        </w:rPr>
      </w:pPr>
      <w:r>
        <w:rPr>
          <w:rFonts w:ascii="Arial" w:cs="Arial" w:eastAsia="Arial" w:hAnsi="Arial"/>
          <w:sz w:val="15"/>
          <w:szCs w:val="15"/>
          <w:color w:val="auto"/>
        </w:rPr>
        <w:t>Represents time-based RSUs scheduled to vest on March 20, 2025.</w:t>
      </w:r>
    </w:p>
    <w:p>
      <w:pPr>
        <w:spacing w:after="0" w:line="41" w:lineRule="exact"/>
        <w:rPr>
          <w:rFonts w:ascii="Arial" w:cs="Arial" w:eastAsia="Arial" w:hAnsi="Arial"/>
          <w:sz w:val="23"/>
          <w:szCs w:val="23"/>
          <w:color w:val="auto"/>
          <w:vertAlign w:val="superscript"/>
        </w:rPr>
      </w:pPr>
    </w:p>
    <w:p>
      <w:pPr>
        <w:ind w:left="1360" w:right="1759" w:hanging="295"/>
        <w:spacing w:after="0" w:line="200" w:lineRule="auto"/>
        <w:tabs>
          <w:tab w:leader="none" w:pos="1360" w:val="left"/>
        </w:tabs>
        <w:numPr>
          <w:ilvl w:val="0"/>
          <w:numId w:val="41"/>
        </w:numPr>
        <w:rPr>
          <w:rFonts w:ascii="Arial" w:cs="Arial" w:eastAsia="Arial" w:hAnsi="Arial"/>
          <w:sz w:val="23"/>
          <w:szCs w:val="23"/>
          <w:color w:val="auto"/>
          <w:vertAlign w:val="superscript"/>
        </w:rPr>
      </w:pPr>
      <w:r>
        <w:rPr>
          <w:rFonts w:ascii="Arial" w:cs="Arial" w:eastAsia="Arial" w:hAnsi="Arial"/>
          <w:sz w:val="15"/>
          <w:szCs w:val="15"/>
          <w:color w:val="auto"/>
        </w:rPr>
        <w:t>Represents time-based RSUs scheduled to vest in two (2) equal installments on March 20, 2025 and March 20, 2026.</w:t>
      </w:r>
    </w:p>
    <w:p>
      <w:pPr>
        <w:spacing w:after="0" w:line="29" w:lineRule="exact"/>
        <w:rPr>
          <w:rFonts w:ascii="Arial" w:cs="Arial" w:eastAsia="Arial" w:hAnsi="Arial"/>
          <w:sz w:val="23"/>
          <w:szCs w:val="23"/>
          <w:color w:val="auto"/>
          <w:vertAlign w:val="superscript"/>
        </w:rPr>
      </w:pPr>
    </w:p>
    <w:p>
      <w:pPr>
        <w:ind w:left="1360" w:right="1099" w:hanging="295"/>
        <w:spacing w:after="0"/>
        <w:tabs>
          <w:tab w:leader="none" w:pos="1360" w:val="left"/>
        </w:tabs>
        <w:numPr>
          <w:ilvl w:val="0"/>
          <w:numId w:val="41"/>
        </w:numPr>
        <w:rPr>
          <w:rFonts w:ascii="Arial" w:cs="Arial" w:eastAsia="Arial" w:hAnsi="Arial"/>
          <w:sz w:val="23"/>
          <w:szCs w:val="23"/>
          <w:color w:val="auto"/>
          <w:vertAlign w:val="superscript"/>
        </w:rPr>
      </w:pPr>
      <w:r>
        <w:rPr>
          <w:rFonts w:ascii="Arial" w:cs="Arial" w:eastAsia="Arial" w:hAnsi="Arial"/>
          <w:sz w:val="15"/>
          <w:szCs w:val="15"/>
          <w:color w:val="auto"/>
        </w:rPr>
        <w:t>Represents market and performance-based RSUs granted on March 20, 2023, which cliff vest on the third anniversary of the grant date, based on the achievement of certain financial measures. The number of market and performance-based RSUs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depending on performance achieved. If the performance criteria are below a certain threshold, the award is cancelled.</w:t>
      </w:r>
    </w:p>
    <w:p>
      <w:pPr>
        <w:spacing w:after="0" w:line="202" w:lineRule="exact"/>
        <w:rPr>
          <w:rFonts w:ascii="Arial" w:cs="Arial" w:eastAsia="Arial" w:hAnsi="Arial"/>
          <w:sz w:val="23"/>
          <w:szCs w:val="23"/>
          <w:color w:val="auto"/>
          <w:vertAlign w:val="superscript"/>
        </w:rPr>
      </w:pPr>
    </w:p>
    <w:p>
      <w:pPr>
        <w:ind w:left="1360" w:right="1759" w:hanging="295"/>
        <w:spacing w:after="0" w:line="208" w:lineRule="auto"/>
        <w:tabs>
          <w:tab w:leader="none" w:pos="1360" w:val="left"/>
        </w:tabs>
        <w:numPr>
          <w:ilvl w:val="0"/>
          <w:numId w:val="41"/>
        </w:numPr>
        <w:rPr>
          <w:rFonts w:ascii="Arial" w:cs="Arial" w:eastAsia="Arial" w:hAnsi="Arial"/>
          <w:sz w:val="23"/>
          <w:szCs w:val="23"/>
          <w:color w:val="auto"/>
          <w:vertAlign w:val="superscript"/>
        </w:rPr>
      </w:pPr>
      <w:r>
        <w:rPr>
          <w:rFonts w:ascii="Arial" w:cs="Arial" w:eastAsia="Arial" w:hAnsi="Arial"/>
          <w:sz w:val="15"/>
          <w:szCs w:val="15"/>
          <w:color w:val="auto"/>
        </w:rPr>
        <w:t>Represents time-based RSUs scheduled to vest in two (2) equal installments on February 20, 2025 and February 20, 2026.</w:t>
      </w:r>
    </w:p>
    <w:p>
      <w:pPr>
        <w:spacing w:after="0" w:line="28" w:lineRule="exact"/>
        <w:rPr>
          <w:rFonts w:ascii="Arial" w:cs="Arial" w:eastAsia="Arial" w:hAnsi="Arial"/>
          <w:sz w:val="23"/>
          <w:szCs w:val="23"/>
          <w:color w:val="auto"/>
          <w:vertAlign w:val="superscript"/>
        </w:rPr>
      </w:pPr>
    </w:p>
    <w:p>
      <w:pPr>
        <w:ind w:left="1360" w:right="1619" w:hanging="295"/>
        <w:spacing w:after="0" w:line="208" w:lineRule="auto"/>
        <w:tabs>
          <w:tab w:leader="none" w:pos="1360" w:val="left"/>
        </w:tabs>
        <w:numPr>
          <w:ilvl w:val="0"/>
          <w:numId w:val="41"/>
        </w:numPr>
        <w:rPr>
          <w:rFonts w:ascii="Arial" w:cs="Arial" w:eastAsia="Arial" w:hAnsi="Arial"/>
          <w:sz w:val="23"/>
          <w:szCs w:val="23"/>
          <w:color w:val="auto"/>
          <w:vertAlign w:val="superscript"/>
        </w:rPr>
      </w:pPr>
      <w:r>
        <w:rPr>
          <w:rFonts w:ascii="Arial" w:cs="Arial" w:eastAsia="Arial" w:hAnsi="Arial"/>
          <w:sz w:val="15"/>
          <w:szCs w:val="15"/>
          <w:color w:val="auto"/>
        </w:rPr>
        <w:t>Represents time-based RSUs scheduled to vest in three (3) equal installments on February 20, 2025, February 20, 2026 and February 20, 2027.</w:t>
      </w:r>
    </w:p>
    <w:p>
      <w:pPr>
        <w:spacing w:after="0" w:line="28" w:lineRule="exact"/>
        <w:rPr>
          <w:rFonts w:ascii="Arial" w:cs="Arial" w:eastAsia="Arial" w:hAnsi="Arial"/>
          <w:sz w:val="23"/>
          <w:szCs w:val="23"/>
          <w:color w:val="auto"/>
          <w:vertAlign w:val="superscript"/>
        </w:rPr>
      </w:pPr>
    </w:p>
    <w:p>
      <w:pPr>
        <w:ind w:left="1360" w:right="1199" w:hanging="295"/>
        <w:spacing w:after="0" w:line="220" w:lineRule="auto"/>
        <w:tabs>
          <w:tab w:leader="none" w:pos="1360" w:val="left"/>
        </w:tabs>
        <w:numPr>
          <w:ilvl w:val="0"/>
          <w:numId w:val="41"/>
        </w:numPr>
        <w:rPr>
          <w:rFonts w:ascii="Arial" w:cs="Arial" w:eastAsia="Arial" w:hAnsi="Arial"/>
          <w:sz w:val="23"/>
          <w:szCs w:val="23"/>
          <w:color w:val="auto"/>
          <w:vertAlign w:val="superscript"/>
        </w:rPr>
      </w:pPr>
      <w:r>
        <w:rPr>
          <w:rFonts w:ascii="Arial" w:cs="Arial" w:eastAsia="Arial" w:hAnsi="Arial"/>
          <w:sz w:val="15"/>
          <w:szCs w:val="15"/>
          <w:color w:val="auto"/>
        </w:rPr>
        <w:t>Represents market and performance-based RSUs granted on February 20, 2024, which cliff vest on the third anniversary of the grant date if certain financial measures are achieved. The number of market and</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39" w:name="page40"/>
    <w:bookmarkEnd w:id="39"/>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6" w:lineRule="exact"/>
        <w:rPr>
          <w:sz w:val="20"/>
          <w:szCs w:val="20"/>
          <w:color w:val="auto"/>
        </w:rPr>
      </w:pPr>
    </w:p>
    <w:p>
      <w:pPr>
        <w:ind w:left="580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3679190</wp:posOffset>
            </wp:positionH>
            <wp:positionV relativeFrom="paragraph">
              <wp:posOffset>-181610</wp:posOffset>
            </wp:positionV>
            <wp:extent cx="1357630" cy="1219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57630" cy="121920"/>
                    </a:xfrm>
                    <a:prstGeom prst="rect">
                      <a:avLst/>
                    </a:prstGeom>
                    <a:noFill/>
                  </pic:spPr>
                </pic:pic>
              </a:graphicData>
            </a:graphic>
          </wp:anchor>
        </w:drawing>
      </w:r>
    </w:p>
    <w:p>
      <w:pPr>
        <w:spacing w:after="0" w:line="97" w:lineRule="exact"/>
        <w:rPr>
          <w:sz w:val="20"/>
          <w:szCs w:val="20"/>
          <w:color w:val="auto"/>
        </w:rPr>
      </w:pPr>
    </w:p>
    <w:p>
      <w:pPr>
        <w:ind w:left="1360" w:right="1159"/>
        <w:spacing w:after="0" w:line="246" w:lineRule="auto"/>
        <w:rPr>
          <w:sz w:val="20"/>
          <w:szCs w:val="20"/>
          <w:color w:val="auto"/>
        </w:rPr>
      </w:pPr>
      <w:r>
        <w:rPr>
          <w:rFonts w:ascii="Arial" w:cs="Arial" w:eastAsia="Arial" w:hAnsi="Arial"/>
          <w:sz w:val="15"/>
          <w:szCs w:val="15"/>
          <w:color w:val="auto"/>
        </w:rPr>
        <w:t>performance-based RSUs that may vest will be based on the level of achievement, as specified in the award agreements. If the performance criteria achieved is above certain financial performance levels and Altisource’s share performance is above certain established criteria, participants have the opportunity to vest in up to 225% of the RSU award, depending on performance achieved. If the performance criteria are below a certain threshold, the award is cancelled.</w:t>
      </w:r>
    </w:p>
    <w:p>
      <w:pPr>
        <w:spacing w:after="0" w:line="333"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Employment Agreements</w:t>
      </w:r>
    </w:p>
    <w:p>
      <w:pPr>
        <w:spacing w:after="0" w:line="92" w:lineRule="exact"/>
        <w:rPr>
          <w:sz w:val="20"/>
          <w:szCs w:val="20"/>
          <w:color w:val="auto"/>
        </w:rPr>
      </w:pPr>
    </w:p>
    <w:p>
      <w:pPr>
        <w:ind w:left="1060" w:right="1179"/>
        <w:spacing w:after="0" w:line="245" w:lineRule="auto"/>
        <w:rPr>
          <w:sz w:val="20"/>
          <w:szCs w:val="20"/>
          <w:color w:val="auto"/>
        </w:rPr>
      </w:pPr>
      <w:r>
        <w:rPr>
          <w:rFonts w:ascii="Arial" w:cs="Arial" w:eastAsia="Arial" w:hAnsi="Arial"/>
          <w:sz w:val="15"/>
          <w:szCs w:val="15"/>
          <w:color w:val="auto"/>
        </w:rPr>
        <w:t>Altisource has entered into Luxembourg employment agreements with Messrs. Shepro and Ritts, our Luxembourg-based Named Executive Officers, as required by Luxembourg law. The employment agreements remain in effect indefinitely until the executive ceases to be employed by Altisource in Luxembourg. The agreements provide for a base salary and annual incentive compensation based on the satisfaction of relevant performance criteria. Additionally, the executives may receive relocation and foreign living allowances, as well as benefits such as health insurance. Please see the Summary Compensation Table under the “Executive Compensation” section above for additional details.</w:t>
      </w:r>
    </w:p>
    <w:p>
      <w:pPr>
        <w:spacing w:after="0" w:line="272" w:lineRule="exact"/>
        <w:rPr>
          <w:sz w:val="20"/>
          <w:szCs w:val="20"/>
          <w:color w:val="auto"/>
        </w:rPr>
      </w:pPr>
    </w:p>
    <w:p>
      <w:pPr>
        <w:ind w:left="1060" w:right="1199"/>
        <w:spacing w:after="0" w:line="245" w:lineRule="auto"/>
        <w:rPr>
          <w:sz w:val="20"/>
          <w:szCs w:val="20"/>
          <w:color w:val="auto"/>
        </w:rPr>
      </w:pPr>
      <w:r>
        <w:rPr>
          <w:rFonts w:ascii="Arial" w:cs="Arial" w:eastAsia="Arial" w:hAnsi="Arial"/>
          <w:sz w:val="15"/>
          <w:szCs w:val="15"/>
          <w:color w:val="auto"/>
        </w:rPr>
        <w:t>In order to terminate the employment agreement, each party must provide notice in accordance with the applicable time periods set forth in article L.124-1 of the Luxembourg Labor Code. However, if the Company terminates the executive for “Cause” ​(“</w:t>
      </w:r>
      <w:r>
        <w:rPr>
          <w:rFonts w:ascii="Arial" w:cs="Arial" w:eastAsia="Arial" w:hAnsi="Arial"/>
          <w:sz w:val="15"/>
          <w:szCs w:val="15"/>
          <w:i w:val="1"/>
          <w:iCs w:val="1"/>
          <w:color w:val="auto"/>
        </w:rPr>
        <w:t>motifs graves</w:t>
      </w:r>
      <w:r>
        <w:rPr>
          <w:rFonts w:ascii="Arial" w:cs="Arial" w:eastAsia="Arial" w:hAnsi="Arial"/>
          <w:sz w:val="15"/>
          <w:szCs w:val="15"/>
          <w:color w:val="auto"/>
        </w:rPr>
        <w:t>,” as defined in article L.124-10 of the Luxembourg Labor Code), no notice period is required. In addition, if the Company terminates the executive without “Cause” or if the executive resigns for “Good Reason,” the executive will receive severance benefits as described below. Furthermore, the executive may be entitled to receive additional payments in accordance with article L.124-7 of the Luxembourg Labor Code if they have been employed for more than five (5) years, which period has been satisfied by each of our Luxembourg-based Named Executive Officers.</w:t>
      </w:r>
    </w:p>
    <w:p>
      <w:pPr>
        <w:spacing w:after="0" w:line="271" w:lineRule="exact"/>
        <w:rPr>
          <w:sz w:val="20"/>
          <w:szCs w:val="20"/>
          <w:color w:val="auto"/>
        </w:rPr>
      </w:pPr>
    </w:p>
    <w:p>
      <w:pPr>
        <w:ind w:left="1060" w:right="1219"/>
        <w:spacing w:after="0" w:line="247" w:lineRule="auto"/>
        <w:rPr>
          <w:sz w:val="20"/>
          <w:szCs w:val="20"/>
          <w:color w:val="auto"/>
        </w:rPr>
      </w:pPr>
      <w:r>
        <w:rPr>
          <w:rFonts w:ascii="Arial" w:cs="Arial" w:eastAsia="Arial" w:hAnsi="Arial"/>
          <w:sz w:val="15"/>
          <w:szCs w:val="15"/>
          <w:color w:val="auto"/>
        </w:rPr>
        <w:t>The employment agreements also contain a covenant prohibiting the disclosure of the Company’s confidential information and requiring the signing of an intellectual property agreement. In addition, the agreements include non-competition covenants for a minimum period of one (1) year, and non- solicitation covenants for two (2) years, or one (1) year in the case of the Chief Executive Officer, following the termination of the agreement. These agreements are governed by, interpreted under, and subject to the limitations of the laws of the Grand Duchy of Luxembourg.</w:t>
      </w:r>
    </w:p>
    <w:p>
      <w:pPr>
        <w:spacing w:after="0" w:line="270" w:lineRule="exact"/>
        <w:rPr>
          <w:sz w:val="20"/>
          <w:szCs w:val="20"/>
          <w:color w:val="auto"/>
        </w:rPr>
      </w:pPr>
    </w:p>
    <w:p>
      <w:pPr>
        <w:ind w:left="1060" w:right="1259"/>
        <w:spacing w:after="0" w:line="262" w:lineRule="auto"/>
        <w:rPr>
          <w:sz w:val="20"/>
          <w:szCs w:val="20"/>
          <w:color w:val="auto"/>
        </w:rPr>
      </w:pPr>
      <w:r>
        <w:rPr>
          <w:rFonts w:ascii="Arial" w:cs="Arial" w:eastAsia="Arial" w:hAnsi="Arial"/>
          <w:sz w:val="15"/>
          <w:szCs w:val="15"/>
          <w:color w:val="auto"/>
        </w:rPr>
        <w:t>In 2021, our Board approved a severance arrangement for our Chief Financial Officer, who would receive a severance payment equal to one (1) year’s base compensation paid in twelve equal installments in case of termination without cause.</w:t>
      </w:r>
    </w:p>
    <w:p>
      <w:pPr>
        <w:spacing w:after="0" w:line="132"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Potential Payments Upon Termination or Change of Control</w:t>
      </w:r>
    </w:p>
    <w:p>
      <w:pPr>
        <w:spacing w:after="0" w:line="92" w:lineRule="exact"/>
        <w:rPr>
          <w:sz w:val="20"/>
          <w:szCs w:val="20"/>
          <w:color w:val="auto"/>
        </w:rPr>
      </w:pPr>
    </w:p>
    <w:p>
      <w:pPr>
        <w:ind w:left="1060" w:right="1159"/>
        <w:spacing w:after="0" w:line="246" w:lineRule="auto"/>
        <w:rPr>
          <w:sz w:val="20"/>
          <w:szCs w:val="20"/>
          <w:color w:val="auto"/>
        </w:rPr>
      </w:pPr>
      <w:r>
        <w:rPr>
          <w:rFonts w:ascii="Arial" w:cs="Arial" w:eastAsia="Arial" w:hAnsi="Arial"/>
          <w:sz w:val="15"/>
          <w:szCs w:val="15"/>
          <w:color w:val="auto"/>
        </w:rPr>
        <w:t>As discussed above, Mr. Shepro and Mr. Ritts have entered into employment agreements with the Company. Under these agreements, Mr. Shepro and Mr. Ritts have specific terms regarding termination and compensation. For Mr. Shepro, if his employment is terminated due to retirement or disability or otherwise without cause, the Company will pay all standard relocation costs to relocate him to the United States. If the Company terminates his employment other than for “Cause” (“​</w:t>
      </w:r>
      <w:r>
        <w:rPr>
          <w:rFonts w:ascii="Arial" w:cs="Arial" w:eastAsia="Arial" w:hAnsi="Arial"/>
          <w:sz w:val="15"/>
          <w:szCs w:val="15"/>
          <w:i w:val="1"/>
          <w:iCs w:val="1"/>
          <w:color w:val="auto"/>
        </w:rPr>
        <w:t>motifs graves</w:t>
      </w:r>
      <w:r>
        <w:rPr>
          <w:rFonts w:ascii="Arial" w:cs="Arial" w:eastAsia="Arial" w:hAnsi="Arial"/>
          <w:sz w:val="15"/>
          <w:szCs w:val="15"/>
          <w:color w:val="auto"/>
        </w:rPr>
        <w:t>,” as defined in L.124-10 of the Luxembourg Labor Code) or if he resigns for “Good Reason” (as​ defined in his employment agreement), the Company will pay Mr. Shepro twelve (12) months’ base salary and at least one (1) year of target incentive compensation.</w:t>
      </w:r>
    </w:p>
    <w:p>
      <w:pPr>
        <w:spacing w:after="0" w:line="271" w:lineRule="exact"/>
        <w:rPr>
          <w:sz w:val="20"/>
          <w:szCs w:val="20"/>
          <w:color w:val="auto"/>
        </w:rPr>
      </w:pPr>
    </w:p>
    <w:p>
      <w:pPr>
        <w:ind w:left="1060" w:right="1439"/>
        <w:spacing w:after="0" w:line="262" w:lineRule="auto"/>
        <w:rPr>
          <w:sz w:val="20"/>
          <w:szCs w:val="20"/>
          <w:color w:val="auto"/>
        </w:rPr>
      </w:pPr>
      <w:r>
        <w:rPr>
          <w:rFonts w:ascii="Arial" w:cs="Arial" w:eastAsia="Arial" w:hAnsi="Arial"/>
          <w:sz w:val="15"/>
          <w:szCs w:val="15"/>
          <w:color w:val="auto"/>
        </w:rPr>
        <w:t>Additionally, if the Company terminates Mr. Shepro’s employment other than for “Cause” after October 1 of a service year, and before incentives are paid for the service year, Mr. Shepro will be entitled to receive incentive compensation for the service year.</w:t>
      </w:r>
    </w:p>
    <w:p>
      <w:pPr>
        <w:spacing w:after="0" w:line="80" w:lineRule="exact"/>
        <w:rPr>
          <w:sz w:val="20"/>
          <w:szCs w:val="20"/>
          <w:color w:val="auto"/>
        </w:rPr>
      </w:pPr>
    </w:p>
    <w:p>
      <w:pPr>
        <w:ind w:left="1060" w:right="1139"/>
        <w:spacing w:after="0" w:line="245" w:lineRule="auto"/>
        <w:rPr>
          <w:sz w:val="20"/>
          <w:szCs w:val="20"/>
          <w:color w:val="auto"/>
        </w:rPr>
      </w:pPr>
      <w:r>
        <w:rPr>
          <w:rFonts w:ascii="Arial" w:cs="Arial" w:eastAsia="Arial" w:hAnsi="Arial"/>
          <w:sz w:val="15"/>
          <w:szCs w:val="15"/>
          <w:color w:val="auto"/>
        </w:rPr>
        <w:t>For Mr. Ritts, if his employment is terminated due to retirement or disability or otherwise without cause, the Company will also pay standard relocation costs to relocate him to the United States. If the Company terminates his employment other than for “Cause” or if he resigns for “Good Reason” ​(as defined in his employment agreement), the Company will pay Mr. Ritts four (4) months’ base salary in addition to certain notice and additional payments as may be required under articles L.124-1 and L.124-7 of the Luxembourg Labor Code. In the event of a Change of Control (as defined therein), the Company shall pay Mr. Ritts twelve (12) months’ base salary plus one (1) year’s target incentive compensation. If a Change of Control occurs after October 1 of a service year and before incentives are paid for the service year, Mr. Ritts will be entitled to receive incentive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0" w:name="page41"/>
    <w:bookmarkEnd w:id="40"/>
    <w:p>
      <w:pPr>
        <w:ind w:left="2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ind w:left="580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3679190</wp:posOffset>
            </wp:positionH>
            <wp:positionV relativeFrom="paragraph">
              <wp:posOffset>-181610</wp:posOffset>
            </wp:positionV>
            <wp:extent cx="1357630" cy="1219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57630" cy="121920"/>
                    </a:xfrm>
                    <a:prstGeom prst="rect">
                      <a:avLst/>
                    </a:prstGeom>
                    <a:noFill/>
                  </pic:spPr>
                </pic:pic>
              </a:graphicData>
            </a:graphic>
          </wp:anchor>
        </w:drawing>
      </w:r>
    </w:p>
    <w:p>
      <w:pPr>
        <w:spacing w:after="0" w:line="97" w:lineRule="exact"/>
        <w:rPr>
          <w:sz w:val="20"/>
          <w:szCs w:val="20"/>
          <w:color w:val="auto"/>
        </w:rPr>
      </w:pPr>
    </w:p>
    <w:p>
      <w:pPr>
        <w:ind w:left="1060" w:right="1219"/>
        <w:spacing w:after="0" w:line="263" w:lineRule="auto"/>
        <w:rPr>
          <w:sz w:val="20"/>
          <w:szCs w:val="20"/>
          <w:color w:val="auto"/>
        </w:rPr>
      </w:pPr>
      <w:r>
        <w:rPr>
          <w:rFonts w:ascii="Arial" w:cs="Arial" w:eastAsia="Arial" w:hAnsi="Arial"/>
          <w:sz w:val="15"/>
          <w:szCs w:val="15"/>
          <w:color w:val="auto"/>
        </w:rPr>
        <w:t>compensation prorated to the date of the Change of Control if occurring between October 1 and December 31. If Mr. Ritts is terminated other than for Cause following a Change of Control, his severance payment would be limited to the statutory notice and such other required payments under articles L.124-1 and L.124-7 of the Luxembourg Labor Code.</w:t>
      </w:r>
    </w:p>
    <w:p>
      <w:pPr>
        <w:spacing w:after="0" w:line="81" w:lineRule="exact"/>
        <w:rPr>
          <w:sz w:val="20"/>
          <w:szCs w:val="20"/>
          <w:color w:val="auto"/>
        </w:rPr>
      </w:pPr>
    </w:p>
    <w:p>
      <w:pPr>
        <w:ind w:left="1060" w:right="1079"/>
        <w:spacing w:after="0" w:line="269" w:lineRule="auto"/>
        <w:rPr>
          <w:sz w:val="20"/>
          <w:szCs w:val="20"/>
          <w:color w:val="auto"/>
        </w:rPr>
      </w:pPr>
      <w:r>
        <w:rPr>
          <w:rFonts w:ascii="Arial" w:cs="Arial" w:eastAsia="Arial" w:hAnsi="Arial"/>
          <w:sz w:val="15"/>
          <w:szCs w:val="15"/>
          <w:color w:val="auto"/>
        </w:rPr>
        <w:t>If either Mr. Shepro or Mr. Ritts is terminated for “Cause,” the Company may do so without notice and with no obligation to make any further payments, other than amounts accrued and unpaid as of the date of termination.</w:t>
      </w:r>
    </w:p>
    <w:p>
      <w:pPr>
        <w:spacing w:after="0" w:line="87" w:lineRule="exact"/>
        <w:rPr>
          <w:sz w:val="20"/>
          <w:szCs w:val="20"/>
          <w:color w:val="auto"/>
        </w:rPr>
      </w:pPr>
    </w:p>
    <w:p>
      <w:pPr>
        <w:ind w:left="1060" w:right="1119"/>
        <w:spacing w:after="0" w:line="256" w:lineRule="auto"/>
        <w:rPr>
          <w:sz w:val="20"/>
          <w:szCs w:val="20"/>
          <w:color w:val="auto"/>
        </w:rPr>
      </w:pPr>
      <w:r>
        <w:rPr>
          <w:rFonts w:ascii="Arial" w:cs="Arial" w:eastAsia="Arial" w:hAnsi="Arial"/>
          <w:sz w:val="15"/>
          <w:szCs w:val="15"/>
          <w:color w:val="auto"/>
        </w:rPr>
        <w:t>With respect to stock options, upon termination of a Named Executive Officer’s employment other than for “Cause,” as defined by their stock option agreement, or by reason of resignation, the Named Executive Officer will typically be entitled to retain their vested options and any unvested market-based options for which the vesting hurdles have already been achieved. Typically, the Named Executive Officer’s right to retain any options following termination of employment is contingent upon having been employed with the Company for at least two (2) years, which period has been satisfied by each of our Named Executive Officers. Upon termination of employment for “Cause,” all vested and unvested stock options awarded pursuant to their stock option agreement(s) will be forfeited.</w:t>
      </w:r>
    </w:p>
    <w:p>
      <w:pPr>
        <w:spacing w:after="0" w:line="282" w:lineRule="exact"/>
        <w:rPr>
          <w:sz w:val="20"/>
          <w:szCs w:val="20"/>
          <w:color w:val="auto"/>
        </w:rPr>
      </w:pPr>
    </w:p>
    <w:p>
      <w:pPr>
        <w:ind w:left="1060" w:right="1119"/>
        <w:spacing w:after="0" w:line="254" w:lineRule="auto"/>
        <w:rPr>
          <w:sz w:val="20"/>
          <w:szCs w:val="20"/>
          <w:color w:val="auto"/>
        </w:rPr>
      </w:pPr>
      <w:r>
        <w:rPr>
          <w:rFonts w:ascii="Arial" w:cs="Arial" w:eastAsia="Arial" w:hAnsi="Arial"/>
          <w:sz w:val="15"/>
          <w:szCs w:val="15"/>
          <w:color w:val="auto"/>
        </w:rPr>
        <w:t xml:space="preserve">In addition, certain of the stock option agreements provide for accelerated vesting of service-based options. Typically, upon a Named Executive Officer’s death, disability or, in some instances, retirement (as defined in their stock option agreement), service-based options will vest immediately; provided, however, that the Named Executive Officer’s right to the acceleration of options following termination of employment is typically contingent upon having been employed with the Company for at least three (3) years in the case of retirement, and at least two (2) years in other instances, which periods have been satisfied by each of our Named Executive Officers. Additionally, pursuant to certain agreements, if there is a Change of Control, the Compensation Committee may, </w:t>
      </w:r>
      <w:r>
        <w:rPr>
          <w:rFonts w:ascii="Arial" w:cs="Arial" w:eastAsia="Arial" w:hAnsi="Arial"/>
          <w:sz w:val="15"/>
          <w:szCs w:val="15"/>
          <w:i w:val="1"/>
          <w:iCs w:val="1"/>
          <w:color w:val="auto"/>
        </w:rPr>
        <w:t>inter alia</w:t>
      </w:r>
      <w:r>
        <w:rPr>
          <w:rFonts w:ascii="Arial" w:cs="Arial" w:eastAsia="Arial" w:hAnsi="Arial"/>
          <w:sz w:val="15"/>
          <w:szCs w:val="15"/>
          <w:color w:val="auto"/>
        </w:rPr>
        <w:t>, adjust the vesting conditions of the options at its discretion, which could result in the immediate vesting of some or all of the options. Under the terms of the stock option awards granted to our Named Executive Officers on and after April 15, 2015, in the event of a Change of Control transaction, a buyer will have the option to cancel the stock options in exchange for their intrinsic value or allow them to remain in place. Generally, for termination not due to death, disability or retirement, a Named Executive Officer has six (6) months within which to exercise vested stock options pursuant to our stock option agreements.</w:t>
      </w:r>
    </w:p>
    <w:p>
      <w:pPr>
        <w:spacing w:after="0" w:line="200" w:lineRule="exact"/>
        <w:rPr>
          <w:sz w:val="20"/>
          <w:szCs w:val="20"/>
          <w:color w:val="auto"/>
        </w:rPr>
      </w:pPr>
    </w:p>
    <w:p>
      <w:pPr>
        <w:spacing w:after="0" w:line="253" w:lineRule="exact"/>
        <w:rPr>
          <w:sz w:val="20"/>
          <w:szCs w:val="20"/>
          <w:color w:val="auto"/>
        </w:rPr>
      </w:pPr>
    </w:p>
    <w:p>
      <w:pPr>
        <w:ind w:left="1060" w:right="1119"/>
        <w:spacing w:after="0" w:line="255" w:lineRule="auto"/>
        <w:rPr>
          <w:sz w:val="20"/>
          <w:szCs w:val="20"/>
          <w:color w:val="auto"/>
        </w:rPr>
      </w:pPr>
      <w:r>
        <w:rPr>
          <w:rFonts w:ascii="Arial" w:cs="Arial" w:eastAsia="Arial" w:hAnsi="Arial"/>
          <w:sz w:val="15"/>
          <w:szCs w:val="15"/>
          <w:color w:val="auto"/>
        </w:rPr>
        <w:t>With respect to restricted shares and RSUs granted to our Named Executive Officers, in some instances if an executive officer’s employment is terminated due to death, disability, or retirement (as defined in our 2009 Equity Incentive Plan and the applicable award agreements) unvested restricted shares and RSUs shall immediately vest, subject to the requirement that such executive officer has been employed with the Company for a period of time prior to the death, disability or retirement, as applicable, which periods have been satisfied by each of our Named Executive Officers. If the Named Executive Officer voluntarily resigns or his or her employment is terminated for “Cause,” any unvested restricted shares and RSUs will be forfeited. In some cases, if the Company terminates a Named Executive Officer’s employment for reasons other than “Cause,” as defined by the applicable award agreement, certain unvested restricted shares and RSUs will vest after</w:t>
      </w:r>
    </w:p>
    <w:p>
      <w:pPr>
        <w:spacing w:after="0" w:line="172" w:lineRule="exact"/>
        <w:rPr>
          <w:sz w:val="20"/>
          <w:szCs w:val="20"/>
          <w:color w:val="auto"/>
        </w:rPr>
      </w:pPr>
    </w:p>
    <w:p>
      <w:pPr>
        <w:ind w:left="1060" w:right="1079"/>
        <w:spacing w:after="0" w:line="268" w:lineRule="auto"/>
        <w:rPr>
          <w:sz w:val="20"/>
          <w:szCs w:val="20"/>
          <w:color w:val="auto"/>
        </w:rPr>
      </w:pPr>
      <w:r>
        <w:rPr>
          <w:rFonts w:ascii="Arial" w:cs="Arial" w:eastAsia="Arial" w:hAnsi="Arial"/>
          <w:sz w:val="15"/>
          <w:szCs w:val="15"/>
          <w:color w:val="auto"/>
        </w:rPr>
        <w:t>30 days of such termination. In addition, certain restricted share and RSU awards provide for the vesting of unvested restricted shares and RSUs in the event of a Change of Control.</w:t>
      </w:r>
    </w:p>
    <w:p>
      <w:pPr>
        <w:spacing w:after="0" w:line="87" w:lineRule="exact"/>
        <w:rPr>
          <w:sz w:val="20"/>
          <w:szCs w:val="20"/>
          <w:color w:val="auto"/>
        </w:rPr>
      </w:pPr>
    </w:p>
    <w:p>
      <w:pPr>
        <w:ind w:left="1060" w:right="1479"/>
        <w:spacing w:after="0" w:line="279" w:lineRule="auto"/>
        <w:rPr>
          <w:sz w:val="20"/>
          <w:szCs w:val="20"/>
          <w:color w:val="auto"/>
        </w:rPr>
      </w:pPr>
      <w:r>
        <w:rPr>
          <w:rFonts w:ascii="Arial" w:cs="Arial" w:eastAsia="Arial" w:hAnsi="Arial"/>
          <w:sz w:val="15"/>
          <w:szCs w:val="15"/>
          <w:color w:val="auto"/>
        </w:rPr>
        <w:t>Except as specified above, any portion of an equity award not vested will generally be forfeited unless alternate arrangements are made at the discretion of the Compensation Committee.</w:t>
      </w:r>
    </w:p>
    <w:p>
      <w:pPr>
        <w:spacing w:after="0" w:line="319"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Equity Award Grant Practices</w:t>
      </w:r>
    </w:p>
    <w:p>
      <w:pPr>
        <w:spacing w:after="0" w:line="92" w:lineRule="exact"/>
        <w:rPr>
          <w:sz w:val="20"/>
          <w:szCs w:val="20"/>
          <w:color w:val="auto"/>
        </w:rPr>
      </w:pPr>
    </w:p>
    <w:p>
      <w:pPr>
        <w:ind w:left="1060" w:right="1099"/>
        <w:spacing w:after="0" w:line="256" w:lineRule="auto"/>
        <w:rPr>
          <w:sz w:val="20"/>
          <w:szCs w:val="20"/>
          <w:color w:val="auto"/>
        </w:rPr>
      </w:pPr>
      <w:r>
        <w:rPr>
          <w:rFonts w:ascii="Arial" w:cs="Arial" w:eastAsia="Arial" w:hAnsi="Arial"/>
          <w:sz w:val="15"/>
          <w:szCs w:val="15"/>
          <w:color w:val="auto"/>
        </w:rPr>
        <w:t>The Compensation Committee and executive management monitor the Company’s equity grant practices to evaluate whether such practices comply with governing regulations and are consistent with good corporate practices. Historically, equity grants have been made at Compensation Committee meetings held during the months of February, March and April in connection with issuing incentive plans or a performance review process. The Compensation Committee may make equity grants at any time during the year it deems appropriate, including with respect to new hires, promotions or retention efforts. The Compensation Committee does not time the disclosure of material non-public information for the purpose of affecting the value of compensation.</w:t>
      </w:r>
    </w:p>
    <w:p>
      <w:pPr>
        <w:spacing w:after="0" w:line="282"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In 2024, we did not grant any stock options or stock appreciation rights.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1" w:name="page42"/>
    <w:bookmarkEnd w:id="41"/>
    <w:p>
      <w:pPr>
        <w:ind w:left="20"/>
        <w:spacing w:after="0"/>
        <w:rPr>
          <w:sz w:val="20"/>
          <w:szCs w:val="20"/>
          <w:color w:val="auto"/>
        </w:rPr>
      </w:pPr>
      <w:r>
        <w:rPr>
          <w:rFonts w:ascii="Calibri" w:cs="Calibri" w:eastAsia="Calibri" w:hAnsi="Calibri"/>
          <w:sz w:val="12"/>
          <w:szCs w:val="12"/>
          <w:color w:val="003366"/>
        </w:rPr>
        <w:t>TABLE OF CONTENTS</w:t>
      </w:r>
    </w:p>
    <w:p>
      <w:pPr>
        <w:spacing w:after="0" w:line="376" w:lineRule="exact"/>
        <w:rPr>
          <w:sz w:val="20"/>
          <w:szCs w:val="20"/>
          <w:color w:val="auto"/>
        </w:rPr>
      </w:pPr>
    </w:p>
    <w:p>
      <w:pPr>
        <w:ind w:left="580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EXECUTIVE COMPENSATION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3679190</wp:posOffset>
            </wp:positionH>
            <wp:positionV relativeFrom="paragraph">
              <wp:posOffset>-181610</wp:posOffset>
            </wp:positionV>
            <wp:extent cx="1357630" cy="1219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57630" cy="121920"/>
                    </a:xfrm>
                    <a:prstGeom prst="rect">
                      <a:avLst/>
                    </a:prstGeom>
                    <a:noFill/>
                  </pic:spPr>
                </pic:pic>
              </a:graphicData>
            </a:graphic>
          </wp:anchor>
        </w:drawing>
      </w:r>
    </w:p>
    <w:p>
      <w:pPr>
        <w:spacing w:after="0" w:line="93" w:lineRule="exact"/>
        <w:rPr>
          <w:sz w:val="20"/>
          <w:szCs w:val="20"/>
          <w:color w:val="auto"/>
        </w:rPr>
      </w:pPr>
    </w:p>
    <w:p>
      <w:pPr>
        <w:ind w:left="1060"/>
        <w:spacing w:after="0"/>
        <w:rPr>
          <w:sz w:val="20"/>
          <w:szCs w:val="20"/>
          <w:color w:val="auto"/>
        </w:rPr>
      </w:pPr>
      <w:r>
        <w:rPr>
          <w:rFonts w:ascii="Arial" w:cs="Arial" w:eastAsia="Arial" w:hAnsi="Arial"/>
          <w:sz w:val="17"/>
          <w:szCs w:val="17"/>
          <w:b w:val="1"/>
          <w:bCs w:val="1"/>
          <w:u w:val="single" w:color="auto"/>
          <w:color w:val="auto"/>
        </w:rPr>
        <w:t>Pay Versus Performance</w:t>
      </w:r>
    </w:p>
    <w:p>
      <w:pPr>
        <w:spacing w:after="0" w:line="92" w:lineRule="exact"/>
        <w:rPr>
          <w:sz w:val="20"/>
          <w:szCs w:val="20"/>
          <w:color w:val="auto"/>
        </w:rPr>
      </w:pPr>
    </w:p>
    <w:p>
      <w:pPr>
        <w:ind w:left="1060" w:right="1259"/>
        <w:spacing w:after="0" w:line="269" w:lineRule="auto"/>
        <w:rPr>
          <w:sz w:val="20"/>
          <w:szCs w:val="20"/>
          <w:color w:val="auto"/>
        </w:rPr>
      </w:pPr>
      <w:r>
        <w:rPr>
          <w:rFonts w:ascii="Arial" w:cs="Arial" w:eastAsia="Arial" w:hAnsi="Arial"/>
          <w:sz w:val="15"/>
          <w:szCs w:val="15"/>
          <w:color w:val="auto"/>
        </w:rPr>
        <w:t>As required by Item 402(v) of Regulation S-K, the following table discloses the relationship between the financial performance of the Company and (i) the summary compensation actually paid to the Company’s Principal Executive Officer (“PEO”), and (ii) the average compensation actually paid to non-PEO Named Executive Officers. For further information about how we align executive compensation with the Company’s performance, see the Summary Compensation Table.</w:t>
      </w:r>
    </w:p>
    <w:p>
      <w:pPr>
        <w:spacing w:after="0" w:line="286" w:lineRule="exact"/>
        <w:rPr>
          <w:sz w:val="20"/>
          <w:szCs w:val="20"/>
          <w:color w:val="auto"/>
        </w:rPr>
      </w:pPr>
    </w:p>
    <w:tbl>
      <w:tblPr>
        <w:tblLayout w:type="fixed"/>
        <w:tblInd w:w="1060" w:type="dxa"/>
        <w:tblCellMar>
          <w:top w:w="0" w:type="dxa"/>
          <w:left w:w="0" w:type="dxa"/>
          <w:bottom w:w="0" w:type="dxa"/>
          <w:right w:w="0" w:type="dxa"/>
        </w:tblCellMar>
      </w:tblPr>
      <w:tr>
        <w:trPr>
          <w:trHeight w:val="172"/>
        </w:trPr>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97"/>
              </w:rPr>
              <w:t>Average</w:t>
            </w:r>
          </w:p>
        </w:tc>
        <w:tc>
          <w:tcPr>
            <w:tcW w:w="10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Average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line="151" w:lineRule="exact"/>
              <w:rPr>
                <w:sz w:val="20"/>
                <w:szCs w:val="20"/>
                <w:color w:val="auto"/>
              </w:rPr>
            </w:pPr>
            <w:r>
              <w:rPr>
                <w:rFonts w:ascii="Arial" w:cs="Arial" w:eastAsia="Arial" w:hAnsi="Arial"/>
                <w:sz w:val="15"/>
                <w:szCs w:val="15"/>
                <w:b w:val="1"/>
                <w:bCs w:val="1"/>
                <w:color w:val="auto"/>
                <w:w w:val="99"/>
              </w:rPr>
              <w:t>Summary</w:t>
            </w:r>
          </w:p>
        </w:tc>
        <w:tc>
          <w:tcPr>
            <w:tcW w:w="1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Summary</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7" w:lineRule="exact"/>
              <w:rPr>
                <w:sz w:val="20"/>
                <w:szCs w:val="20"/>
                <w:color w:val="auto"/>
              </w:rPr>
            </w:pPr>
            <w:r>
              <w:rPr>
                <w:rFonts w:ascii="Arial" w:cs="Arial" w:eastAsia="Arial" w:hAnsi="Arial"/>
                <w:sz w:val="15"/>
                <w:szCs w:val="15"/>
                <w:b w:val="1"/>
                <w:bCs w:val="1"/>
                <w:color w:val="auto"/>
                <w:w w:val="99"/>
              </w:rPr>
              <w:t>Compensation</w:t>
            </w:r>
          </w:p>
        </w:tc>
        <w:tc>
          <w:tcPr>
            <w:tcW w:w="100" w:type="dxa"/>
            <w:vAlign w:val="bottom"/>
          </w:tcPr>
          <w:p>
            <w:pPr>
              <w:spacing w:after="0"/>
              <w:rPr>
                <w:sz w:val="12"/>
                <w:szCs w:val="12"/>
                <w:color w:val="auto"/>
              </w:rPr>
            </w:pPr>
          </w:p>
        </w:tc>
        <w:tc>
          <w:tcPr>
            <w:tcW w:w="1180" w:type="dxa"/>
            <w:vAlign w:val="bottom"/>
          </w:tcPr>
          <w:p>
            <w:pPr>
              <w:jc w:val="center"/>
              <w:spacing w:after="0" w:line="147" w:lineRule="exact"/>
              <w:rPr>
                <w:sz w:val="20"/>
                <w:szCs w:val="20"/>
                <w:color w:val="auto"/>
              </w:rPr>
            </w:pPr>
            <w:r>
              <w:rPr>
                <w:rFonts w:ascii="Arial" w:cs="Arial" w:eastAsia="Arial" w:hAnsi="Arial"/>
                <w:sz w:val="15"/>
                <w:szCs w:val="15"/>
                <w:b w:val="1"/>
                <w:bCs w:val="1"/>
                <w:color w:val="auto"/>
                <w:w w:val="99"/>
              </w:rPr>
              <w:t>Compensation</w:t>
            </w:r>
          </w:p>
        </w:tc>
        <w:tc>
          <w:tcPr>
            <w:tcW w:w="160" w:type="dxa"/>
            <w:vAlign w:val="bottom"/>
          </w:tcPr>
          <w:p>
            <w:pPr>
              <w:spacing w:after="0"/>
              <w:rPr>
                <w:sz w:val="12"/>
                <w:szCs w:val="12"/>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7" w:lineRule="exact"/>
              <w:rPr>
                <w:sz w:val="20"/>
                <w:szCs w:val="20"/>
                <w:color w:val="auto"/>
              </w:rPr>
            </w:pPr>
            <w:r>
              <w:rPr>
                <w:rFonts w:ascii="Arial" w:cs="Arial" w:eastAsia="Arial" w:hAnsi="Arial"/>
                <w:sz w:val="15"/>
                <w:szCs w:val="15"/>
                <w:b w:val="1"/>
                <w:bCs w:val="1"/>
                <w:color w:val="auto"/>
                <w:w w:val="98"/>
              </w:rPr>
              <w:t>Table Total for</w:t>
            </w:r>
          </w:p>
        </w:tc>
        <w:tc>
          <w:tcPr>
            <w:tcW w:w="100" w:type="dxa"/>
            <w:vAlign w:val="bottom"/>
          </w:tcPr>
          <w:p>
            <w:pPr>
              <w:spacing w:after="0"/>
              <w:rPr>
                <w:sz w:val="12"/>
                <w:szCs w:val="12"/>
                <w:color w:val="auto"/>
              </w:rPr>
            </w:pPr>
          </w:p>
        </w:tc>
        <w:tc>
          <w:tcPr>
            <w:tcW w:w="1180" w:type="dxa"/>
            <w:vAlign w:val="bottom"/>
          </w:tcPr>
          <w:p>
            <w:pPr>
              <w:jc w:val="center"/>
              <w:spacing w:after="0" w:line="147" w:lineRule="exact"/>
              <w:rPr>
                <w:sz w:val="20"/>
                <w:szCs w:val="20"/>
                <w:color w:val="auto"/>
              </w:rPr>
            </w:pPr>
            <w:r>
              <w:rPr>
                <w:rFonts w:ascii="Arial" w:cs="Arial" w:eastAsia="Arial" w:hAnsi="Arial"/>
                <w:sz w:val="15"/>
                <w:szCs w:val="15"/>
                <w:b w:val="1"/>
                <w:bCs w:val="1"/>
                <w:color w:val="auto"/>
                <w:w w:val="99"/>
              </w:rPr>
              <w:t>Actually Paid to</w:t>
            </w: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5660" w:type="dxa"/>
            <w:vAlign w:val="bottom"/>
            <w:gridSpan w:val="10"/>
          </w:tcPr>
          <w:p>
            <w:pPr>
              <w:jc w:val="center"/>
              <w:spacing w:after="0" w:line="159" w:lineRule="exact"/>
              <w:rPr>
                <w:sz w:val="20"/>
                <w:szCs w:val="20"/>
                <w:color w:val="auto"/>
              </w:rPr>
            </w:pPr>
            <w:r>
              <w:rPr>
                <w:rFonts w:ascii="Arial" w:cs="Arial" w:eastAsia="Arial" w:hAnsi="Arial"/>
                <w:sz w:val="15"/>
                <w:szCs w:val="15"/>
                <w:b w:val="1"/>
                <w:bCs w:val="1"/>
                <w:color w:val="auto"/>
              </w:rPr>
              <w:t>Compensation Compensation Non-PEO Named Non-PEO Named Shareholder</w:t>
            </w:r>
          </w:p>
        </w:tc>
        <w:tc>
          <w:tcPr>
            <w:tcW w:w="120" w:type="dxa"/>
            <w:vAlign w:val="bottom"/>
          </w:tcPr>
          <w:p>
            <w:pPr>
              <w:spacing w:after="0"/>
              <w:rPr>
                <w:sz w:val="13"/>
                <w:szCs w:val="13"/>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5"/>
                <w:szCs w:val="15"/>
                <w:b w:val="1"/>
                <w:bCs w:val="1"/>
                <w:color w:val="auto"/>
                <w:w w:val="99"/>
              </w:rPr>
              <w:t>Net</w:t>
            </w:r>
          </w:p>
        </w:tc>
        <w:tc>
          <w:tcPr>
            <w:tcW w:w="0" w:type="dxa"/>
            <w:vAlign w:val="bottom"/>
          </w:tcPr>
          <w:p>
            <w:pPr>
              <w:spacing w:after="0"/>
              <w:rPr>
                <w:sz w:val="1"/>
                <w:szCs w:val="1"/>
                <w:color w:val="auto"/>
              </w:rPr>
            </w:pPr>
          </w:p>
        </w:tc>
      </w:tr>
      <w:tr>
        <w:trPr>
          <w:trHeight w:val="147"/>
        </w:trPr>
        <w:tc>
          <w:tcPr>
            <w:tcW w:w="34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8"/>
              </w:rPr>
              <w:t>Year</w:t>
            </w:r>
          </w:p>
        </w:tc>
        <w:tc>
          <w:tcPr>
            <w:tcW w:w="1060" w:type="dxa"/>
            <w:vAlign w:val="bottom"/>
          </w:tcPr>
          <w:p>
            <w:pPr>
              <w:jc w:val="center"/>
              <w:spacing w:after="0" w:line="147" w:lineRule="exact"/>
              <w:rPr>
                <w:sz w:val="20"/>
                <w:szCs w:val="20"/>
                <w:color w:val="auto"/>
              </w:rPr>
            </w:pPr>
            <w:r>
              <w:rPr>
                <w:rFonts w:ascii="Arial" w:cs="Arial" w:eastAsia="Arial" w:hAnsi="Arial"/>
                <w:sz w:val="15"/>
                <w:szCs w:val="15"/>
                <w:b w:val="1"/>
                <w:bCs w:val="1"/>
                <w:color w:val="auto"/>
                <w:w w:val="98"/>
              </w:rPr>
              <w:t>Table Total for</w:t>
            </w:r>
          </w:p>
        </w:tc>
        <w:tc>
          <w:tcPr>
            <w:tcW w:w="80" w:type="dxa"/>
            <w:vAlign w:val="bottom"/>
          </w:tcPr>
          <w:p>
            <w:pPr>
              <w:spacing w:after="0"/>
              <w:rPr>
                <w:sz w:val="12"/>
                <w:szCs w:val="12"/>
                <w:color w:val="auto"/>
              </w:rPr>
            </w:pPr>
          </w:p>
        </w:tc>
        <w:tc>
          <w:tcPr>
            <w:tcW w:w="1000" w:type="dxa"/>
            <w:vAlign w:val="bottom"/>
            <w:gridSpan w:val="2"/>
          </w:tcPr>
          <w:p>
            <w:pPr>
              <w:jc w:val="right"/>
              <w:spacing w:after="0" w:line="147" w:lineRule="exact"/>
              <w:rPr>
                <w:sz w:val="20"/>
                <w:szCs w:val="20"/>
                <w:color w:val="auto"/>
              </w:rPr>
            </w:pPr>
            <w:r>
              <w:rPr>
                <w:rFonts w:ascii="Arial" w:cs="Arial" w:eastAsia="Arial" w:hAnsi="Arial"/>
                <w:sz w:val="15"/>
                <w:szCs w:val="15"/>
                <w:b w:val="1"/>
                <w:bCs w:val="1"/>
                <w:color w:val="auto"/>
                <w:w w:val="99"/>
              </w:rPr>
              <w:t>Actually Paid</w:t>
            </w:r>
          </w:p>
        </w:tc>
        <w:tc>
          <w:tcPr>
            <w:tcW w:w="120" w:type="dxa"/>
            <w:vAlign w:val="bottom"/>
          </w:tcPr>
          <w:p>
            <w:pPr>
              <w:spacing w:after="0"/>
              <w:rPr>
                <w:sz w:val="12"/>
                <w:szCs w:val="12"/>
                <w:color w:val="auto"/>
              </w:rPr>
            </w:pPr>
          </w:p>
        </w:tc>
        <w:tc>
          <w:tcPr>
            <w:tcW w:w="1120" w:type="dxa"/>
            <w:vAlign w:val="bottom"/>
          </w:tcPr>
          <w:p>
            <w:pPr>
              <w:jc w:val="center"/>
              <w:spacing w:after="0" w:line="147" w:lineRule="exact"/>
              <w:rPr>
                <w:sz w:val="20"/>
                <w:szCs w:val="20"/>
                <w:color w:val="auto"/>
              </w:rPr>
            </w:pPr>
            <w:r>
              <w:rPr>
                <w:rFonts w:ascii="Arial" w:cs="Arial" w:eastAsia="Arial" w:hAnsi="Arial"/>
                <w:sz w:val="15"/>
                <w:szCs w:val="15"/>
                <w:b w:val="1"/>
                <w:bCs w:val="1"/>
                <w:color w:val="auto"/>
                <w:w w:val="99"/>
              </w:rPr>
              <w:t>Executive</w:t>
            </w:r>
          </w:p>
        </w:tc>
        <w:tc>
          <w:tcPr>
            <w:tcW w:w="100" w:type="dxa"/>
            <w:vAlign w:val="bottom"/>
          </w:tcPr>
          <w:p>
            <w:pPr>
              <w:spacing w:after="0"/>
              <w:rPr>
                <w:sz w:val="12"/>
                <w:szCs w:val="12"/>
                <w:color w:val="auto"/>
              </w:rPr>
            </w:pPr>
          </w:p>
        </w:tc>
        <w:tc>
          <w:tcPr>
            <w:tcW w:w="1180" w:type="dxa"/>
            <w:vAlign w:val="bottom"/>
          </w:tcPr>
          <w:p>
            <w:pPr>
              <w:jc w:val="center"/>
              <w:spacing w:after="0" w:line="147" w:lineRule="exact"/>
              <w:rPr>
                <w:sz w:val="20"/>
                <w:szCs w:val="20"/>
                <w:color w:val="auto"/>
              </w:rPr>
            </w:pPr>
            <w:r>
              <w:rPr>
                <w:rFonts w:ascii="Arial" w:cs="Arial" w:eastAsia="Arial" w:hAnsi="Arial"/>
                <w:sz w:val="15"/>
                <w:szCs w:val="15"/>
                <w:b w:val="1"/>
                <w:bCs w:val="1"/>
                <w:color w:val="auto"/>
              </w:rPr>
              <w:t>Executive</w:t>
            </w:r>
          </w:p>
        </w:tc>
        <w:tc>
          <w:tcPr>
            <w:tcW w:w="1120" w:type="dxa"/>
            <w:vAlign w:val="bottom"/>
            <w:gridSpan w:val="3"/>
          </w:tcPr>
          <w:p>
            <w:pPr>
              <w:ind w:left="60"/>
              <w:spacing w:after="0" w:line="147" w:lineRule="exact"/>
              <w:rPr>
                <w:sz w:val="20"/>
                <w:szCs w:val="20"/>
                <w:color w:val="auto"/>
              </w:rPr>
            </w:pPr>
            <w:r>
              <w:rPr>
                <w:rFonts w:ascii="Arial" w:cs="Arial" w:eastAsia="Arial" w:hAnsi="Arial"/>
                <w:sz w:val="15"/>
                <w:szCs w:val="15"/>
                <w:b w:val="1"/>
                <w:bCs w:val="1"/>
                <w:color w:val="auto"/>
              </w:rPr>
              <w:t>Return (Initial</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40" w:type="dxa"/>
            <w:vAlign w:val="bottom"/>
            <w:vMerge w:val="continue"/>
          </w:tcPr>
          <w:p>
            <w:pPr>
              <w:spacing w:after="0"/>
              <w:rPr>
                <w:sz w:val="15"/>
                <w:szCs w:val="15"/>
                <w:color w:val="auto"/>
              </w:rPr>
            </w:pPr>
          </w:p>
        </w:tc>
        <w:tc>
          <w:tcPr>
            <w:tcW w:w="1060" w:type="dxa"/>
            <w:vAlign w:val="bottom"/>
          </w:tcPr>
          <w:p>
            <w:pPr>
              <w:jc w:val="center"/>
              <w:spacing w:after="0" w:line="181" w:lineRule="exact"/>
              <w:rPr>
                <w:sz w:val="20"/>
                <w:szCs w:val="20"/>
                <w:color w:val="auto"/>
              </w:rPr>
            </w:pPr>
            <w:r>
              <w:rPr>
                <w:rFonts w:ascii="Arial" w:cs="Arial" w:eastAsia="Arial" w:hAnsi="Arial"/>
                <w:sz w:val="15"/>
                <w:szCs w:val="15"/>
                <w:b w:val="1"/>
                <w:bCs w:val="1"/>
                <w:color w:val="auto"/>
                <w:w w:val="93"/>
              </w:rPr>
              <w:t>PEO</w:t>
            </w:r>
            <w:r>
              <w:rPr>
                <w:rFonts w:ascii="Arial" w:cs="Arial" w:eastAsia="Arial" w:hAnsi="Arial"/>
                <w:sz w:val="19"/>
                <w:szCs w:val="19"/>
                <w:b w:val="1"/>
                <w:bCs w:val="1"/>
                <w:color w:val="auto"/>
                <w:w w:val="93"/>
                <w:vertAlign w:val="superscript"/>
              </w:rPr>
              <w:t>(1)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105"/>
              <w:spacing w:after="0" w:line="181" w:lineRule="exact"/>
              <w:rPr>
                <w:sz w:val="20"/>
                <w:szCs w:val="20"/>
                <w:color w:val="auto"/>
              </w:rPr>
            </w:pPr>
            <w:r>
              <w:rPr>
                <w:rFonts w:ascii="Arial" w:cs="Arial" w:eastAsia="Arial" w:hAnsi="Arial"/>
                <w:sz w:val="15"/>
                <w:szCs w:val="15"/>
                <w:b w:val="1"/>
                <w:bCs w:val="1"/>
                <w:color w:val="auto"/>
                <w:w w:val="91"/>
              </w:rPr>
              <w:t>to PEO</w:t>
            </w:r>
            <w:r>
              <w:rPr>
                <w:rFonts w:ascii="Arial" w:cs="Arial" w:eastAsia="Arial" w:hAnsi="Arial"/>
                <w:sz w:val="19"/>
                <w:szCs w:val="19"/>
                <w:b w:val="1"/>
                <w:bCs w:val="1"/>
                <w:color w:val="auto"/>
                <w:w w:val="91"/>
                <w:vertAlign w:val="superscript"/>
              </w:rPr>
              <w:t>(2)</w:t>
            </w: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rPr>
              <w:t>Officers</w:t>
            </w:r>
            <w:r>
              <w:rPr>
                <w:rFonts w:ascii="Arial" w:cs="Arial" w:eastAsia="Arial" w:hAnsi="Arial"/>
                <w:sz w:val="9"/>
                <w:szCs w:val="9"/>
                <w:b w:val="1"/>
                <w:bCs w:val="1"/>
                <w:color w:val="auto"/>
              </w:rPr>
              <w:t>(3)</w:t>
            </w:r>
          </w:p>
        </w:tc>
        <w:tc>
          <w:tcPr>
            <w:tcW w:w="1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rPr>
              <w:t>Officers</w:t>
            </w:r>
            <w:r>
              <w:rPr>
                <w:rFonts w:ascii="Arial" w:cs="Arial" w:eastAsia="Arial" w:hAnsi="Arial"/>
                <w:sz w:val="9"/>
                <w:szCs w:val="9"/>
                <w:b w:val="1"/>
                <w:bCs w:val="1"/>
                <w:color w:val="auto"/>
              </w:rPr>
              <w:t>(2)</w:t>
            </w:r>
          </w:p>
        </w:tc>
        <w:tc>
          <w:tcPr>
            <w:tcW w:w="1000" w:type="dxa"/>
            <w:vAlign w:val="bottom"/>
            <w:gridSpan w:val="2"/>
          </w:tcPr>
          <w:p>
            <w:pPr>
              <w:ind w:left="60"/>
              <w:spacing w:after="0"/>
              <w:rPr>
                <w:sz w:val="20"/>
                <w:szCs w:val="20"/>
                <w:color w:val="auto"/>
              </w:rPr>
            </w:pPr>
            <w:r>
              <w:rPr>
                <w:rFonts w:ascii="Arial" w:cs="Arial" w:eastAsia="Arial" w:hAnsi="Arial"/>
                <w:sz w:val="15"/>
                <w:szCs w:val="15"/>
                <w:b w:val="1"/>
                <w:bCs w:val="1"/>
                <w:color w:val="auto"/>
                <w:w w:val="98"/>
              </w:rPr>
              <w:t>Value $100)</w:t>
            </w:r>
            <w:r>
              <w:rPr>
                <w:rFonts w:ascii="Arial" w:cs="Arial" w:eastAsia="Arial" w:hAnsi="Arial"/>
                <w:sz w:val="9"/>
                <w:szCs w:val="9"/>
                <w:b w:val="1"/>
                <w:bCs w:val="1"/>
                <w:color w:val="auto"/>
                <w:w w:val="98"/>
              </w:rPr>
              <w:t>(4)</w:t>
            </w:r>
          </w:p>
        </w:tc>
        <w:tc>
          <w:tcPr>
            <w:tcW w:w="12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8"/>
              </w:rPr>
              <w:t>Income</w:t>
            </w:r>
          </w:p>
        </w:tc>
        <w:tc>
          <w:tcPr>
            <w:tcW w:w="0" w:type="dxa"/>
            <w:vAlign w:val="bottom"/>
          </w:tcPr>
          <w:p>
            <w:pPr>
              <w:spacing w:after="0"/>
              <w:rPr>
                <w:sz w:val="1"/>
                <w:szCs w:val="1"/>
                <w:color w:val="auto"/>
              </w:rPr>
            </w:pPr>
          </w:p>
        </w:tc>
      </w:tr>
      <w:tr>
        <w:trPr>
          <w:trHeight w:val="161"/>
        </w:trPr>
        <w:tc>
          <w:tcPr>
            <w:tcW w:w="34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w w:val="95"/>
                <w:shd w:val="clear" w:color="auto" w:fill="CCEEFF"/>
              </w:rPr>
              <w:t>2022</w:t>
            </w:r>
          </w:p>
        </w:tc>
        <w:tc>
          <w:tcPr>
            <w:tcW w:w="1060" w:type="dxa"/>
            <w:vAlign w:val="bottom"/>
            <w:tcBorders>
              <w:top w:val="single" w:sz="8" w:color="auto"/>
            </w:tcBorders>
            <w:shd w:val="clear" w:color="auto" w:fill="CCEEFF"/>
          </w:tcPr>
          <w:p>
            <w:pPr>
              <w:jc w:val="center"/>
              <w:spacing w:after="0" w:line="161" w:lineRule="exact"/>
              <w:rPr>
                <w:sz w:val="20"/>
                <w:szCs w:val="20"/>
                <w:color w:val="auto"/>
              </w:rPr>
            </w:pPr>
            <w:r>
              <w:rPr>
                <w:rFonts w:ascii="Arial" w:cs="Arial" w:eastAsia="Arial" w:hAnsi="Arial"/>
                <w:sz w:val="15"/>
                <w:szCs w:val="15"/>
                <w:color w:val="auto"/>
                <w:shd w:val="clear" w:color="auto" w:fill="CCEEFF"/>
              </w:rPr>
              <w:t>​$ 2,671,439</w:t>
            </w:r>
          </w:p>
        </w:tc>
        <w:tc>
          <w:tcPr>
            <w:tcW w:w="80" w:type="dxa"/>
            <w:vAlign w:val="bottom"/>
            <w:tcBorders>
              <w:top w:val="single" w:sz="8" w:color="auto"/>
            </w:tcBorders>
            <w:shd w:val="clear" w:color="auto" w:fill="CCEEFF"/>
          </w:tcPr>
          <w:p>
            <w:pPr>
              <w:ind w:left="40"/>
              <w:spacing w:after="0" w:line="161" w:lineRule="exact"/>
              <w:rPr>
                <w:sz w:val="20"/>
                <w:szCs w:val="20"/>
                <w:color w:val="auto"/>
              </w:rPr>
            </w:pPr>
            <w:r>
              <w:rPr>
                <w:rFonts w:ascii="Arial" w:cs="Arial" w:eastAsia="Arial" w:hAnsi="Arial"/>
                <w:sz w:val="15"/>
                <w:szCs w:val="15"/>
                <w:color w:val="auto"/>
                <w:shd w:val="clear" w:color="auto" w:fill="CCEEFF"/>
              </w:rPr>
              <w:t>​</w:t>
            </w:r>
          </w:p>
        </w:tc>
        <w:tc>
          <w:tcPr>
            <w:tcW w:w="1000" w:type="dxa"/>
            <w:vAlign w:val="bottom"/>
            <w:tcBorders>
              <w:top w:val="single" w:sz="8" w:color="auto"/>
            </w:tcBorders>
            <w:gridSpan w:val="2"/>
            <w:shd w:val="clear" w:color="auto" w:fill="CCEEFF"/>
          </w:tcPr>
          <w:p>
            <w:pPr>
              <w:jc w:val="right"/>
              <w:ind w:right="5"/>
              <w:spacing w:after="0" w:line="161" w:lineRule="exact"/>
              <w:rPr>
                <w:sz w:val="20"/>
                <w:szCs w:val="20"/>
                <w:color w:val="auto"/>
              </w:rPr>
            </w:pPr>
            <w:r>
              <w:rPr>
                <w:rFonts w:ascii="Arial" w:cs="Arial" w:eastAsia="Arial" w:hAnsi="Arial"/>
                <w:sz w:val="15"/>
                <w:szCs w:val="15"/>
                <w:color w:val="auto"/>
                <w:shd w:val="clear" w:color="auto" w:fill="CCEEFF"/>
              </w:rPr>
              <w:t>​$ 1,982,879</w:t>
            </w:r>
          </w:p>
        </w:tc>
        <w:tc>
          <w:tcPr>
            <w:tcW w:w="120" w:type="dxa"/>
            <w:vAlign w:val="bottom"/>
            <w:tcBorders>
              <w:top w:val="single" w:sz="8" w:color="auto"/>
            </w:tcBorders>
            <w:shd w:val="clear" w:color="auto" w:fill="CCEEFF"/>
          </w:tcPr>
          <w:p>
            <w:pPr>
              <w:ind w:left="40"/>
              <w:spacing w:after="0" w:line="161" w:lineRule="exact"/>
              <w:rPr>
                <w:sz w:val="20"/>
                <w:szCs w:val="20"/>
                <w:color w:val="auto"/>
              </w:rPr>
            </w:pPr>
            <w:r>
              <w:rPr>
                <w:rFonts w:ascii="Arial" w:cs="Arial" w:eastAsia="Arial" w:hAnsi="Arial"/>
                <w:sz w:val="15"/>
                <w:szCs w:val="15"/>
                <w:color w:val="auto"/>
                <w:shd w:val="clear" w:color="auto" w:fill="CCEEFF"/>
              </w:rPr>
              <w:t>​</w:t>
            </w:r>
          </w:p>
        </w:tc>
        <w:tc>
          <w:tcPr>
            <w:tcW w:w="1120" w:type="dxa"/>
            <w:vAlign w:val="bottom"/>
            <w:tcBorders>
              <w:top w:val="single" w:sz="8" w:color="auto"/>
            </w:tcBorders>
            <w:shd w:val="clear" w:color="auto" w:fill="CCEEFF"/>
          </w:tcPr>
          <w:p>
            <w:pPr>
              <w:jc w:val="center"/>
              <w:spacing w:after="0" w:line="161" w:lineRule="exact"/>
              <w:rPr>
                <w:sz w:val="20"/>
                <w:szCs w:val="20"/>
                <w:color w:val="auto"/>
              </w:rPr>
            </w:pPr>
            <w:r>
              <w:rPr>
                <w:rFonts w:ascii="Arial" w:cs="Arial" w:eastAsia="Arial" w:hAnsi="Arial"/>
                <w:sz w:val="15"/>
                <w:szCs w:val="15"/>
                <w:color w:val="auto"/>
                <w:shd w:val="clear" w:color="auto" w:fill="CCEEFF"/>
              </w:rPr>
              <w:t>​$ 825,190</w:t>
            </w:r>
          </w:p>
        </w:tc>
        <w:tc>
          <w:tcPr>
            <w:tcW w:w="100" w:type="dxa"/>
            <w:vAlign w:val="bottom"/>
            <w:tcBorders>
              <w:top w:val="single" w:sz="8" w:color="auto"/>
            </w:tcBorders>
            <w:shd w:val="clear" w:color="auto" w:fill="CCEEFF"/>
          </w:tcPr>
          <w:p>
            <w:pPr>
              <w:ind w:left="60"/>
              <w:spacing w:after="0" w:line="161" w:lineRule="exact"/>
              <w:rPr>
                <w:sz w:val="20"/>
                <w:szCs w:val="20"/>
                <w:color w:val="auto"/>
              </w:rPr>
            </w:pPr>
            <w:r>
              <w:rPr>
                <w:rFonts w:ascii="Arial" w:cs="Arial" w:eastAsia="Arial" w:hAnsi="Arial"/>
                <w:sz w:val="15"/>
                <w:szCs w:val="15"/>
                <w:color w:val="auto"/>
                <w:shd w:val="clear" w:color="auto" w:fill="CCEEFF"/>
              </w:rPr>
              <w:t>​</w:t>
            </w:r>
          </w:p>
        </w:tc>
        <w:tc>
          <w:tcPr>
            <w:tcW w:w="1180" w:type="dxa"/>
            <w:vAlign w:val="bottom"/>
            <w:tcBorders>
              <w:top w:val="single" w:sz="8" w:color="auto"/>
            </w:tcBorders>
            <w:shd w:val="clear" w:color="auto" w:fill="CCEEFF"/>
          </w:tcPr>
          <w:p>
            <w:pPr>
              <w:jc w:val="center"/>
              <w:spacing w:after="0" w:line="161" w:lineRule="exact"/>
              <w:rPr>
                <w:sz w:val="20"/>
                <w:szCs w:val="20"/>
                <w:color w:val="auto"/>
              </w:rPr>
            </w:pPr>
            <w:r>
              <w:rPr>
                <w:rFonts w:ascii="Arial" w:cs="Arial" w:eastAsia="Arial" w:hAnsi="Arial"/>
                <w:sz w:val="15"/>
                <w:szCs w:val="15"/>
                <w:color w:val="auto"/>
                <w:shd w:val="clear" w:color="auto" w:fill="CCEEFF"/>
              </w:rPr>
              <w:t>​$ 638,930</w:t>
            </w:r>
          </w:p>
        </w:tc>
        <w:tc>
          <w:tcPr>
            <w:tcW w:w="160" w:type="dxa"/>
            <w:vAlign w:val="bottom"/>
            <w:tcBorders>
              <w:top w:val="single" w:sz="8" w:color="auto"/>
            </w:tcBorders>
            <w:shd w:val="clear" w:color="auto" w:fill="CCEEFF"/>
          </w:tcPr>
          <w:p>
            <w:pPr>
              <w:ind w:left="40"/>
              <w:spacing w:after="0" w:line="161" w:lineRule="exact"/>
              <w:rPr>
                <w:sz w:val="20"/>
                <w:szCs w:val="20"/>
                <w:color w:val="auto"/>
              </w:rPr>
            </w:pPr>
            <w:r>
              <w:rPr>
                <w:rFonts w:ascii="Arial" w:cs="Arial" w:eastAsia="Arial" w:hAnsi="Arial"/>
                <w:sz w:val="15"/>
                <w:szCs w:val="15"/>
                <w:color w:val="auto"/>
                <w:shd w:val="clear" w:color="auto" w:fill="CCEEFF"/>
              </w:rPr>
              <w:t>​</w:t>
            </w:r>
          </w:p>
        </w:tc>
        <w:tc>
          <w:tcPr>
            <w:tcW w:w="840" w:type="dxa"/>
            <w:vAlign w:val="bottom"/>
            <w:tcBorders>
              <w:top w:val="single" w:sz="8" w:color="auto"/>
            </w:tcBorders>
            <w:shd w:val="clear" w:color="auto" w:fill="CCEEFF"/>
          </w:tcPr>
          <w:p>
            <w:pPr>
              <w:ind w:left="80"/>
              <w:spacing w:after="0" w:line="161" w:lineRule="exact"/>
              <w:rPr>
                <w:sz w:val="20"/>
                <w:szCs w:val="20"/>
                <w:color w:val="auto"/>
              </w:rPr>
            </w:pPr>
            <w:r>
              <w:rPr>
                <w:rFonts w:ascii="Arial" w:cs="Arial" w:eastAsia="Arial" w:hAnsi="Arial"/>
                <w:sz w:val="15"/>
                <w:szCs w:val="15"/>
                <w:color w:val="auto"/>
                <w:shd w:val="clear" w:color="auto" w:fill="CCEEFF"/>
              </w:rPr>
              <w:t>​$ (15.69)</w:t>
            </w:r>
          </w:p>
        </w:tc>
        <w:tc>
          <w:tcPr>
            <w:tcW w:w="940" w:type="dxa"/>
            <w:vAlign w:val="bottom"/>
            <w:tcBorders>
              <w:top w:val="single" w:sz="8" w:color="auto"/>
            </w:tcBorders>
            <w:gridSpan w:val="2"/>
            <w:shd w:val="clear" w:color="auto" w:fill="CCEEFF"/>
          </w:tcPr>
          <w:p>
            <w:pPr>
              <w:jc w:val="center"/>
              <w:spacing w:after="0" w:line="161" w:lineRule="exact"/>
              <w:rPr>
                <w:sz w:val="20"/>
                <w:szCs w:val="20"/>
                <w:color w:val="auto"/>
              </w:rPr>
            </w:pPr>
            <w:r>
              <w:rPr>
                <w:rFonts w:ascii="Arial" w:cs="Arial" w:eastAsia="Arial" w:hAnsi="Arial"/>
                <w:sz w:val="15"/>
                <w:szCs w:val="15"/>
                <w:color w:val="auto"/>
                <w:shd w:val="clear" w:color="auto" w:fill="CCEEFF"/>
              </w:rPr>
              <w:t>​​$(53,418,000)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40" w:type="dxa"/>
            <w:vAlign w:val="bottom"/>
          </w:tcPr>
          <w:p>
            <w:pPr>
              <w:jc w:val="right"/>
              <w:spacing w:after="0"/>
              <w:rPr>
                <w:sz w:val="20"/>
                <w:szCs w:val="20"/>
                <w:color w:val="auto"/>
              </w:rPr>
            </w:pPr>
            <w:r>
              <w:rPr>
                <w:rFonts w:ascii="Arial" w:cs="Arial" w:eastAsia="Arial" w:hAnsi="Arial"/>
                <w:sz w:val="15"/>
                <w:szCs w:val="15"/>
                <w:b w:val="1"/>
                <w:bCs w:val="1"/>
                <w:color w:val="auto"/>
                <w:w w:val="95"/>
              </w:rPr>
              <w:t>2023</w:t>
            </w:r>
          </w:p>
        </w:tc>
        <w:tc>
          <w:tcPr>
            <w:tcW w:w="1060" w:type="dxa"/>
            <w:vAlign w:val="bottom"/>
          </w:tcPr>
          <w:p>
            <w:pPr>
              <w:jc w:val="center"/>
              <w:spacing w:after="0"/>
              <w:rPr>
                <w:sz w:val="20"/>
                <w:szCs w:val="20"/>
                <w:color w:val="auto"/>
              </w:rPr>
            </w:pPr>
            <w:r>
              <w:rPr>
                <w:rFonts w:ascii="Arial" w:cs="Arial" w:eastAsia="Arial" w:hAnsi="Arial"/>
                <w:sz w:val="15"/>
                <w:szCs w:val="15"/>
                <w:color w:val="auto"/>
              </w:rPr>
              <w:t>​$ 2,401,649</w:t>
            </w:r>
          </w:p>
        </w:tc>
        <w:tc>
          <w:tcPr>
            <w:tcW w:w="80" w:type="dxa"/>
            <w:vAlign w:val="bottom"/>
          </w:tcPr>
          <w:p>
            <w:pPr>
              <w:ind w:left="40"/>
              <w:spacing w:after="0"/>
              <w:rPr>
                <w:sz w:val="20"/>
                <w:szCs w:val="20"/>
                <w:color w:val="auto"/>
              </w:rPr>
            </w:pPr>
            <w:r>
              <w:rPr>
                <w:rFonts w:ascii="Arial" w:cs="Arial" w:eastAsia="Arial" w:hAnsi="Arial"/>
                <w:sz w:val="15"/>
                <w:szCs w:val="15"/>
                <w:color w:val="auto"/>
              </w:rPr>
              <w:t>​</w:t>
            </w:r>
          </w:p>
        </w:tc>
        <w:tc>
          <w:tcPr>
            <w:tcW w:w="200" w:type="dxa"/>
            <w:vAlign w:val="bottom"/>
          </w:tcPr>
          <w:p>
            <w:pPr>
              <w:ind w:left="100"/>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644,841</w:t>
            </w:r>
          </w:p>
        </w:tc>
        <w:tc>
          <w:tcPr>
            <w:tcW w:w="120" w:type="dxa"/>
            <w:vAlign w:val="bottom"/>
          </w:tcPr>
          <w:p>
            <w:pPr>
              <w:ind w:left="40"/>
              <w:spacing w:after="0"/>
              <w:rPr>
                <w:sz w:val="20"/>
                <w:szCs w:val="20"/>
                <w:color w:val="auto"/>
              </w:rPr>
            </w:pPr>
            <w:r>
              <w:rPr>
                <w:rFonts w:ascii="Arial" w:cs="Arial" w:eastAsia="Arial" w:hAnsi="Arial"/>
                <w:sz w:val="15"/>
                <w:szCs w:val="15"/>
                <w:color w:val="auto"/>
              </w:rPr>
              <w:t>​</w:t>
            </w:r>
          </w:p>
        </w:tc>
        <w:tc>
          <w:tcPr>
            <w:tcW w:w="1120" w:type="dxa"/>
            <w:vAlign w:val="bottom"/>
          </w:tcPr>
          <w:p>
            <w:pPr>
              <w:jc w:val="center"/>
              <w:spacing w:after="0"/>
              <w:rPr>
                <w:sz w:val="20"/>
                <w:szCs w:val="20"/>
                <w:color w:val="auto"/>
              </w:rPr>
            </w:pPr>
            <w:r>
              <w:rPr>
                <w:rFonts w:ascii="Arial" w:cs="Arial" w:eastAsia="Arial" w:hAnsi="Arial"/>
                <w:sz w:val="15"/>
                <w:szCs w:val="15"/>
                <w:color w:val="auto"/>
              </w:rPr>
              <w:t>​$ 791,656</w:t>
            </w:r>
          </w:p>
        </w:tc>
        <w:tc>
          <w:tcPr>
            <w:tcW w:w="100" w:type="dxa"/>
            <w:vAlign w:val="bottom"/>
          </w:tcPr>
          <w:p>
            <w:pPr>
              <w:ind w:left="60"/>
              <w:spacing w:after="0"/>
              <w:rPr>
                <w:sz w:val="20"/>
                <w:szCs w:val="20"/>
                <w:color w:val="auto"/>
              </w:rPr>
            </w:pPr>
            <w:r>
              <w:rPr>
                <w:rFonts w:ascii="Arial" w:cs="Arial" w:eastAsia="Arial" w:hAnsi="Arial"/>
                <w:sz w:val="15"/>
                <w:szCs w:val="15"/>
                <w:color w:val="auto"/>
              </w:rPr>
              <w:t>​</w:t>
            </w:r>
          </w:p>
        </w:tc>
        <w:tc>
          <w:tcPr>
            <w:tcW w:w="1180" w:type="dxa"/>
            <w:vAlign w:val="bottom"/>
          </w:tcPr>
          <w:p>
            <w:pPr>
              <w:jc w:val="center"/>
              <w:spacing w:after="0"/>
              <w:rPr>
                <w:sz w:val="20"/>
                <w:szCs w:val="20"/>
                <w:color w:val="auto"/>
              </w:rPr>
            </w:pPr>
            <w:r>
              <w:rPr>
                <w:rFonts w:ascii="Arial" w:cs="Arial" w:eastAsia="Arial" w:hAnsi="Arial"/>
                <w:sz w:val="15"/>
                <w:szCs w:val="15"/>
                <w:color w:val="auto"/>
              </w:rPr>
              <w:t>​$ 271,421</w:t>
            </w:r>
          </w:p>
        </w:tc>
        <w:tc>
          <w:tcPr>
            <w:tcW w:w="160" w:type="dxa"/>
            <w:vAlign w:val="bottom"/>
          </w:tcPr>
          <w:p>
            <w:pPr>
              <w:ind w:left="40"/>
              <w:spacing w:after="0"/>
              <w:rPr>
                <w:sz w:val="20"/>
                <w:szCs w:val="20"/>
                <w:color w:val="auto"/>
              </w:rPr>
            </w:pPr>
            <w:r>
              <w:rPr>
                <w:rFonts w:ascii="Arial" w:cs="Arial" w:eastAsia="Arial" w:hAnsi="Arial"/>
                <w:sz w:val="15"/>
                <w:szCs w:val="15"/>
                <w:color w:val="auto"/>
              </w:rPr>
              <w:t>​</w:t>
            </w:r>
          </w:p>
        </w:tc>
        <w:tc>
          <w:tcPr>
            <w:tcW w:w="840" w:type="dxa"/>
            <w:vAlign w:val="bottom"/>
          </w:tcPr>
          <w:p>
            <w:pPr>
              <w:ind w:left="80"/>
              <w:spacing w:after="0"/>
              <w:rPr>
                <w:sz w:val="20"/>
                <w:szCs w:val="20"/>
                <w:color w:val="auto"/>
              </w:rPr>
            </w:pPr>
            <w:r>
              <w:rPr>
                <w:rFonts w:ascii="Arial" w:cs="Arial" w:eastAsia="Arial" w:hAnsi="Arial"/>
                <w:sz w:val="15"/>
                <w:szCs w:val="15"/>
                <w:color w:val="auto"/>
              </w:rPr>
              <w:t>​$ (62.37)</w:t>
            </w:r>
          </w:p>
        </w:tc>
        <w:tc>
          <w:tcPr>
            <w:tcW w:w="980" w:type="dxa"/>
            <w:vAlign w:val="bottom"/>
            <w:gridSpan w:val="3"/>
          </w:tcPr>
          <w:p>
            <w:pPr>
              <w:spacing w:after="0"/>
              <w:rPr>
                <w:sz w:val="20"/>
                <w:szCs w:val="20"/>
                <w:color w:val="auto"/>
              </w:rPr>
            </w:pPr>
            <w:r>
              <w:rPr>
                <w:rFonts w:ascii="Arial" w:cs="Arial" w:eastAsia="Arial" w:hAnsi="Arial"/>
                <w:sz w:val="15"/>
                <w:szCs w:val="15"/>
                <w:color w:val="auto"/>
              </w:rPr>
              <w:t>​​$(56,290,000)</w:t>
            </w:r>
          </w:p>
        </w:tc>
        <w:tc>
          <w:tcPr>
            <w:tcW w:w="0" w:type="dxa"/>
            <w:vAlign w:val="bottom"/>
          </w:tcPr>
          <w:p>
            <w:pPr>
              <w:spacing w:after="0"/>
              <w:rPr>
                <w:sz w:val="1"/>
                <w:szCs w:val="1"/>
                <w:color w:val="auto"/>
              </w:rPr>
            </w:pPr>
          </w:p>
        </w:tc>
      </w:tr>
      <w:tr>
        <w:trPr>
          <w:trHeight w:val="181"/>
        </w:trPr>
        <w:tc>
          <w:tcPr>
            <w:tcW w:w="3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shd w:val="clear" w:color="auto" w:fill="CCEEFF"/>
              </w:rPr>
              <w:t>2024</w:t>
            </w:r>
          </w:p>
        </w:tc>
        <w:tc>
          <w:tcPr>
            <w:tcW w:w="1060" w:type="dxa"/>
            <w:vAlign w:val="bottom"/>
            <w:shd w:val="clear" w:color="auto" w:fill="CCEEFF"/>
          </w:tcPr>
          <w:p>
            <w:pPr>
              <w:jc w:val="center"/>
              <w:spacing w:after="0"/>
              <w:rPr>
                <w:sz w:val="20"/>
                <w:szCs w:val="20"/>
                <w:color w:val="auto"/>
              </w:rPr>
            </w:pPr>
            <w:r>
              <w:rPr>
                <w:rFonts w:ascii="Arial" w:cs="Arial" w:eastAsia="Arial" w:hAnsi="Arial"/>
                <w:sz w:val="15"/>
                <w:szCs w:val="15"/>
                <w:color w:val="auto"/>
                <w:shd w:val="clear" w:color="auto" w:fill="CCEEFF"/>
              </w:rPr>
              <w:t>​$ 1,874,138</w:t>
            </w:r>
          </w:p>
        </w:tc>
        <w:tc>
          <w:tcPr>
            <w:tcW w:w="80" w:type="dxa"/>
            <w:vAlign w:val="bottom"/>
            <w:shd w:val="clear" w:color="auto" w:fill="CCEEFF"/>
          </w:tcPr>
          <w:p>
            <w:pPr>
              <w:ind w:left="40"/>
              <w:spacing w:after="0"/>
              <w:rPr>
                <w:sz w:val="20"/>
                <w:szCs w:val="20"/>
                <w:color w:val="auto"/>
              </w:rPr>
            </w:pPr>
            <w:r>
              <w:rPr>
                <w:rFonts w:ascii="Arial" w:cs="Arial" w:eastAsia="Arial" w:hAnsi="Arial"/>
                <w:sz w:val="15"/>
                <w:szCs w:val="15"/>
                <w:color w:val="auto"/>
                <w:shd w:val="clear" w:color="auto" w:fill="CCEEFF"/>
              </w:rPr>
              <w:t>​</w:t>
            </w:r>
          </w:p>
        </w:tc>
        <w:tc>
          <w:tcPr>
            <w:tcW w:w="200" w:type="dxa"/>
            <w:vAlign w:val="bottom"/>
            <w:shd w:val="clear" w:color="auto" w:fill="CCEEFF"/>
          </w:tcPr>
          <w:p>
            <w:pPr>
              <w:ind w:left="100"/>
              <w:spacing w:after="0"/>
              <w:rPr>
                <w:sz w:val="20"/>
                <w:szCs w:val="20"/>
                <w:color w:val="auto"/>
              </w:rPr>
            </w:pPr>
            <w:r>
              <w:rPr>
                <w:rFonts w:ascii="Arial" w:cs="Arial" w:eastAsia="Arial" w:hAnsi="Arial"/>
                <w:sz w:val="15"/>
                <w:szCs w:val="15"/>
                <w:color w:val="auto"/>
                <w:w w:val="95"/>
                <w:shd w:val="clear" w:color="auto" w:fill="CCEEFF"/>
              </w:rPr>
              <w:t>​$</w:t>
            </w: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shd w:val="clear" w:color="auto" w:fill="CCEEFF"/>
              </w:rPr>
              <w:t>604,355</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shd w:val="clear" w:color="auto" w:fill="CCEEFF"/>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5"/>
                <w:szCs w:val="15"/>
                <w:color w:val="auto"/>
                <w:shd w:val="clear" w:color="auto" w:fill="CCEEFF"/>
              </w:rPr>
              <w:t>​$ 706,371</w:t>
            </w:r>
          </w:p>
        </w:tc>
        <w:tc>
          <w:tcPr>
            <w:tcW w:w="100" w:type="dxa"/>
            <w:vAlign w:val="bottom"/>
            <w:shd w:val="clear" w:color="auto" w:fill="CCEEFF"/>
          </w:tcPr>
          <w:p>
            <w:pPr>
              <w:ind w:left="60"/>
              <w:spacing w:after="0"/>
              <w:rPr>
                <w:sz w:val="20"/>
                <w:szCs w:val="20"/>
                <w:color w:val="auto"/>
              </w:rPr>
            </w:pPr>
            <w:r>
              <w:rPr>
                <w:rFonts w:ascii="Arial" w:cs="Arial" w:eastAsia="Arial" w:hAnsi="Arial"/>
                <w:sz w:val="15"/>
                <w:szCs w:val="15"/>
                <w:color w:val="auto"/>
                <w:shd w:val="clear" w:color="auto" w:fill="CCEEFF"/>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5"/>
                <w:szCs w:val="15"/>
                <w:color w:val="auto"/>
                <w:shd w:val="clear" w:color="auto" w:fill="CCEEFF"/>
              </w:rPr>
              <w:t>​$ 299,337</w:t>
            </w:r>
          </w:p>
        </w:tc>
        <w:tc>
          <w:tcPr>
            <w:tcW w:w="160" w:type="dxa"/>
            <w:vAlign w:val="bottom"/>
            <w:shd w:val="clear" w:color="auto" w:fill="CCEEFF"/>
          </w:tcPr>
          <w:p>
            <w:pPr>
              <w:ind w:left="40"/>
              <w:spacing w:after="0"/>
              <w:rPr>
                <w:sz w:val="20"/>
                <w:szCs w:val="20"/>
                <w:color w:val="auto"/>
              </w:rPr>
            </w:pPr>
            <w:r>
              <w:rPr>
                <w:rFonts w:ascii="Arial" w:cs="Arial" w:eastAsia="Arial" w:hAnsi="Arial"/>
                <w:sz w:val="15"/>
                <w:szCs w:val="15"/>
                <w:color w:val="auto"/>
                <w:shd w:val="clear" w:color="auto" w:fill="CCEEFF"/>
              </w:rPr>
              <w:t>​</w:t>
            </w:r>
          </w:p>
        </w:tc>
        <w:tc>
          <w:tcPr>
            <w:tcW w:w="840" w:type="dxa"/>
            <w:vAlign w:val="bottom"/>
            <w:shd w:val="clear" w:color="auto" w:fill="CCEEFF"/>
          </w:tcPr>
          <w:p>
            <w:pPr>
              <w:ind w:left="80"/>
              <w:spacing w:after="0"/>
              <w:rPr>
                <w:sz w:val="20"/>
                <w:szCs w:val="20"/>
                <w:color w:val="auto"/>
              </w:rPr>
            </w:pPr>
            <w:r>
              <w:rPr>
                <w:rFonts w:ascii="Arial" w:cs="Arial" w:eastAsia="Arial" w:hAnsi="Arial"/>
                <w:sz w:val="15"/>
                <w:szCs w:val="15"/>
                <w:color w:val="auto"/>
                <w:shd w:val="clear" w:color="auto" w:fill="CCEEFF"/>
              </w:rPr>
              <w:t>​$ (81.46)</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shd w:val="clear" w:color="auto" w:fill="CCEEFF"/>
              </w:rPr>
              <w:t>​​$(35,636,000)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360" w:hanging="295"/>
        <w:spacing w:after="0" w:line="228" w:lineRule="auto"/>
        <w:tabs>
          <w:tab w:leader="none" w:pos="1360" w:val="left"/>
        </w:tabs>
        <w:numPr>
          <w:ilvl w:val="0"/>
          <w:numId w:val="42"/>
        </w:numPr>
        <w:rPr>
          <w:rFonts w:ascii="Arial" w:cs="Arial" w:eastAsia="Arial" w:hAnsi="Arial"/>
          <w:sz w:val="23"/>
          <w:szCs w:val="23"/>
          <w:color w:val="auto"/>
          <w:vertAlign w:val="superscript"/>
        </w:rPr>
      </w:pPr>
      <w:r>
        <w:rPr>
          <w:rFonts w:ascii="Arial" w:cs="Arial" w:eastAsia="Arial" w:hAnsi="Arial"/>
          <w:sz w:val="15"/>
          <w:szCs w:val="15"/>
          <w:color w:val="auto"/>
        </w:rPr>
        <w:t>William B. Shepro was the PEO for each of 2022, 2023 and 2024.</w:t>
      </w:r>
    </w:p>
    <w:p>
      <w:pPr>
        <w:spacing w:after="0" w:line="64" w:lineRule="exact"/>
        <w:rPr>
          <w:rFonts w:ascii="Arial" w:cs="Arial" w:eastAsia="Arial" w:hAnsi="Arial"/>
          <w:sz w:val="23"/>
          <w:szCs w:val="23"/>
          <w:color w:val="auto"/>
          <w:vertAlign w:val="superscript"/>
        </w:rPr>
      </w:pPr>
    </w:p>
    <w:p>
      <w:pPr>
        <w:ind w:left="1360" w:right="1219" w:hanging="295"/>
        <w:spacing w:after="0"/>
        <w:tabs>
          <w:tab w:leader="none" w:pos="1360" w:val="left"/>
        </w:tabs>
        <w:numPr>
          <w:ilvl w:val="0"/>
          <w:numId w:val="42"/>
        </w:numPr>
        <w:rPr>
          <w:rFonts w:ascii="Arial" w:cs="Arial" w:eastAsia="Arial" w:hAnsi="Arial"/>
          <w:sz w:val="23"/>
          <w:szCs w:val="23"/>
          <w:color w:val="auto"/>
          <w:vertAlign w:val="superscript"/>
        </w:rPr>
      </w:pPr>
      <w:r>
        <w:rPr>
          <w:rFonts w:ascii="Arial" w:cs="Arial" w:eastAsia="Arial" w:hAnsi="Arial"/>
          <w:sz w:val="15"/>
          <w:szCs w:val="15"/>
          <w:color w:val="auto"/>
        </w:rPr>
        <w:t>SEC rules require certain adjustments be made to the Summary Compensation Table totals to determine Compensation Actually Paid as reported in the Pay versus Performance Table. Compensation Actually Paid does not necessarily represent cash and/or equity value transferred to the applicable named executive officer without restriction, but rather is a value calculated under applicable SEC rules. In general, Compensation Actually Paid is calculated as Summary Compensation Table total compensation adjusted to include the fair market value of equity awards as of December 31 of the applicable year or, if earlier, the vesting date (rather than the grant date).</w:t>
      </w:r>
    </w:p>
    <w:p>
      <w:pPr>
        <w:spacing w:after="0" w:line="210" w:lineRule="exact"/>
        <w:rPr>
          <w:rFonts w:ascii="Arial" w:cs="Arial" w:eastAsia="Arial" w:hAnsi="Arial"/>
          <w:sz w:val="23"/>
          <w:szCs w:val="23"/>
          <w:color w:val="auto"/>
          <w:vertAlign w:val="superscript"/>
        </w:rPr>
      </w:pPr>
    </w:p>
    <w:p>
      <w:pPr>
        <w:ind w:left="1360" w:right="1539" w:hanging="295"/>
        <w:spacing w:after="0" w:line="208" w:lineRule="auto"/>
        <w:tabs>
          <w:tab w:leader="none" w:pos="1360" w:val="left"/>
        </w:tabs>
        <w:numPr>
          <w:ilvl w:val="0"/>
          <w:numId w:val="42"/>
        </w:numPr>
        <w:rPr>
          <w:rFonts w:ascii="Arial" w:cs="Arial" w:eastAsia="Arial" w:hAnsi="Arial"/>
          <w:sz w:val="23"/>
          <w:szCs w:val="23"/>
          <w:color w:val="auto"/>
          <w:vertAlign w:val="superscript"/>
        </w:rPr>
      </w:pPr>
      <w:r>
        <w:rPr>
          <w:rFonts w:ascii="Arial" w:cs="Arial" w:eastAsia="Arial" w:hAnsi="Arial"/>
          <w:sz w:val="15"/>
          <w:szCs w:val="15"/>
          <w:color w:val="auto"/>
        </w:rPr>
        <w:t>Our non-PEO Named Executive Officers for 2022, 2023 and 2024 were Michelle D. Esterman and Gregory J. Ritts.</w:t>
      </w:r>
    </w:p>
    <w:p>
      <w:pPr>
        <w:spacing w:after="0" w:line="51" w:lineRule="exact"/>
        <w:rPr>
          <w:rFonts w:ascii="Arial" w:cs="Arial" w:eastAsia="Arial" w:hAnsi="Arial"/>
          <w:sz w:val="23"/>
          <w:szCs w:val="23"/>
          <w:color w:val="auto"/>
          <w:vertAlign w:val="superscript"/>
        </w:rPr>
      </w:pPr>
    </w:p>
    <w:p>
      <w:pPr>
        <w:ind w:left="1360" w:right="1319" w:hanging="295"/>
        <w:spacing w:after="0" w:line="220" w:lineRule="auto"/>
        <w:tabs>
          <w:tab w:leader="none" w:pos="1360" w:val="left"/>
        </w:tabs>
        <w:numPr>
          <w:ilvl w:val="0"/>
          <w:numId w:val="42"/>
        </w:numPr>
        <w:rPr>
          <w:rFonts w:ascii="Arial" w:cs="Arial" w:eastAsia="Arial" w:hAnsi="Arial"/>
          <w:sz w:val="23"/>
          <w:szCs w:val="23"/>
          <w:color w:val="auto"/>
          <w:vertAlign w:val="superscript"/>
        </w:rPr>
      </w:pPr>
      <w:r>
        <w:rPr>
          <w:rFonts w:ascii="Arial" w:cs="Arial" w:eastAsia="Arial" w:hAnsi="Arial"/>
          <w:sz w:val="15"/>
          <w:szCs w:val="15"/>
          <w:color w:val="auto"/>
        </w:rPr>
        <w:t>Total Shareholder Return is calculated based on a fixed $100 investment as of December 31 of the previous year, with the return on such investment measured as of market close on the last trading day of the year being reported.</w:t>
      </w:r>
    </w:p>
    <w:p>
      <w:pPr>
        <w:spacing w:after="0" w:line="97" w:lineRule="exact"/>
        <w:rPr>
          <w:sz w:val="20"/>
          <w:szCs w:val="20"/>
          <w:color w:val="auto"/>
        </w:rPr>
      </w:pPr>
    </w:p>
    <w:p>
      <w:pPr>
        <w:ind w:left="1060" w:right="1119"/>
        <w:spacing w:after="0" w:line="285" w:lineRule="auto"/>
        <w:rPr>
          <w:sz w:val="20"/>
          <w:szCs w:val="20"/>
          <w:color w:val="auto"/>
        </w:rPr>
      </w:pPr>
      <w:r>
        <w:rPr>
          <w:rFonts w:ascii="Arial" w:cs="Arial" w:eastAsia="Arial" w:hAnsi="Arial"/>
          <w:sz w:val="15"/>
          <w:szCs w:val="15"/>
          <w:color w:val="auto"/>
        </w:rPr>
        <w:t>The following table outlines the adjustments made to the compensation earned by our PEO and non-PEO Named Executive Officers, as presented in the Summary Compensation Table, to derive the Compensation Actually Paid to them.</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040" w:type="dxa"/>
            <w:vAlign w:val="bottom"/>
          </w:tcPr>
          <w:p>
            <w:pPr>
              <w:spacing w:after="0"/>
              <w:rPr>
                <w:sz w:val="16"/>
                <w:szCs w:val="16"/>
                <w:color w:val="auto"/>
              </w:rPr>
            </w:pPr>
          </w:p>
        </w:tc>
        <w:tc>
          <w:tcPr>
            <w:tcW w:w="4980" w:type="dxa"/>
            <w:vAlign w:val="bottom"/>
            <w:tcBorders>
              <w:bottom w:val="single" w:sz="8" w:color="auto"/>
            </w:tcBorders>
          </w:tcPr>
          <w:p>
            <w:pPr>
              <w:ind w:left="1320"/>
              <w:spacing w:after="0"/>
              <w:rPr>
                <w:sz w:val="20"/>
                <w:szCs w:val="20"/>
                <w:color w:val="auto"/>
              </w:rPr>
            </w:pPr>
            <w:r>
              <w:rPr>
                <w:rFonts w:ascii="Arial" w:cs="Arial" w:eastAsia="Arial" w:hAnsi="Arial"/>
                <w:sz w:val="15"/>
                <w:szCs w:val="15"/>
                <w:b w:val="1"/>
                <w:bCs w:val="1"/>
                <w:color w:val="auto"/>
              </w:rPr>
              <w:t>Item and Value Added (Deducted)</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2024</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rPr>
              <w:t>2023</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rPr>
              <w:t>2022</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040" w:type="dxa"/>
            <w:vAlign w:val="bottom"/>
          </w:tcPr>
          <w:p>
            <w:pPr>
              <w:spacing w:after="0"/>
              <w:rPr>
                <w:sz w:val="14"/>
                <w:szCs w:val="14"/>
                <w:color w:val="auto"/>
              </w:rPr>
            </w:pPr>
          </w:p>
        </w:tc>
        <w:tc>
          <w:tcPr>
            <w:tcW w:w="4980" w:type="dxa"/>
            <w:vAlign w:val="bottom"/>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For PEO:</w:t>
            </w:r>
          </w:p>
        </w:tc>
        <w:tc>
          <w:tcPr>
            <w:tcW w:w="180" w:type="dxa"/>
            <w:vAlign w:val="bottom"/>
            <w:gridSpan w:val="2"/>
            <w:shd w:val="clear" w:color="auto" w:fill="CCEEFF"/>
          </w:tcPr>
          <w:p>
            <w:pPr>
              <w:ind w:left="40"/>
              <w:spacing w:after="0" w:line="161" w:lineRule="exact"/>
              <w:rPr>
                <w:sz w:val="20"/>
                <w:szCs w:val="20"/>
                <w:color w:val="auto"/>
              </w:rPr>
            </w:pPr>
            <w:r>
              <w:rPr>
                <w:rFonts w:ascii="Arial" w:cs="Arial" w:eastAsia="Arial" w:hAnsi="Arial"/>
                <w:sz w:val="15"/>
                <w:szCs w:val="15"/>
                <w:b w:val="1"/>
                <w:bCs w:val="1"/>
                <w:color w:val="auto"/>
              </w:rPr>
              <w:t>​</w:t>
            </w:r>
          </w:p>
        </w:tc>
        <w:tc>
          <w:tcPr>
            <w:tcW w:w="6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66"/>
              <w:spacing w:after="0" w:line="161" w:lineRule="exact"/>
              <w:rPr>
                <w:sz w:val="20"/>
                <w:szCs w:val="20"/>
                <w:color w:val="auto"/>
              </w:rPr>
            </w:pPr>
            <w:r>
              <w:rPr>
                <w:rFonts w:ascii="Arial" w:cs="Arial" w:eastAsia="Arial" w:hAnsi="Arial"/>
                <w:sz w:val="15"/>
                <w:szCs w:val="15"/>
                <w:b w:val="1"/>
                <w:bCs w:val="1"/>
                <w:color w:val="auto"/>
              </w:rPr>
              <w:t>​</w:t>
            </w:r>
          </w:p>
        </w:tc>
        <w:tc>
          <w:tcPr>
            <w:tcW w:w="6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46"/>
              <w:spacing w:after="0" w:line="161" w:lineRule="exact"/>
              <w:rPr>
                <w:sz w:val="20"/>
                <w:szCs w:val="20"/>
                <w:color w:val="auto"/>
              </w:rPr>
            </w:pPr>
            <w:r>
              <w:rPr>
                <w:rFonts w:ascii="Arial" w:cs="Arial" w:eastAsia="Arial" w:hAnsi="Arial"/>
                <w:sz w:val="15"/>
                <w:szCs w:val="15"/>
                <w:b w:val="1"/>
                <w:bCs w:val="1"/>
                <w:color w:val="auto"/>
              </w:rPr>
              <w:t>​</w:t>
            </w:r>
          </w:p>
        </w:tc>
        <w:tc>
          <w:tcPr>
            <w:tcW w:w="660" w:type="dxa"/>
            <w:vAlign w:val="bottom"/>
            <w:shd w:val="clear" w:color="auto" w:fill="CCEEFF"/>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4980" w:type="dxa"/>
            <w:vAlign w:val="bottom"/>
          </w:tcPr>
          <w:p>
            <w:pPr>
              <w:spacing w:after="0" w:line="170" w:lineRule="exact"/>
              <w:rPr>
                <w:sz w:val="20"/>
                <w:szCs w:val="20"/>
                <w:color w:val="auto"/>
              </w:rPr>
            </w:pPr>
            <w:r>
              <w:rPr>
                <w:rFonts w:ascii="Arial" w:cs="Arial" w:eastAsia="Arial" w:hAnsi="Arial"/>
                <w:sz w:val="15"/>
                <w:szCs w:val="15"/>
                <w:color w:val="auto"/>
              </w:rPr>
              <w:t>Summary Compensation Table Total</w:t>
            </w:r>
          </w:p>
        </w:tc>
        <w:tc>
          <w:tcPr>
            <w:tcW w:w="2460" w:type="dxa"/>
            <w:vAlign w:val="bottom"/>
            <w:gridSpan w:val="9"/>
          </w:tcPr>
          <w:p>
            <w:pPr>
              <w:ind w:left="40"/>
              <w:spacing w:after="0" w:line="170" w:lineRule="exact"/>
              <w:rPr>
                <w:sz w:val="20"/>
                <w:szCs w:val="20"/>
                <w:color w:val="auto"/>
              </w:rPr>
            </w:pPr>
            <w:r>
              <w:rPr>
                <w:rFonts w:ascii="Arial" w:cs="Arial" w:eastAsia="Arial" w:hAnsi="Arial"/>
                <w:sz w:val="15"/>
                <w:szCs w:val="15"/>
                <w:color w:val="auto"/>
              </w:rPr>
              <w:t>​$1,874,138​$ 2,401,649​$ 2,671,439</w:t>
            </w:r>
          </w:p>
        </w:tc>
        <w:tc>
          <w:tcPr>
            <w:tcW w:w="500" w:type="dxa"/>
            <w:vAlign w:val="bottom"/>
            <w:vMerge w:val="restart"/>
          </w:tcPr>
          <w:p>
            <w:pPr>
              <w:jc w:val="right"/>
              <w:ind w:right="42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498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 Summary Compensation Table “Stock Awards” column value</w:t>
            </w:r>
          </w:p>
        </w:tc>
        <w:tc>
          <w:tcPr>
            <w:tcW w:w="2460" w:type="dxa"/>
            <w:vAlign w:val="bottom"/>
            <w:gridSpan w:val="9"/>
            <w:shd w:val="clear" w:color="auto" w:fill="CCEEFF"/>
          </w:tcPr>
          <w:p>
            <w:pPr>
              <w:ind w:left="40"/>
              <w:spacing w:after="0" w:line="170" w:lineRule="exact"/>
              <w:rPr>
                <w:sz w:val="20"/>
                <w:szCs w:val="20"/>
                <w:color w:val="auto"/>
              </w:rPr>
            </w:pPr>
            <w:r>
              <w:rPr>
                <w:rFonts w:ascii="Arial" w:cs="Arial" w:eastAsia="Arial" w:hAnsi="Arial"/>
                <w:sz w:val="15"/>
                <w:szCs w:val="15"/>
                <w:color w:val="auto"/>
                <w:w w:val="99"/>
              </w:rPr>
              <w:t>​$ (664,010​)$(1,185,575​)$(1,414,117</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40" w:type="dxa"/>
            <w:vAlign w:val="bottom"/>
          </w:tcPr>
          <w:p>
            <w:pPr>
              <w:spacing w:after="0"/>
              <w:rPr>
                <w:sz w:val="14"/>
                <w:szCs w:val="14"/>
                <w:color w:val="auto"/>
              </w:rPr>
            </w:pPr>
          </w:p>
        </w:tc>
        <w:tc>
          <w:tcPr>
            <w:tcW w:w="4980" w:type="dxa"/>
            <w:vAlign w:val="bottom"/>
          </w:tcPr>
          <w:p>
            <w:pPr>
              <w:spacing w:after="0" w:line="167" w:lineRule="exact"/>
              <w:rPr>
                <w:sz w:val="20"/>
                <w:szCs w:val="20"/>
                <w:color w:val="auto"/>
              </w:rPr>
            </w:pPr>
            <w:r>
              <w:rPr>
                <w:rFonts w:ascii="Arial" w:cs="Arial" w:eastAsia="Arial" w:hAnsi="Arial"/>
                <w:sz w:val="15"/>
                <w:szCs w:val="15"/>
                <w:color w:val="auto"/>
              </w:rPr>
              <w:t>+ year-end fair value of outstanding and unvested equity awards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20" w:type="dxa"/>
            <w:vAlign w:val="bottom"/>
            <w:gridSpan w:val="2"/>
          </w:tcPr>
          <w:p>
            <w:pPr>
              <w:ind w:left="1040"/>
              <w:spacing w:after="0"/>
              <w:rPr>
                <w:sz w:val="20"/>
                <w:szCs w:val="20"/>
                <w:color w:val="auto"/>
              </w:rPr>
            </w:pPr>
            <w:r>
              <w:rPr>
                <w:rFonts w:ascii="Arial" w:cs="Arial" w:eastAsia="Arial" w:hAnsi="Arial"/>
                <w:sz w:val="15"/>
                <w:szCs w:val="15"/>
                <w:color w:val="auto"/>
              </w:rPr>
              <w:t>granted in the fiscal year</w:t>
            </w:r>
          </w:p>
        </w:tc>
        <w:tc>
          <w:tcPr>
            <w:tcW w:w="18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800" w:type="dxa"/>
            <w:vAlign w:val="bottom"/>
            <w:gridSpan w:val="3"/>
          </w:tcPr>
          <w:p>
            <w:pPr>
              <w:jc w:val="right"/>
              <w:ind w:right="6"/>
              <w:spacing w:after="0"/>
              <w:rPr>
                <w:sz w:val="20"/>
                <w:szCs w:val="20"/>
                <w:color w:val="auto"/>
              </w:rPr>
            </w:pPr>
            <w:r>
              <w:rPr>
                <w:rFonts w:ascii="Arial" w:cs="Arial" w:eastAsia="Arial" w:hAnsi="Arial"/>
                <w:sz w:val="15"/>
                <w:szCs w:val="15"/>
                <w:color w:val="auto"/>
              </w:rPr>
              <w:t>171,680​$</w:t>
            </w:r>
          </w:p>
        </w:tc>
        <w:tc>
          <w:tcPr>
            <w:tcW w:w="1980" w:type="dxa"/>
            <w:vAlign w:val="bottom"/>
            <w:gridSpan w:val="5"/>
          </w:tcPr>
          <w:p>
            <w:pPr>
              <w:jc w:val="right"/>
              <w:ind w:right="462"/>
              <w:spacing w:after="0"/>
              <w:rPr>
                <w:sz w:val="20"/>
                <w:szCs w:val="20"/>
                <w:color w:val="auto"/>
              </w:rPr>
            </w:pPr>
            <w:r>
              <w:rPr>
                <w:rFonts w:ascii="Arial" w:cs="Arial" w:eastAsia="Arial" w:hAnsi="Arial"/>
                <w:sz w:val="15"/>
                <w:szCs w:val="15"/>
                <w:color w:val="auto"/>
              </w:rPr>
              <w:t>825,767​$ 1,284,961</w:t>
            </w:r>
          </w:p>
        </w:tc>
        <w:tc>
          <w:tcPr>
            <w:tcW w:w="0" w:type="dxa"/>
            <w:vAlign w:val="bottom"/>
          </w:tcPr>
          <w:p>
            <w:pPr>
              <w:spacing w:after="0"/>
              <w:rPr>
                <w:sz w:val="1"/>
                <w:szCs w:val="1"/>
                <w:color w:val="auto"/>
              </w:rPr>
            </w:pPr>
          </w:p>
        </w:tc>
      </w:tr>
      <w:tr>
        <w:trPr>
          <w:trHeight w:val="166"/>
        </w:trPr>
        <w:tc>
          <w:tcPr>
            <w:tcW w:w="1040" w:type="dxa"/>
            <w:vAlign w:val="bottom"/>
          </w:tcPr>
          <w:p>
            <w:pPr>
              <w:spacing w:after="0"/>
              <w:rPr>
                <w:sz w:val="14"/>
                <w:szCs w:val="14"/>
                <w:color w:val="auto"/>
              </w:rPr>
            </w:pPr>
          </w:p>
        </w:tc>
        <w:tc>
          <w:tcPr>
            <w:tcW w:w="498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 change in fair value of outstanding and unvested equity awards</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granted in prior years</w:t>
            </w:r>
          </w:p>
        </w:tc>
        <w:tc>
          <w:tcPr>
            <w:tcW w:w="980" w:type="dxa"/>
            <w:vAlign w:val="bottom"/>
            <w:gridSpan w:val="5"/>
            <w:shd w:val="clear" w:color="auto" w:fill="CCEEFF"/>
          </w:tcPr>
          <w:p>
            <w:pPr>
              <w:ind w:left="40"/>
              <w:spacing w:after="0"/>
              <w:rPr>
                <w:sz w:val="20"/>
                <w:szCs w:val="20"/>
                <w:color w:val="auto"/>
              </w:rPr>
            </w:pPr>
            <w:r>
              <w:rPr>
                <w:rFonts w:ascii="Arial" w:cs="Arial" w:eastAsia="Arial" w:hAnsi="Arial"/>
                <w:sz w:val="15"/>
                <w:szCs w:val="15"/>
                <w:color w:val="auto"/>
              </w:rPr>
              <w:t>​$ (597,645​)$</w:t>
            </w:r>
          </w:p>
        </w:tc>
        <w:tc>
          <w:tcPr>
            <w:tcW w:w="820" w:type="dxa"/>
            <w:vAlign w:val="bottom"/>
            <w:gridSpan w:val="3"/>
            <w:shd w:val="clear" w:color="auto" w:fill="CCEEFF"/>
          </w:tcPr>
          <w:p>
            <w:pPr>
              <w:jc w:val="right"/>
              <w:ind w:right="6"/>
              <w:spacing w:after="0"/>
              <w:rPr>
                <w:sz w:val="20"/>
                <w:szCs w:val="20"/>
                <w:color w:val="auto"/>
              </w:rPr>
            </w:pPr>
            <w:r>
              <w:rPr>
                <w:rFonts w:ascii="Arial" w:cs="Arial" w:eastAsia="Arial" w:hAnsi="Arial"/>
                <w:sz w:val="15"/>
                <w:szCs w:val="15"/>
                <w:color w:val="auto"/>
              </w:rPr>
              <w:t>(865,194​)$</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(198,831)</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040" w:type="dxa"/>
            <w:vAlign w:val="bottom"/>
          </w:tcPr>
          <w:p>
            <w:pPr>
              <w:spacing w:after="0"/>
              <w:rPr>
                <w:sz w:val="14"/>
                <w:szCs w:val="14"/>
                <w:color w:val="auto"/>
              </w:rPr>
            </w:pPr>
          </w:p>
        </w:tc>
        <w:tc>
          <w:tcPr>
            <w:tcW w:w="4980" w:type="dxa"/>
            <w:vAlign w:val="bottom"/>
          </w:tcPr>
          <w:p>
            <w:pPr>
              <w:spacing w:after="0" w:line="170" w:lineRule="exact"/>
              <w:rPr>
                <w:sz w:val="20"/>
                <w:szCs w:val="20"/>
                <w:color w:val="auto"/>
              </w:rPr>
            </w:pPr>
            <w:r>
              <w:rPr>
                <w:rFonts w:ascii="Arial" w:cs="Arial" w:eastAsia="Arial" w:hAnsi="Arial"/>
                <w:sz w:val="15"/>
                <w:szCs w:val="15"/>
                <w:color w:val="auto"/>
              </w:rPr>
              <w:t>+ vest date fair value of equity awards granted in the covered year</w:t>
            </w:r>
          </w:p>
        </w:tc>
        <w:tc>
          <w:tcPr>
            <w:tcW w:w="180" w:type="dxa"/>
            <w:vAlign w:val="bottom"/>
            <w:gridSpan w:val="2"/>
          </w:tcPr>
          <w:p>
            <w:pPr>
              <w:ind w:left="40"/>
              <w:spacing w:after="0" w:line="170" w:lineRule="exact"/>
              <w:rPr>
                <w:sz w:val="20"/>
                <w:szCs w:val="20"/>
                <w:color w:val="auto"/>
              </w:rPr>
            </w:pPr>
            <w:r>
              <w:rPr>
                <w:rFonts w:ascii="Arial" w:cs="Arial" w:eastAsia="Arial" w:hAnsi="Arial"/>
                <w:sz w:val="15"/>
                <w:szCs w:val="15"/>
                <w:color w:val="auto"/>
              </w:rPr>
              <w:t>​</w:t>
            </w:r>
          </w:p>
        </w:tc>
        <w:tc>
          <w:tcPr>
            <w:tcW w:w="800" w:type="dxa"/>
            <w:vAlign w:val="bottom"/>
            <w:gridSpan w:val="3"/>
          </w:tcPr>
          <w:p>
            <w:pPr>
              <w:jc w:val="right"/>
              <w:ind w:right="66"/>
              <w:spacing w:after="0" w:line="170" w:lineRule="exact"/>
              <w:rPr>
                <w:sz w:val="20"/>
                <w:szCs w:val="20"/>
                <w:color w:val="auto"/>
              </w:rPr>
            </w:pPr>
            <w:r>
              <w:rPr>
                <w:rFonts w:ascii="Arial" w:cs="Arial" w:eastAsia="Arial" w:hAnsi="Arial"/>
                <w:sz w:val="15"/>
                <w:szCs w:val="15"/>
                <w:color w:val="auto"/>
              </w:rPr>
              <w:t>—​</w:t>
            </w:r>
          </w:p>
        </w:tc>
        <w:tc>
          <w:tcPr>
            <w:tcW w:w="820" w:type="dxa"/>
            <w:vAlign w:val="bottom"/>
            <w:gridSpan w:val="3"/>
          </w:tcPr>
          <w:p>
            <w:pPr>
              <w:jc w:val="right"/>
              <w:ind w:right="46"/>
              <w:spacing w:after="0" w:line="170" w:lineRule="exact"/>
              <w:rPr>
                <w:sz w:val="20"/>
                <w:szCs w:val="20"/>
                <w:color w:val="auto"/>
              </w:rPr>
            </w:pPr>
            <w:r>
              <w:rPr>
                <w:rFonts w:ascii="Arial" w:cs="Arial" w:eastAsia="Arial" w:hAnsi="Arial"/>
                <w:sz w:val="15"/>
                <w:szCs w:val="15"/>
                <w:color w:val="auto"/>
              </w:rPr>
              <w:t>—​</w:t>
            </w:r>
          </w:p>
        </w:tc>
        <w:tc>
          <w:tcPr>
            <w:tcW w:w="66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40" w:type="dxa"/>
            <w:vAlign w:val="bottom"/>
          </w:tcPr>
          <w:p>
            <w:pPr>
              <w:spacing w:after="0"/>
              <w:rPr>
                <w:sz w:val="14"/>
                <w:szCs w:val="14"/>
                <w:color w:val="auto"/>
              </w:rPr>
            </w:pPr>
          </w:p>
        </w:tc>
        <w:tc>
          <w:tcPr>
            <w:tcW w:w="498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 change in fair value of prior-year equity awards vested in the</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fiscal year</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00" w:type="dxa"/>
            <w:vAlign w:val="bottom"/>
            <w:gridSpan w:val="3"/>
            <w:shd w:val="clear" w:color="auto" w:fill="CCEEFF"/>
          </w:tcPr>
          <w:p>
            <w:pPr>
              <w:jc w:val="right"/>
              <w:ind w:right="6"/>
              <w:spacing w:after="0"/>
              <w:rPr>
                <w:sz w:val="20"/>
                <w:szCs w:val="20"/>
                <w:color w:val="auto"/>
              </w:rPr>
            </w:pPr>
            <w:r>
              <w:rPr>
                <w:rFonts w:ascii="Arial" w:cs="Arial" w:eastAsia="Arial" w:hAnsi="Arial"/>
                <w:sz w:val="15"/>
                <w:szCs w:val="15"/>
                <w:color w:val="auto"/>
                <w:w w:val="99"/>
              </w:rPr>
              <w:t>(151,192​)$</w:t>
            </w:r>
          </w:p>
        </w:tc>
        <w:tc>
          <w:tcPr>
            <w:tcW w:w="820" w:type="dxa"/>
            <w:vAlign w:val="bottom"/>
            <w:gridSpan w:val="3"/>
            <w:shd w:val="clear" w:color="auto" w:fill="CCEEFF"/>
          </w:tcPr>
          <w:p>
            <w:pPr>
              <w:jc w:val="right"/>
              <w:ind w:right="6"/>
              <w:spacing w:after="0"/>
              <w:rPr>
                <w:sz w:val="20"/>
                <w:szCs w:val="20"/>
                <w:color w:val="auto"/>
              </w:rPr>
            </w:pPr>
            <w:r>
              <w:rPr>
                <w:rFonts w:ascii="Arial" w:cs="Arial" w:eastAsia="Arial" w:hAnsi="Arial"/>
                <w:sz w:val="15"/>
                <w:szCs w:val="15"/>
                <w:color w:val="auto"/>
              </w:rPr>
              <w:t>(336,571​)$</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17,305</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40" w:type="dxa"/>
            <w:vAlign w:val="bottom"/>
          </w:tcPr>
          <w:p>
            <w:pPr>
              <w:spacing w:after="0"/>
              <w:rPr>
                <w:sz w:val="14"/>
                <w:szCs w:val="14"/>
                <w:color w:val="auto"/>
              </w:rPr>
            </w:pPr>
          </w:p>
        </w:tc>
        <w:tc>
          <w:tcPr>
            <w:tcW w:w="4980" w:type="dxa"/>
            <w:vAlign w:val="bottom"/>
          </w:tcPr>
          <w:p>
            <w:pPr>
              <w:spacing w:after="0" w:line="167" w:lineRule="exact"/>
              <w:rPr>
                <w:sz w:val="20"/>
                <w:szCs w:val="20"/>
                <w:color w:val="auto"/>
              </w:rPr>
            </w:pPr>
            <w:r>
              <w:rPr>
                <w:rFonts w:ascii="Arial" w:cs="Arial" w:eastAsia="Arial" w:hAnsi="Arial"/>
                <w:sz w:val="15"/>
                <w:szCs w:val="15"/>
                <w:color w:val="auto"/>
              </w:rPr>
              <w:t>- fair value at the end of prior year of awards granted in prior years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20" w:type="dxa"/>
            <w:vAlign w:val="bottom"/>
            <w:gridSpan w:val="2"/>
          </w:tcPr>
          <w:p>
            <w:pPr>
              <w:ind w:left="1040"/>
              <w:spacing w:after="0"/>
              <w:rPr>
                <w:sz w:val="20"/>
                <w:szCs w:val="20"/>
                <w:color w:val="auto"/>
              </w:rPr>
            </w:pPr>
            <w:r>
              <w:rPr>
                <w:rFonts w:ascii="Arial" w:cs="Arial" w:eastAsia="Arial" w:hAnsi="Arial"/>
                <w:sz w:val="15"/>
                <w:szCs w:val="15"/>
                <w:color w:val="auto"/>
              </w:rPr>
              <w:t>that fail to meet vesting conditions</w:t>
            </w:r>
          </w:p>
        </w:tc>
        <w:tc>
          <w:tcPr>
            <w:tcW w:w="180" w:type="dxa"/>
            <w:vAlign w:val="bottom"/>
            <w:gridSpan w:val="2"/>
          </w:tcPr>
          <w:p>
            <w:pPr>
              <w:ind w:left="4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w:t>
            </w:r>
          </w:p>
        </w:tc>
        <w:tc>
          <w:tcPr>
            <w:tcW w:w="800" w:type="dxa"/>
            <w:vAlign w:val="bottom"/>
            <w:gridSpan w:val="3"/>
          </w:tcPr>
          <w:p>
            <w:pPr>
              <w:jc w:val="right"/>
              <w:ind w:right="6"/>
              <w:spacing w:after="0"/>
              <w:rPr>
                <w:sz w:val="20"/>
                <w:szCs w:val="20"/>
                <w:color w:val="auto"/>
              </w:rPr>
            </w:pPr>
            <w:r>
              <w:rPr>
                <w:rFonts w:ascii="Arial" w:cs="Arial" w:eastAsia="Arial" w:hAnsi="Arial"/>
                <w:sz w:val="15"/>
                <w:szCs w:val="15"/>
                <w:color w:val="auto"/>
              </w:rPr>
              <w:t>(28,615​)$</w:t>
            </w:r>
          </w:p>
        </w:tc>
        <w:tc>
          <w:tcPr>
            <w:tcW w:w="820" w:type="dxa"/>
            <w:vAlign w:val="bottom"/>
            <w:gridSpan w:val="3"/>
          </w:tcPr>
          <w:p>
            <w:pPr>
              <w:jc w:val="right"/>
              <w:ind w:right="6"/>
              <w:spacing w:after="0"/>
              <w:rPr>
                <w:sz w:val="20"/>
                <w:szCs w:val="20"/>
                <w:color w:val="auto"/>
              </w:rPr>
            </w:pPr>
            <w:r>
              <w:rPr>
                <w:rFonts w:ascii="Arial" w:cs="Arial" w:eastAsia="Arial" w:hAnsi="Arial"/>
                <w:sz w:val="15"/>
                <w:szCs w:val="15"/>
                <w:color w:val="auto"/>
              </w:rPr>
              <w:t>(195,235​)$</w:t>
            </w:r>
          </w:p>
        </w:tc>
        <w:tc>
          <w:tcPr>
            <w:tcW w:w="1160" w:type="dxa"/>
            <w:vAlign w:val="bottom"/>
            <w:gridSpan w:val="2"/>
          </w:tcPr>
          <w:p>
            <w:pPr>
              <w:jc w:val="right"/>
              <w:ind w:right="422"/>
              <w:spacing w:after="0"/>
              <w:rPr>
                <w:sz w:val="20"/>
                <w:szCs w:val="20"/>
                <w:color w:val="auto"/>
              </w:rPr>
            </w:pPr>
            <w:r>
              <w:rPr>
                <w:rFonts w:ascii="Arial" w:cs="Arial" w:eastAsia="Arial" w:hAnsi="Arial"/>
                <w:sz w:val="15"/>
                <w:szCs w:val="15"/>
                <w:color w:val="auto"/>
              </w:rPr>
              <w:t>(377,878)</w:t>
            </w:r>
          </w:p>
        </w:tc>
        <w:tc>
          <w:tcPr>
            <w:tcW w:w="0" w:type="dxa"/>
            <w:vAlign w:val="bottom"/>
          </w:tcPr>
          <w:p>
            <w:pPr>
              <w:spacing w:after="0"/>
              <w:rPr>
                <w:sz w:val="1"/>
                <w:szCs w:val="1"/>
                <w:color w:val="auto"/>
              </w:rPr>
            </w:pPr>
          </w:p>
        </w:tc>
      </w:tr>
      <w:tr>
        <w:trPr>
          <w:trHeight w:val="197"/>
        </w:trPr>
        <w:tc>
          <w:tcPr>
            <w:tcW w:w="1040" w:type="dxa"/>
            <w:vAlign w:val="bottom"/>
          </w:tcPr>
          <w:p>
            <w:pPr>
              <w:spacing w:after="0"/>
              <w:rPr>
                <w:sz w:val="16"/>
                <w:szCs w:val="16"/>
                <w:color w:val="auto"/>
              </w:rPr>
            </w:pPr>
          </w:p>
        </w:tc>
        <w:tc>
          <w:tcPr>
            <w:tcW w:w="4980" w:type="dxa"/>
            <w:vAlign w:val="bottom"/>
            <w:tcBorders>
              <w:top w:val="single" w:sz="8" w:color="CCEEFF"/>
              <w:bottom w:val="single" w:sz="8" w:color="CCEEFF"/>
            </w:tcBorders>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Compensation Actually Paid</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line="161"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8"/>
                <w:szCs w:val="18"/>
                <w:b w:val="1"/>
                <w:bCs w:val="1"/>
                <w:color w:val="auto"/>
                <w:vertAlign w:val="superscript"/>
              </w:rPr>
              <w:t>$</w:t>
            </w:r>
          </w:p>
        </w:tc>
        <w:tc>
          <w:tcPr>
            <w:tcW w:w="640" w:type="dxa"/>
            <w:vAlign w:val="bottom"/>
            <w:tcBorders>
              <w:top w:val="single" w:sz="8" w:color="auto"/>
              <w:bottom w:val="single" w:sz="8" w:color="auto"/>
            </w:tcBorders>
            <w:shd w:val="clear" w:color="auto" w:fill="CCEEFF"/>
          </w:tcPr>
          <w:p>
            <w:pPr>
              <w:ind w:left="100"/>
              <w:spacing w:after="0" w:line="161" w:lineRule="exact"/>
              <w:rPr>
                <w:sz w:val="20"/>
                <w:szCs w:val="20"/>
                <w:color w:val="auto"/>
              </w:rPr>
            </w:pPr>
            <w:r>
              <w:rPr>
                <w:rFonts w:ascii="Arial" w:cs="Arial" w:eastAsia="Arial" w:hAnsi="Arial"/>
                <w:sz w:val="15"/>
                <w:szCs w:val="15"/>
                <w:b w:val="1"/>
                <w:bCs w:val="1"/>
                <w:color w:val="auto"/>
                <w:w w:val="95"/>
              </w:rPr>
              <w:t>604,355</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6"/>
              <w:spacing w:after="0" w:line="161" w:lineRule="exact"/>
              <w:rPr>
                <w:sz w:val="20"/>
                <w:szCs w:val="20"/>
                <w:color w:val="auto"/>
              </w:rPr>
            </w:pPr>
            <w:r>
              <w:rPr>
                <w:rFonts w:ascii="Arial" w:cs="Arial" w:eastAsia="Arial" w:hAnsi="Arial"/>
                <w:sz w:val="11"/>
                <w:szCs w:val="11"/>
                <w:b w:val="1"/>
                <w:bCs w:val="1"/>
                <w:color w:val="auto"/>
                <w:w w:val="89"/>
              </w:rPr>
              <w:t>​</w:t>
            </w:r>
            <w:r>
              <w:rPr>
                <w:rFonts w:ascii="Arial" w:cs="Arial" w:eastAsia="Arial" w:hAnsi="Arial"/>
                <w:sz w:val="18"/>
                <w:szCs w:val="18"/>
                <w:b w:val="1"/>
                <w:bCs w:val="1"/>
                <w:color w:val="auto"/>
                <w:w w:val="89"/>
                <w:vertAlign w:val="superscript"/>
              </w:rPr>
              <w:t>$</w:t>
            </w:r>
          </w:p>
        </w:tc>
        <w:tc>
          <w:tcPr>
            <w:tcW w:w="660" w:type="dxa"/>
            <w:vAlign w:val="bottom"/>
            <w:tcBorders>
              <w:top w:val="single" w:sz="8" w:color="auto"/>
              <w:bottom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b w:val="1"/>
                <w:bCs w:val="1"/>
                <w:color w:val="auto"/>
              </w:rPr>
              <w:t>644,841</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gridSpan w:val="2"/>
            <w:shd w:val="clear" w:color="auto" w:fill="CCEEFF"/>
          </w:tcPr>
          <w:p>
            <w:pPr>
              <w:jc w:val="right"/>
              <w:spacing w:after="0" w:line="161"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11"/>
                <w:szCs w:val="11"/>
                <w:b w:val="1"/>
                <w:bCs w:val="1"/>
                <w:color w:val="auto"/>
              </w:rPr>
              <w:t>$ 1,982,879</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line="20" w:lineRule="exact"/>
              <w:rPr>
                <w:sz w:val="1"/>
                <w:szCs w:val="1"/>
                <w:color w:val="auto"/>
              </w:rPr>
            </w:pPr>
          </w:p>
        </w:tc>
        <w:tc>
          <w:tcPr>
            <w:tcW w:w="4980" w:type="dxa"/>
            <w:vAlign w:val="bottom"/>
            <w:tcBorders>
              <w:top w:val="single" w:sz="8" w:color="CCEEFF"/>
              <w:bottom w:val="single" w:sz="8" w:color="CCEEFF"/>
            </w:tcBorders>
            <w:vMerge w:val="restart"/>
          </w:tcPr>
          <w:p>
            <w:pPr>
              <w:ind w:left="3360"/>
              <w:spacing w:after="0"/>
              <w:rPr>
                <w:sz w:val="20"/>
                <w:szCs w:val="20"/>
                <w:color w:val="auto"/>
              </w:rPr>
            </w:pPr>
            <w:r>
              <w:rPr>
                <w:rFonts w:ascii="Arial" w:cs="Arial" w:eastAsia="Arial" w:hAnsi="Arial"/>
                <w:sz w:val="15"/>
                <w:szCs w:val="15"/>
                <w:color w:val="auto"/>
              </w:rPr>
              <w:t>41</w:t>
            </w: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1040" w:type="dxa"/>
            <w:vAlign w:val="bottom"/>
            <w:vMerge w:val="continue"/>
          </w:tcPr>
          <w:p>
            <w:pPr>
              <w:spacing w:after="0"/>
              <w:rPr>
                <w:sz w:val="24"/>
                <w:szCs w:val="24"/>
                <w:color w:val="auto"/>
              </w:rPr>
            </w:pPr>
          </w:p>
        </w:tc>
        <w:tc>
          <w:tcPr>
            <w:tcW w:w="49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04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-818515</wp:posOffset>
            </wp:positionV>
            <wp:extent cx="420941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209415" cy="6985"/>
                    </a:xfrm>
                    <a:prstGeom prst="rect">
                      <a:avLst/>
                    </a:prstGeom>
                    <a:noFill/>
                  </pic:spPr>
                </pic:pic>
              </a:graphicData>
            </a:graphic>
          </wp:anchor>
        </w:drawing>
        <w:drawing>
          <wp:anchor simplePos="0" relativeHeight="251657728" behindDoc="1" locked="0" layoutInCell="0" allowOverlap="1">
            <wp:simplePos x="0" y="0"/>
            <wp:positionH relativeFrom="column">
              <wp:posOffset>5692140</wp:posOffset>
            </wp:positionH>
            <wp:positionV relativeFrom="paragraph">
              <wp:posOffset>-26670</wp:posOffset>
            </wp:positionV>
            <wp:extent cx="32385" cy="400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-26670</wp:posOffset>
            </wp:positionV>
            <wp:extent cx="32385" cy="400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2" w:name="page43"/>
    <w:bookmarkEnd w:id="42"/>
    <w:p>
      <w:pPr>
        <w:ind w:left="20"/>
        <w:spacing w:after="0"/>
        <w:rPr>
          <w:sz w:val="20"/>
          <w:szCs w:val="20"/>
          <w:color w:val="auto"/>
        </w:rPr>
      </w:pPr>
      <w:r>
        <w:rPr>
          <w:rFonts w:ascii="Calibri" w:cs="Calibri" w:eastAsia="Calibri" w:hAnsi="Calibri"/>
          <w:sz w:val="12"/>
          <w:szCs w:val="12"/>
          <w:color w:val="003366"/>
        </w:rPr>
        <w:t>TABLE OF CONTENTS</w:t>
      </w:r>
    </w:p>
    <w:p>
      <w:pPr>
        <w:spacing w:after="0" w:line="270" w:lineRule="exact"/>
        <w:rPr>
          <w:sz w:val="20"/>
          <w:szCs w:val="20"/>
          <w:color w:val="auto"/>
        </w:rPr>
      </w:pPr>
    </w:p>
    <w:tbl>
      <w:tblPr>
        <w:tblLayout w:type="fixed"/>
        <w:tblInd w:w="1060" w:type="dxa"/>
        <w:tblCellMar>
          <w:top w:w="0" w:type="dxa"/>
          <w:left w:w="0" w:type="dxa"/>
          <w:bottom w:w="0" w:type="dxa"/>
          <w:right w:w="0" w:type="dxa"/>
        </w:tblCellMar>
      </w:tblPr>
      <w:tr>
        <w:trPr>
          <w:trHeight w:val="129"/>
        </w:trPr>
        <w:tc>
          <w:tcPr>
            <w:tcW w:w="4760" w:type="dxa"/>
            <w:vAlign w:val="bottom"/>
          </w:tcPr>
          <w:p>
            <w:pPr>
              <w:spacing w:after="0"/>
              <w:rPr>
                <w:sz w:val="11"/>
                <w:szCs w:val="11"/>
                <w:color w:val="auto"/>
              </w:rPr>
            </w:pPr>
          </w:p>
        </w:tc>
        <w:tc>
          <w:tcPr>
            <w:tcW w:w="2220" w:type="dxa"/>
            <w:vAlign w:val="bottom"/>
            <w:gridSpan w:val="10"/>
            <w:vMerge w:val="restart"/>
          </w:tcPr>
          <w:p>
            <w:pPr>
              <w:jc w:val="right"/>
              <w:ind w:right="60"/>
              <w:spacing w:after="0"/>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EXECUTIVE COMPENSATION  </w:t>
            </w:r>
            <w:r>
              <w:rPr>
                <w:rFonts w:ascii="Arial" w:cs="Arial" w:eastAsia="Arial" w:hAnsi="Arial"/>
                <w:sz w:val="27"/>
                <w:szCs w:val="27"/>
                <w:b w:val="1"/>
                <w:bCs w:val="1"/>
                <w:color w:val="314F60"/>
                <w:vertAlign w:val="superscript"/>
              </w:rPr>
              <w:t>​</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760" w:type="dxa"/>
            <w:vAlign w:val="bottom"/>
            <w:tcBorders>
              <w:right w:val="single" w:sz="8" w:color="75FF00"/>
            </w:tcBorders>
          </w:tcPr>
          <w:p>
            <w:pPr>
              <w:spacing w:after="0"/>
              <w:rPr>
                <w:sz w:val="15"/>
                <w:szCs w:val="15"/>
                <w:color w:val="auto"/>
              </w:rPr>
            </w:pPr>
          </w:p>
        </w:tc>
        <w:tc>
          <w:tcPr>
            <w:tcW w:w="2220" w:type="dxa"/>
            <w:vAlign w:val="bottom"/>
            <w:gridSpan w:val="10"/>
            <w:vMerge w:val="continue"/>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6"/>
        </w:trPr>
        <w:tc>
          <w:tcPr>
            <w:tcW w:w="4760" w:type="dxa"/>
            <w:vAlign w:val="bottom"/>
            <w:tcBorders>
              <w:bottom w:val="single" w:sz="8" w:color="auto"/>
            </w:tcBorders>
          </w:tcPr>
          <w:p>
            <w:pPr>
              <w:ind w:left="1520"/>
              <w:spacing w:after="0"/>
              <w:rPr>
                <w:sz w:val="20"/>
                <w:szCs w:val="20"/>
                <w:color w:val="auto"/>
              </w:rPr>
            </w:pPr>
            <w:r>
              <w:rPr>
                <w:rFonts w:ascii="Arial" w:cs="Arial" w:eastAsia="Arial" w:hAnsi="Arial"/>
                <w:sz w:val="15"/>
                <w:szCs w:val="15"/>
                <w:b w:val="1"/>
                <w:bCs w:val="1"/>
                <w:color w:val="auto"/>
              </w:rPr>
              <w:t>Item and Value Added (Deducted)</w:t>
            </w:r>
          </w:p>
        </w:tc>
        <w:tc>
          <w:tcPr>
            <w:tcW w:w="640" w:type="dxa"/>
            <w:vAlign w:val="bottom"/>
            <w:tcBorders>
              <w:top w:val="single" w:sz="8" w:color="75FF00"/>
              <w:bottom w:val="single" w:sz="8" w:color="auto"/>
            </w:tcBorders>
          </w:tcPr>
          <w:p>
            <w:pPr>
              <w:spacing w:after="0"/>
              <w:rPr>
                <w:sz w:val="24"/>
                <w:szCs w:val="24"/>
                <w:color w:val="auto"/>
              </w:rPr>
            </w:pPr>
          </w:p>
        </w:tc>
        <w:tc>
          <w:tcPr>
            <w:tcW w:w="40" w:type="dxa"/>
            <w:vAlign w:val="bottom"/>
            <w:tcBorders>
              <w:top w:val="single" w:sz="8" w:color="75FF00"/>
              <w:bottom w:val="single" w:sz="8" w:color="auto"/>
            </w:tcBorders>
          </w:tcPr>
          <w:p>
            <w:pPr>
              <w:spacing w:after="0"/>
              <w:rPr>
                <w:sz w:val="24"/>
                <w:szCs w:val="24"/>
                <w:color w:val="auto"/>
              </w:rPr>
            </w:pPr>
          </w:p>
        </w:tc>
        <w:tc>
          <w:tcPr>
            <w:tcW w:w="140" w:type="dxa"/>
            <w:vAlign w:val="bottom"/>
            <w:tcBorders>
              <w:top w:val="single" w:sz="8" w:color="75FF00"/>
              <w:bottom w:val="single" w:sz="8" w:color="auto"/>
            </w:tcBorders>
          </w:tcPr>
          <w:p>
            <w:pPr>
              <w:spacing w:after="0"/>
              <w:rPr>
                <w:sz w:val="24"/>
                <w:szCs w:val="24"/>
                <w:color w:val="auto"/>
              </w:rPr>
            </w:pPr>
          </w:p>
        </w:tc>
        <w:tc>
          <w:tcPr>
            <w:tcW w:w="560" w:type="dxa"/>
            <w:vAlign w:val="bottom"/>
            <w:tcBorders>
              <w:top w:val="single" w:sz="8" w:color="75FF00"/>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2024</w:t>
            </w:r>
          </w:p>
        </w:tc>
        <w:tc>
          <w:tcPr>
            <w:tcW w:w="20" w:type="dxa"/>
            <w:vAlign w:val="bottom"/>
            <w:tcBorders>
              <w:top w:val="single" w:sz="8" w:color="75FF00"/>
              <w:bottom w:val="single" w:sz="8" w:color="auto"/>
            </w:tcBorders>
          </w:tcPr>
          <w:p>
            <w:pPr>
              <w:spacing w:after="0"/>
              <w:rPr>
                <w:sz w:val="24"/>
                <w:szCs w:val="24"/>
                <w:color w:val="auto"/>
              </w:rPr>
            </w:pPr>
          </w:p>
        </w:tc>
        <w:tc>
          <w:tcPr>
            <w:tcW w:w="120" w:type="dxa"/>
            <w:vAlign w:val="bottom"/>
            <w:tcBorders>
              <w:top w:val="single" w:sz="8" w:color="75FF00"/>
              <w:bottom w:val="single" w:sz="8" w:color="auto"/>
            </w:tcBorders>
          </w:tcPr>
          <w:p>
            <w:pPr>
              <w:spacing w:after="0"/>
              <w:rPr>
                <w:sz w:val="24"/>
                <w:szCs w:val="24"/>
                <w:color w:val="auto"/>
              </w:rPr>
            </w:pPr>
          </w:p>
        </w:tc>
        <w:tc>
          <w:tcPr>
            <w:tcW w:w="560" w:type="dxa"/>
            <w:vAlign w:val="bottom"/>
            <w:tcBorders>
              <w:top w:val="single" w:sz="8" w:color="75FF00"/>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2023</w:t>
            </w:r>
          </w:p>
        </w:tc>
        <w:tc>
          <w:tcPr>
            <w:tcW w:w="20" w:type="dxa"/>
            <w:vAlign w:val="bottom"/>
            <w:tcBorders>
              <w:top w:val="single" w:sz="8" w:color="75FF00"/>
              <w:bottom w:val="single" w:sz="8" w:color="auto"/>
            </w:tcBorders>
          </w:tcPr>
          <w:p>
            <w:pPr>
              <w:spacing w:after="0"/>
              <w:rPr>
                <w:sz w:val="24"/>
                <w:szCs w:val="24"/>
                <w:color w:val="auto"/>
              </w:rPr>
            </w:pPr>
          </w:p>
        </w:tc>
        <w:tc>
          <w:tcPr>
            <w:tcW w:w="20" w:type="dxa"/>
            <w:vAlign w:val="bottom"/>
            <w:tcBorders>
              <w:top w:val="single" w:sz="8" w:color="75FF00"/>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40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For Non-PEO Named Executive Officers (Average):</w:t>
            </w:r>
          </w:p>
        </w:tc>
        <w:tc>
          <w:tcPr>
            <w:tcW w:w="180" w:type="dxa"/>
            <w:vAlign w:val="bottom"/>
            <w:gridSpan w:val="2"/>
            <w:shd w:val="clear" w:color="auto" w:fill="CCEEFF"/>
          </w:tcPr>
          <w:p>
            <w:pPr>
              <w:ind w:left="40"/>
              <w:spacing w:after="0" w:line="161" w:lineRule="exact"/>
              <w:rPr>
                <w:sz w:val="20"/>
                <w:szCs w:val="20"/>
                <w:color w:val="auto"/>
              </w:rPr>
            </w:pPr>
            <w:r>
              <w:rPr>
                <w:rFonts w:ascii="Arial" w:cs="Arial" w:eastAsia="Arial" w:hAnsi="Arial"/>
                <w:sz w:val="15"/>
                <w:szCs w:val="15"/>
                <w:b w:val="1"/>
                <w:bCs w:val="1"/>
                <w:color w:val="auto"/>
              </w:rPr>
              <w:t>​</w:t>
            </w:r>
          </w:p>
        </w:tc>
        <w:tc>
          <w:tcPr>
            <w:tcW w:w="56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46"/>
              <w:spacing w:after="0" w:line="161" w:lineRule="exact"/>
              <w:rPr>
                <w:sz w:val="20"/>
                <w:szCs w:val="20"/>
                <w:color w:val="auto"/>
              </w:rPr>
            </w:pPr>
            <w:r>
              <w:rPr>
                <w:rFonts w:ascii="Arial" w:cs="Arial" w:eastAsia="Arial" w:hAnsi="Arial"/>
                <w:sz w:val="15"/>
                <w:szCs w:val="15"/>
                <w:b w:val="1"/>
                <w:bCs w:val="1"/>
                <w:color w:val="auto"/>
              </w:rPr>
              <w:t>​</w:t>
            </w:r>
          </w:p>
        </w:tc>
        <w:tc>
          <w:tcPr>
            <w:tcW w:w="56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ind w:right="100"/>
              <w:spacing w:after="0" w:line="161" w:lineRule="exact"/>
              <w:rPr>
                <w:sz w:val="20"/>
                <w:szCs w:val="20"/>
                <w:color w:val="auto"/>
              </w:rPr>
            </w:pPr>
            <w:r>
              <w:rPr>
                <w:rFonts w:ascii="Arial" w:cs="Arial" w:eastAsia="Arial" w:hAnsi="Arial"/>
                <w:sz w:val="15"/>
                <w:szCs w:val="15"/>
                <w:b w:val="1"/>
                <w:bCs w:val="1"/>
                <w:color w:val="auto"/>
              </w:rPr>
              <w:t>​</w:t>
            </w:r>
          </w:p>
        </w:tc>
        <w:tc>
          <w:tcPr>
            <w:tcW w:w="5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00" w:type="dxa"/>
            <w:vAlign w:val="bottom"/>
            <w:gridSpan w:val="2"/>
          </w:tcPr>
          <w:p>
            <w:pPr>
              <w:spacing w:after="0" w:line="170" w:lineRule="exact"/>
              <w:rPr>
                <w:sz w:val="20"/>
                <w:szCs w:val="20"/>
                <w:color w:val="auto"/>
              </w:rPr>
            </w:pPr>
            <w:r>
              <w:rPr>
                <w:rFonts w:ascii="Arial" w:cs="Arial" w:eastAsia="Arial" w:hAnsi="Arial"/>
                <w:sz w:val="15"/>
                <w:szCs w:val="15"/>
                <w:color w:val="auto"/>
              </w:rPr>
              <w:t>Summary Compensation Table Total</w:t>
            </w:r>
          </w:p>
        </w:tc>
        <w:tc>
          <w:tcPr>
            <w:tcW w:w="2140" w:type="dxa"/>
            <w:vAlign w:val="bottom"/>
            <w:gridSpan w:val="10"/>
          </w:tcPr>
          <w:p>
            <w:pPr>
              <w:ind w:left="40"/>
              <w:spacing w:after="0" w:line="170" w:lineRule="exact"/>
              <w:rPr>
                <w:sz w:val="20"/>
                <w:szCs w:val="20"/>
                <w:color w:val="auto"/>
              </w:rPr>
            </w:pPr>
            <w:r>
              <w:rPr>
                <w:rFonts w:ascii="Arial" w:cs="Arial" w:eastAsia="Arial" w:hAnsi="Arial"/>
                <w:sz w:val="15"/>
                <w:szCs w:val="15"/>
                <w:color w:val="auto"/>
              </w:rPr>
              <w:t>​$ 706,372​$ 791,656​$ 825,190</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70"/>
        </w:trPr>
        <w:tc>
          <w:tcPr>
            <w:tcW w:w="5400" w:type="dxa"/>
            <w:vAlign w:val="bottom"/>
            <w:gridSpan w:val="2"/>
            <w:shd w:val="clear" w:color="auto" w:fill="CCEEFF"/>
          </w:tcPr>
          <w:p>
            <w:pPr>
              <w:spacing w:after="0" w:line="170" w:lineRule="exact"/>
              <w:rPr>
                <w:sz w:val="20"/>
                <w:szCs w:val="20"/>
                <w:color w:val="auto"/>
              </w:rPr>
            </w:pPr>
            <w:r>
              <w:rPr>
                <w:rFonts w:ascii="Arial" w:cs="Arial" w:eastAsia="Arial" w:hAnsi="Arial"/>
                <w:sz w:val="15"/>
                <w:szCs w:val="15"/>
                <w:color w:val="auto"/>
              </w:rPr>
              <w:t>- Summary Compensation Table “Stock Awards” column value</w:t>
            </w:r>
          </w:p>
        </w:tc>
        <w:tc>
          <w:tcPr>
            <w:tcW w:w="2140" w:type="dxa"/>
            <w:vAlign w:val="bottom"/>
            <w:gridSpan w:val="10"/>
            <w:shd w:val="clear" w:color="auto" w:fill="CCEEFF"/>
          </w:tcPr>
          <w:p>
            <w:pPr>
              <w:ind w:left="40"/>
              <w:spacing w:after="0" w:line="170" w:lineRule="exact"/>
              <w:rPr>
                <w:sz w:val="20"/>
                <w:szCs w:val="20"/>
                <w:color w:val="auto"/>
              </w:rPr>
            </w:pPr>
            <w:r>
              <w:rPr>
                <w:rFonts w:ascii="Arial" w:cs="Arial" w:eastAsia="Arial" w:hAnsi="Arial"/>
                <w:sz w:val="15"/>
                <w:szCs w:val="15"/>
                <w:color w:val="auto"/>
                <w:w w:val="97"/>
              </w:rPr>
              <w:t>​$(241,008​)$(266,900​)$(324,945</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gridSpan w:val="2"/>
          </w:tcPr>
          <w:p>
            <w:pPr>
              <w:spacing w:after="0" w:line="167" w:lineRule="exact"/>
              <w:rPr>
                <w:sz w:val="20"/>
                <w:szCs w:val="20"/>
                <w:color w:val="auto"/>
              </w:rPr>
            </w:pPr>
            <w:r>
              <w:rPr>
                <w:rFonts w:ascii="Arial" w:cs="Arial" w:eastAsia="Arial" w:hAnsi="Arial"/>
                <w:sz w:val="15"/>
                <w:szCs w:val="15"/>
                <w:color w:val="auto"/>
              </w:rPr>
              <w:t>+ year-end fair value of outstanding and unvested equity awards granted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00" w:type="dxa"/>
            <w:vAlign w:val="bottom"/>
            <w:gridSpan w:val="2"/>
          </w:tcPr>
          <w:p>
            <w:pPr>
              <w:spacing w:after="0"/>
              <w:rPr>
                <w:sz w:val="20"/>
                <w:szCs w:val="20"/>
                <w:color w:val="auto"/>
              </w:rPr>
            </w:pPr>
            <w:r>
              <w:rPr>
                <w:rFonts w:ascii="Arial" w:cs="Arial" w:eastAsia="Arial" w:hAnsi="Arial"/>
                <w:sz w:val="15"/>
                <w:szCs w:val="15"/>
                <w:color w:val="auto"/>
              </w:rPr>
              <w:t>in the fiscal year</w:t>
            </w:r>
          </w:p>
        </w:tc>
        <w:tc>
          <w:tcPr>
            <w:tcW w:w="18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2000" w:type="dxa"/>
            <w:vAlign w:val="bottom"/>
            <w:gridSpan w:val="9"/>
          </w:tcPr>
          <w:p>
            <w:pPr>
              <w:jc w:val="right"/>
              <w:ind w:right="2"/>
              <w:spacing w:after="0"/>
              <w:rPr>
                <w:sz w:val="20"/>
                <w:szCs w:val="20"/>
                <w:color w:val="auto"/>
              </w:rPr>
            </w:pPr>
            <w:r>
              <w:rPr>
                <w:rFonts w:ascii="Arial" w:cs="Arial" w:eastAsia="Arial" w:hAnsi="Arial"/>
                <w:sz w:val="15"/>
                <w:szCs w:val="15"/>
                <w:color w:val="auto"/>
              </w:rPr>
              <w:t>59,258​$ 183,970​$ 298,033</w:t>
            </w:r>
          </w:p>
        </w:tc>
        <w:tc>
          <w:tcPr>
            <w:tcW w:w="0" w:type="dxa"/>
            <w:vAlign w:val="bottom"/>
          </w:tcPr>
          <w:p>
            <w:pPr>
              <w:spacing w:after="0"/>
              <w:rPr>
                <w:sz w:val="1"/>
                <w:szCs w:val="1"/>
                <w:color w:val="auto"/>
              </w:rPr>
            </w:pPr>
          </w:p>
        </w:tc>
      </w:tr>
      <w:tr>
        <w:trPr>
          <w:trHeight w:val="166"/>
        </w:trPr>
        <w:tc>
          <w:tcPr>
            <w:tcW w:w="5400" w:type="dxa"/>
            <w:vAlign w:val="bottom"/>
            <w:gridSpan w:val="2"/>
            <w:shd w:val="clear" w:color="auto" w:fill="CCEEFF"/>
          </w:tcPr>
          <w:p>
            <w:pPr>
              <w:spacing w:after="0" w:line="167" w:lineRule="exact"/>
              <w:rPr>
                <w:sz w:val="20"/>
                <w:szCs w:val="20"/>
                <w:color w:val="auto"/>
              </w:rPr>
            </w:pPr>
            <w:r>
              <w:rPr>
                <w:rFonts w:ascii="Arial" w:cs="Arial" w:eastAsia="Arial" w:hAnsi="Arial"/>
                <w:sz w:val="15"/>
                <w:szCs w:val="15"/>
                <w:color w:val="auto"/>
              </w:rPr>
              <w:t>+/- change in fair value of outstanding and unvested equity awards</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granted in prior years</w:t>
            </w:r>
          </w:p>
        </w:tc>
        <w:tc>
          <w:tcPr>
            <w:tcW w:w="2140" w:type="dxa"/>
            <w:vAlign w:val="bottom"/>
            <w:gridSpan w:val="10"/>
            <w:shd w:val="clear" w:color="auto" w:fill="CCEEFF"/>
          </w:tcPr>
          <w:p>
            <w:pPr>
              <w:ind w:left="40"/>
              <w:spacing w:after="0"/>
              <w:rPr>
                <w:sz w:val="20"/>
                <w:szCs w:val="20"/>
                <w:color w:val="auto"/>
              </w:rPr>
            </w:pPr>
            <w:r>
              <w:rPr>
                <w:rFonts w:ascii="Arial" w:cs="Arial" w:eastAsia="Arial" w:hAnsi="Arial"/>
                <w:sz w:val="15"/>
                <w:szCs w:val="15"/>
                <w:color w:val="auto"/>
                <w:w w:val="97"/>
              </w:rPr>
              <w:t>​$(169,808​)$(306,552​)$ (80,955)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400" w:type="dxa"/>
            <w:vAlign w:val="bottom"/>
            <w:gridSpan w:val="2"/>
          </w:tcPr>
          <w:p>
            <w:pPr>
              <w:spacing w:after="0" w:line="170" w:lineRule="exact"/>
              <w:rPr>
                <w:sz w:val="20"/>
                <w:szCs w:val="20"/>
                <w:color w:val="auto"/>
              </w:rPr>
            </w:pPr>
            <w:r>
              <w:rPr>
                <w:rFonts w:ascii="Arial" w:cs="Arial" w:eastAsia="Arial" w:hAnsi="Arial"/>
                <w:sz w:val="15"/>
                <w:szCs w:val="15"/>
                <w:color w:val="auto"/>
              </w:rPr>
              <w:t>+ vest date fair value of equity awards granted in the covered year</w:t>
            </w:r>
          </w:p>
        </w:tc>
        <w:tc>
          <w:tcPr>
            <w:tcW w:w="180" w:type="dxa"/>
            <w:vAlign w:val="bottom"/>
            <w:gridSpan w:val="2"/>
          </w:tcPr>
          <w:p>
            <w:pPr>
              <w:ind w:left="40"/>
              <w:spacing w:after="0" w:line="170" w:lineRule="exact"/>
              <w:rPr>
                <w:sz w:val="20"/>
                <w:szCs w:val="20"/>
                <w:color w:val="auto"/>
              </w:rPr>
            </w:pPr>
            <w:r>
              <w:rPr>
                <w:rFonts w:ascii="Arial" w:cs="Arial" w:eastAsia="Arial" w:hAnsi="Arial"/>
                <w:sz w:val="15"/>
                <w:szCs w:val="15"/>
                <w:color w:val="auto"/>
              </w:rPr>
              <w:t>​</w:t>
            </w:r>
          </w:p>
        </w:tc>
        <w:tc>
          <w:tcPr>
            <w:tcW w:w="700" w:type="dxa"/>
            <w:vAlign w:val="bottom"/>
            <w:gridSpan w:val="3"/>
          </w:tcPr>
          <w:p>
            <w:pPr>
              <w:jc w:val="right"/>
              <w:ind w:right="46"/>
              <w:spacing w:after="0" w:line="170" w:lineRule="exact"/>
              <w:rPr>
                <w:sz w:val="20"/>
                <w:szCs w:val="20"/>
                <w:color w:val="auto"/>
              </w:rPr>
            </w:pPr>
            <w:r>
              <w:rPr>
                <w:rFonts w:ascii="Arial" w:cs="Arial" w:eastAsia="Arial" w:hAnsi="Arial"/>
                <w:sz w:val="15"/>
                <w:szCs w:val="15"/>
                <w:color w:val="auto"/>
              </w:rPr>
              <w:t>—​</w:t>
            </w:r>
          </w:p>
        </w:tc>
        <w:tc>
          <w:tcPr>
            <w:tcW w:w="700" w:type="dxa"/>
            <w:vAlign w:val="bottom"/>
            <w:gridSpan w:val="4"/>
          </w:tcPr>
          <w:p>
            <w:pPr>
              <w:jc w:val="right"/>
              <w:ind w:right="100"/>
              <w:spacing w:after="0" w:line="170" w:lineRule="exact"/>
              <w:rPr>
                <w:sz w:val="20"/>
                <w:szCs w:val="20"/>
                <w:color w:val="auto"/>
              </w:rPr>
            </w:pPr>
            <w:r>
              <w:rPr>
                <w:rFonts w:ascii="Arial" w:cs="Arial" w:eastAsia="Arial" w:hAnsi="Arial"/>
                <w:sz w:val="15"/>
                <w:szCs w:val="15"/>
                <w:color w:val="auto"/>
              </w:rPr>
              <w:t>—​</w:t>
            </w:r>
          </w:p>
        </w:tc>
        <w:tc>
          <w:tcPr>
            <w:tcW w:w="56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400" w:type="dxa"/>
            <w:vAlign w:val="bottom"/>
            <w:gridSpan w:val="2"/>
            <w:shd w:val="clear" w:color="auto" w:fill="CCEEFF"/>
          </w:tcPr>
          <w:p>
            <w:pPr>
              <w:spacing w:after="0" w:line="167" w:lineRule="exact"/>
              <w:rPr>
                <w:sz w:val="20"/>
                <w:szCs w:val="20"/>
                <w:color w:val="auto"/>
              </w:rPr>
            </w:pPr>
            <w:r>
              <w:rPr>
                <w:rFonts w:ascii="Arial" w:cs="Arial" w:eastAsia="Arial" w:hAnsi="Arial"/>
                <w:sz w:val="15"/>
                <w:szCs w:val="15"/>
                <w:color w:val="auto"/>
              </w:rPr>
              <w:t>+/- change in fair value of prior-year equity awards vested in the fiscal</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year</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w w:val="99"/>
              </w:rPr>
              <w:t>(35,566​)$</w:t>
            </w: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w w:val="99"/>
              </w:rPr>
              <w:t>(90,127​)$</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5400" w:type="dxa"/>
            <w:vAlign w:val="bottom"/>
            <w:gridSpan w:val="2"/>
          </w:tcPr>
          <w:p>
            <w:pPr>
              <w:spacing w:after="0" w:line="167" w:lineRule="exact"/>
              <w:rPr>
                <w:sz w:val="20"/>
                <w:szCs w:val="20"/>
                <w:color w:val="auto"/>
              </w:rPr>
            </w:pPr>
            <w:r>
              <w:rPr>
                <w:rFonts w:ascii="Arial" w:cs="Arial" w:eastAsia="Arial" w:hAnsi="Arial"/>
                <w:sz w:val="15"/>
                <w:szCs w:val="15"/>
                <w:color w:val="auto"/>
              </w:rPr>
              <w:t>- fair value at the end of prior year of awards granted in prior years that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00" w:type="dxa"/>
            <w:vAlign w:val="bottom"/>
            <w:gridSpan w:val="2"/>
          </w:tcPr>
          <w:p>
            <w:pPr>
              <w:spacing w:after="0"/>
              <w:rPr>
                <w:sz w:val="20"/>
                <w:szCs w:val="20"/>
                <w:color w:val="auto"/>
              </w:rPr>
            </w:pPr>
            <w:r>
              <w:rPr>
                <w:rFonts w:ascii="Arial" w:cs="Arial" w:eastAsia="Arial" w:hAnsi="Arial"/>
                <w:sz w:val="15"/>
                <w:szCs w:val="15"/>
                <w:color w:val="auto"/>
              </w:rPr>
              <w:t>fail to meet vesting conditions</w:t>
            </w:r>
          </w:p>
        </w:tc>
        <w:tc>
          <w:tcPr>
            <w:tcW w:w="180" w:type="dxa"/>
            <w:vAlign w:val="bottom"/>
            <w:gridSpan w:val="2"/>
          </w:tcPr>
          <w:p>
            <w:pPr>
              <w:ind w:left="4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w:t>
            </w:r>
          </w:p>
        </w:tc>
        <w:tc>
          <w:tcPr>
            <w:tcW w:w="2000" w:type="dxa"/>
            <w:vAlign w:val="bottom"/>
            <w:gridSpan w:val="9"/>
          </w:tcPr>
          <w:p>
            <w:pPr>
              <w:jc w:val="right"/>
              <w:spacing w:after="0"/>
              <w:rPr>
                <w:sz w:val="20"/>
                <w:szCs w:val="20"/>
                <w:color w:val="auto"/>
              </w:rPr>
            </w:pPr>
            <w:r>
              <w:rPr>
                <w:rFonts w:ascii="Arial" w:cs="Arial" w:eastAsia="Arial" w:hAnsi="Arial"/>
                <w:sz w:val="15"/>
                <w:szCs w:val="15"/>
                <w:color w:val="auto"/>
              </w:rPr>
              <w:t>(19,911​)$ (40,626​)$ (79,925)</w:t>
            </w:r>
          </w:p>
        </w:tc>
        <w:tc>
          <w:tcPr>
            <w:tcW w:w="0" w:type="dxa"/>
            <w:vAlign w:val="bottom"/>
          </w:tcPr>
          <w:p>
            <w:pPr>
              <w:spacing w:after="0"/>
              <w:rPr>
                <w:sz w:val="1"/>
                <w:szCs w:val="1"/>
                <w:color w:val="auto"/>
              </w:rPr>
            </w:pPr>
          </w:p>
        </w:tc>
      </w:tr>
      <w:tr>
        <w:trPr>
          <w:trHeight w:val="197"/>
        </w:trPr>
        <w:tc>
          <w:tcPr>
            <w:tcW w:w="5400" w:type="dxa"/>
            <w:vAlign w:val="bottom"/>
            <w:tcBorders>
              <w:top w:val="single" w:sz="8" w:color="CCEEFF"/>
              <w:bottom w:val="single" w:sz="8" w:color="CCEEFF"/>
            </w:tcBorders>
            <w:gridSpan w:val="2"/>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Compensation Actually Paid</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gridSpan w:val="2"/>
            <w:shd w:val="clear" w:color="auto" w:fill="CCEEFF"/>
          </w:tcPr>
          <w:p>
            <w:pPr>
              <w:spacing w:after="0" w:line="161"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11"/>
                <w:szCs w:val="11"/>
                <w:b w:val="1"/>
                <w:bCs w:val="1"/>
                <w:color w:val="auto"/>
              </w:rPr>
              <w:t>$ 299,337</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gridSpan w:val="2"/>
            <w:shd w:val="clear" w:color="auto" w:fill="CCEEFF"/>
          </w:tcPr>
          <w:p>
            <w:pPr>
              <w:jc w:val="center"/>
              <w:spacing w:after="0" w:line="161"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11"/>
                <w:szCs w:val="11"/>
                <w:b w:val="1"/>
                <w:bCs w:val="1"/>
                <w:color w:val="auto"/>
              </w:rPr>
              <w:t>$ 271,421</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gridSpan w:val="3"/>
            <w:shd w:val="clear" w:color="auto" w:fill="CCEEFF"/>
          </w:tcPr>
          <w:p>
            <w:pPr>
              <w:jc w:val="right"/>
              <w:spacing w:after="0" w:line="161"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11"/>
                <w:szCs w:val="11"/>
                <w:b w:val="1"/>
                <w:bCs w:val="1"/>
                <w:color w:val="auto"/>
              </w:rPr>
              <w:t>$ 638,930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-150495</wp:posOffset>
            </wp:positionV>
            <wp:extent cx="434594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45940" cy="6985"/>
                    </a:xfrm>
                    <a:prstGeom prst="rect">
                      <a:avLst/>
                    </a:prstGeom>
                    <a:noFill/>
                  </pic:spPr>
                </pic:pic>
              </a:graphicData>
            </a:graphic>
          </wp:anchor>
        </w:drawing>
      </w:r>
    </w:p>
    <w:p>
      <w:pPr>
        <w:spacing w:after="0" w:line="146" w:lineRule="exact"/>
        <w:rPr>
          <w:sz w:val="20"/>
          <w:szCs w:val="20"/>
          <w:color w:val="auto"/>
        </w:rPr>
      </w:pPr>
    </w:p>
    <w:p>
      <w:pPr>
        <w:jc w:val="both"/>
        <w:ind w:left="1060" w:right="1359"/>
        <w:spacing w:after="0" w:line="262" w:lineRule="auto"/>
        <w:rPr>
          <w:sz w:val="20"/>
          <w:szCs w:val="20"/>
          <w:color w:val="auto"/>
        </w:rPr>
      </w:pPr>
      <w:r>
        <w:rPr>
          <w:rFonts w:ascii="Arial" w:cs="Arial" w:eastAsia="Arial" w:hAnsi="Arial"/>
          <w:sz w:val="15"/>
          <w:szCs w:val="15"/>
          <w:color w:val="auto"/>
        </w:rPr>
        <w:t>The following graphs denote the relationships between net income and Total Shareholder Return with actual compensation paid to the PEO and the average compensation actually paid to Non-PEO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992505</wp:posOffset>
            </wp:positionH>
            <wp:positionV relativeFrom="paragraph">
              <wp:posOffset>67310</wp:posOffset>
            </wp:positionV>
            <wp:extent cx="3735070" cy="27584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735070" cy="2758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The Total Shareholder Return and net loss for the following periods was:</w:t>
      </w:r>
    </w:p>
    <w:p>
      <w:pPr>
        <w:spacing w:after="0" w:line="122" w:lineRule="exact"/>
        <w:rPr>
          <w:sz w:val="20"/>
          <w:szCs w:val="20"/>
          <w:color w:val="auto"/>
        </w:rPr>
      </w:pPr>
    </w:p>
    <w:p>
      <w:pPr>
        <w:ind w:left="1660" w:right="1619" w:hanging="293"/>
        <w:spacing w:after="0" w:line="287" w:lineRule="auto"/>
        <w:tabs>
          <w:tab w:leader="none" w:pos="1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December 31, 2021 to December 31, 2022, negative $26.55 with a net loss of approximately $53.4 million;</w:t>
      </w:r>
    </w:p>
    <w:p>
      <w:pPr>
        <w:spacing w:after="0" w:line="51" w:lineRule="exact"/>
        <w:rPr>
          <w:rFonts w:ascii="Arial" w:cs="Arial" w:eastAsia="Arial" w:hAnsi="Arial"/>
          <w:sz w:val="15"/>
          <w:szCs w:val="15"/>
          <w:color w:val="auto"/>
        </w:rPr>
      </w:pPr>
    </w:p>
    <w:p>
      <w:pPr>
        <w:ind w:left="1660" w:right="1619" w:hanging="293"/>
        <w:spacing w:after="0" w:line="288" w:lineRule="auto"/>
        <w:tabs>
          <w:tab w:leader="none" w:pos="1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December 31, 2022 to December 30, 2023, negative $62.37 with a net loss of approximately $56.3 million; and</w:t>
      </w:r>
    </w:p>
    <w:p>
      <w:pPr>
        <w:spacing w:after="0" w:line="49" w:lineRule="exact"/>
        <w:rPr>
          <w:rFonts w:ascii="Arial" w:cs="Arial" w:eastAsia="Arial" w:hAnsi="Arial"/>
          <w:sz w:val="15"/>
          <w:szCs w:val="15"/>
          <w:color w:val="auto"/>
        </w:rPr>
      </w:pPr>
    </w:p>
    <w:p>
      <w:pPr>
        <w:ind w:left="1660" w:right="1619" w:hanging="293"/>
        <w:spacing w:after="0" w:line="288" w:lineRule="auto"/>
        <w:tabs>
          <w:tab w:leader="none" w:pos="1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December 31, 2023 to December 30, 2024, negative $81.46 with a net loss of approximately $35.6 million.</w:t>
      </w:r>
    </w:p>
    <w:p>
      <w:pPr>
        <w:spacing w:after="0" w:line="72"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Named Executive Officer Compensation</w:t>
      </w:r>
    </w:p>
    <w:p>
      <w:pPr>
        <w:spacing w:after="0" w:line="133"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The following table summarizes the year-on-year change in compensation for the PEO:</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3" w:name="page44"/>
    <w:bookmarkEnd w:id="43"/>
    <w:p>
      <w:pPr>
        <w:ind w:left="20"/>
        <w:spacing w:after="0"/>
        <w:rPr>
          <w:sz w:val="20"/>
          <w:szCs w:val="20"/>
          <w:color w:val="auto"/>
        </w:rPr>
      </w:pPr>
      <w:r>
        <w:rPr>
          <w:rFonts w:ascii="Calibri" w:cs="Calibri" w:eastAsia="Calibri" w:hAnsi="Calibri"/>
          <w:sz w:val="12"/>
          <w:szCs w:val="12"/>
          <w:color w:val="003366"/>
        </w:rPr>
        <w:t>TABLE OF CONTENTS</w:t>
      </w:r>
    </w:p>
    <w:p>
      <w:pPr>
        <w:spacing w:after="0" w:line="270" w:lineRule="exact"/>
        <w:rPr>
          <w:sz w:val="20"/>
          <w:szCs w:val="20"/>
          <w:color w:val="auto"/>
        </w:rPr>
      </w:pPr>
    </w:p>
    <w:tbl>
      <w:tblPr>
        <w:tblLayout w:type="fixed"/>
        <w:tblInd w:w="1060" w:type="dxa"/>
        <w:tblCellMar>
          <w:top w:w="0" w:type="dxa"/>
          <w:left w:w="0" w:type="dxa"/>
          <w:bottom w:w="0" w:type="dxa"/>
          <w:right w:w="0" w:type="dxa"/>
        </w:tblCellMar>
      </w:tblPr>
      <w:tr>
        <w:trPr>
          <w:trHeight w:val="129"/>
        </w:trPr>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80" w:type="dxa"/>
            <w:vAlign w:val="bottom"/>
            <w:gridSpan w:val="6"/>
            <w:vMerge w:val="restart"/>
          </w:tcPr>
          <w:p>
            <w:pPr>
              <w:jc w:val="right"/>
              <w:ind w:right="25"/>
              <w:spacing w:after="0"/>
              <w:rPr>
                <w:sz w:val="20"/>
                <w:szCs w:val="20"/>
                <w:color w:val="auto"/>
              </w:rPr>
            </w:pPr>
            <w:r>
              <w:rPr>
                <w:rFonts w:ascii="Arial" w:cs="Arial" w:eastAsia="Arial" w:hAnsi="Arial"/>
                <w:sz w:val="27"/>
                <w:szCs w:val="27"/>
                <w:b w:val="1"/>
                <w:bCs w:val="1"/>
                <w:color w:val="314F60"/>
                <w:w w:val="97"/>
                <w:vertAlign w:val="superscript"/>
              </w:rPr>
              <w:t>​</w:t>
            </w:r>
            <w:r>
              <w:rPr>
                <w:rFonts w:ascii="Arial" w:cs="Arial" w:eastAsia="Arial" w:hAnsi="Arial"/>
                <w:sz w:val="14"/>
                <w:szCs w:val="14"/>
                <w:b w:val="1"/>
                <w:bCs w:val="1"/>
                <w:color w:val="314F60"/>
                <w:w w:val="97"/>
              </w:rPr>
              <w:t xml:space="preserve"> EXECUTIVE COMPENSATION</w:t>
            </w:r>
          </w:p>
        </w:tc>
        <w:tc>
          <w:tcPr>
            <w:tcW w:w="4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314F60"/>
              </w:rPr>
              <w:t>​</w:t>
            </w:r>
          </w:p>
        </w:tc>
        <w:tc>
          <w:tcPr>
            <w:tcW w:w="0" w:type="dxa"/>
            <w:vAlign w:val="bottom"/>
          </w:tcPr>
          <w:p>
            <w:pPr>
              <w:spacing w:after="0"/>
              <w:rPr>
                <w:sz w:val="1"/>
                <w:szCs w:val="1"/>
                <w:color w:val="auto"/>
              </w:rPr>
            </w:pPr>
          </w:p>
        </w:tc>
      </w:tr>
      <w:tr>
        <w:trPr>
          <w:trHeight w:val="181"/>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Borders>
              <w:right w:val="single" w:sz="8" w:color="75FF00"/>
            </w:tcBorders>
          </w:tcPr>
          <w:p>
            <w:pPr>
              <w:spacing w:after="0"/>
              <w:rPr>
                <w:sz w:val="15"/>
                <w:szCs w:val="15"/>
                <w:color w:val="auto"/>
              </w:rPr>
            </w:pPr>
          </w:p>
        </w:tc>
        <w:tc>
          <w:tcPr>
            <w:tcW w:w="2080" w:type="dxa"/>
            <w:vAlign w:val="bottom"/>
            <w:tcBorders>
              <w:bottom w:val="single" w:sz="8" w:color="75FF00"/>
            </w:tcBorders>
            <w:gridSpan w:val="6"/>
            <w:vMerge w:val="continue"/>
          </w:tcPr>
          <w:p>
            <w:pPr>
              <w:spacing w:after="0"/>
              <w:rPr>
                <w:sz w:val="15"/>
                <w:szCs w:val="15"/>
                <w:color w:val="auto"/>
              </w:rPr>
            </w:pPr>
          </w:p>
        </w:tc>
        <w:tc>
          <w:tcPr>
            <w:tcW w:w="40" w:type="dxa"/>
            <w:vAlign w:val="bottom"/>
            <w:tcBorders>
              <w:bottom w:val="single" w:sz="8" w:color="75FF00"/>
            </w:tcBorders>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5"/>
                <w:szCs w:val="15"/>
                <w:b w:val="1"/>
                <w:bCs w:val="1"/>
                <w:color w:val="auto"/>
              </w:rPr>
              <w:t>% Change from</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b w:val="1"/>
                <w:bCs w:val="1"/>
                <w:color w:val="auto"/>
                <w:w w:val="99"/>
              </w:rPr>
              <w:t>% Change from</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920" w:type="dxa"/>
            <w:vAlign w:val="bottom"/>
            <w:tcBorders>
              <w:bottom w:val="single" w:sz="8" w:color="auto"/>
            </w:tcBorders>
          </w:tcPr>
          <w:p>
            <w:pPr>
              <w:ind w:left="800"/>
              <w:spacing w:after="0"/>
              <w:rPr>
                <w:sz w:val="20"/>
                <w:szCs w:val="20"/>
                <w:color w:val="auto"/>
              </w:rPr>
            </w:pPr>
            <w:r>
              <w:rPr>
                <w:rFonts w:ascii="Arial" w:cs="Arial" w:eastAsia="Arial" w:hAnsi="Arial"/>
                <w:sz w:val="15"/>
                <w:szCs w:val="15"/>
                <w:b w:val="1"/>
                <w:bCs w:val="1"/>
                <w:color w:val="auto"/>
              </w:rPr>
              <w:t>PEO</w:t>
            </w:r>
          </w:p>
        </w:tc>
        <w:tc>
          <w:tcPr>
            <w:tcW w:w="8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2022 to 2023</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2024</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5"/>
                <w:szCs w:val="15"/>
                <w:b w:val="1"/>
                <w:bCs w:val="1"/>
                <w:color w:val="auto"/>
              </w:rPr>
              <w:t>2023 to 2024</w:t>
            </w: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920" w:type="dxa"/>
            <w:vAlign w:val="bottom"/>
            <w:shd w:val="clear" w:color="auto" w:fill="CCEEFF"/>
          </w:tcPr>
          <w:p>
            <w:pPr>
              <w:spacing w:after="0" w:line="183" w:lineRule="exact"/>
              <w:rPr>
                <w:sz w:val="20"/>
                <w:szCs w:val="20"/>
                <w:color w:val="auto"/>
              </w:rPr>
            </w:pPr>
            <w:r>
              <w:rPr>
                <w:rFonts w:ascii="Arial" w:cs="Arial" w:eastAsia="Arial" w:hAnsi="Arial"/>
                <w:sz w:val="15"/>
                <w:szCs w:val="15"/>
                <w:color w:val="auto"/>
              </w:rPr>
              <w:t>Salary</w:t>
            </w:r>
            <w:r>
              <w:rPr>
                <w:rFonts w:ascii="Arial" w:cs="Arial" w:eastAsia="Arial" w:hAnsi="Arial"/>
                <w:sz w:val="19"/>
                <w:szCs w:val="19"/>
                <w:color w:val="auto"/>
                <w:vertAlign w:val="superscript"/>
              </w:rPr>
              <w:t>(1)</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 ​$</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877,119​</w:t>
            </w:r>
          </w:p>
        </w:tc>
        <w:tc>
          <w:tcPr>
            <w:tcW w:w="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​$ 927,412</w:t>
            </w:r>
          </w:p>
        </w:tc>
        <w:tc>
          <w:tcPr>
            <w:tcW w:w="4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660" w:type="dxa"/>
            <w:vAlign w:val="bottom"/>
            <w:tcBorders>
              <w:right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rPr>
              <w:t>5.7%</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​$ 950,357</w:t>
            </w:r>
          </w:p>
        </w:tc>
        <w:tc>
          <w:tcPr>
            <w:tcW w:w="4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2.5%</w:t>
            </w:r>
          </w:p>
        </w:tc>
        <w:tc>
          <w:tcPr>
            <w:tcW w:w="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920" w:type="dxa"/>
            <w:vAlign w:val="bottom"/>
          </w:tcPr>
          <w:p>
            <w:pPr>
              <w:spacing w:after="0" w:line="170" w:lineRule="exact"/>
              <w:rPr>
                <w:sz w:val="20"/>
                <w:szCs w:val="20"/>
                <w:color w:val="auto"/>
              </w:rPr>
            </w:pPr>
            <w:r>
              <w:rPr>
                <w:rFonts w:ascii="Arial" w:cs="Arial" w:eastAsia="Arial" w:hAnsi="Arial"/>
                <w:sz w:val="15"/>
                <w:szCs w:val="15"/>
                <w:color w:val="auto"/>
              </w:rPr>
              <w:t>Value of Stock Awards</w:t>
            </w:r>
          </w:p>
        </w:tc>
        <w:tc>
          <w:tcPr>
            <w:tcW w:w="260" w:type="dxa"/>
            <w:vAlign w:val="bottom"/>
            <w:gridSpan w:val="2"/>
          </w:tcPr>
          <w:p>
            <w:pPr>
              <w:ind w:left="20"/>
              <w:spacing w:after="0" w:line="170" w:lineRule="exact"/>
              <w:rPr>
                <w:sz w:val="20"/>
                <w:szCs w:val="20"/>
                <w:color w:val="auto"/>
              </w:rPr>
            </w:pPr>
            <w:r>
              <w:rPr>
                <w:rFonts w:ascii="Arial" w:cs="Arial" w:eastAsia="Arial" w:hAnsi="Arial"/>
                <w:sz w:val="15"/>
                <w:szCs w:val="15"/>
                <w:color w:val="auto"/>
              </w:rPr>
              <w:t>​ ​$</w:t>
            </w:r>
          </w:p>
        </w:tc>
        <w:tc>
          <w:tcPr>
            <w:tcW w:w="72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725,557​</w:t>
            </w:r>
          </w:p>
        </w:tc>
        <w:tc>
          <w:tcPr>
            <w:tcW w:w="800" w:type="dxa"/>
            <w:vAlign w:val="bottom"/>
            <w:gridSpan w:val="2"/>
          </w:tcPr>
          <w:p>
            <w:pPr>
              <w:spacing w:after="0" w:line="170" w:lineRule="exact"/>
              <w:rPr>
                <w:sz w:val="20"/>
                <w:szCs w:val="20"/>
                <w:color w:val="auto"/>
              </w:rPr>
            </w:pPr>
            <w:r>
              <w:rPr>
                <w:rFonts w:ascii="Arial" w:cs="Arial" w:eastAsia="Arial" w:hAnsi="Arial"/>
                <w:sz w:val="15"/>
                <w:szCs w:val="15"/>
                <w:color w:val="auto"/>
              </w:rPr>
              <w:t>​$(571,233)</w:t>
            </w:r>
          </w:p>
        </w:tc>
        <w:tc>
          <w:tcPr>
            <w:tcW w:w="1060" w:type="dxa"/>
            <w:vAlign w:val="bottom"/>
            <w:gridSpan w:val="2"/>
          </w:tcPr>
          <w:p>
            <w:pPr>
              <w:jc w:val="right"/>
              <w:ind w:right="45"/>
              <w:spacing w:after="0" w:line="170" w:lineRule="exact"/>
              <w:rPr>
                <w:sz w:val="20"/>
                <w:szCs w:val="20"/>
                <w:color w:val="auto"/>
              </w:rPr>
            </w:pPr>
            <w:r>
              <w:rPr>
                <w:rFonts w:ascii="Arial" w:cs="Arial" w:eastAsia="Arial" w:hAnsi="Arial"/>
                <w:sz w:val="15"/>
                <w:szCs w:val="15"/>
                <w:color w:val="auto"/>
              </w:rPr>
              <w:t>​ -178.7%</w:t>
            </w:r>
          </w:p>
        </w:tc>
        <w:tc>
          <w:tcPr>
            <w:tcW w:w="180" w:type="dxa"/>
            <w:vAlign w:val="bottom"/>
            <w:gridSpan w:val="2"/>
          </w:tcPr>
          <w:p>
            <w:pPr>
              <w:ind w:left="60"/>
              <w:spacing w:after="0" w:line="170" w:lineRule="exact"/>
              <w:rPr>
                <w:sz w:val="20"/>
                <w:szCs w:val="20"/>
                <w:color w:val="auto"/>
              </w:rPr>
            </w:pPr>
            <w:r>
              <w:rPr>
                <w:rFonts w:ascii="Arial" w:cs="Arial" w:eastAsia="Arial" w:hAnsi="Arial"/>
                <w:sz w:val="15"/>
                <w:szCs w:val="15"/>
                <w:color w:val="auto"/>
              </w:rPr>
              <w:t>​</w:t>
            </w:r>
          </w:p>
        </w:tc>
        <w:tc>
          <w:tcPr>
            <w:tcW w:w="780" w:type="dxa"/>
            <w:vAlign w:val="bottom"/>
            <w:gridSpan w:val="2"/>
          </w:tcPr>
          <w:p>
            <w:pPr>
              <w:spacing w:after="0" w:line="170" w:lineRule="exact"/>
              <w:rPr>
                <w:sz w:val="20"/>
                <w:szCs w:val="20"/>
                <w:color w:val="auto"/>
              </w:rPr>
            </w:pPr>
            <w:r>
              <w:rPr>
                <w:rFonts w:ascii="Arial" w:cs="Arial" w:eastAsia="Arial" w:hAnsi="Arial"/>
                <w:sz w:val="15"/>
                <w:szCs w:val="15"/>
                <w:color w:val="auto"/>
              </w:rPr>
              <w:t>​$(605,773)</w:t>
            </w:r>
          </w:p>
        </w:tc>
        <w:tc>
          <w:tcPr>
            <w:tcW w:w="460" w:type="dxa"/>
            <w:vAlign w:val="bottom"/>
          </w:tcPr>
          <w:p>
            <w:pPr>
              <w:ind w:left="340"/>
              <w:spacing w:after="0" w:line="170" w:lineRule="exact"/>
              <w:rPr>
                <w:sz w:val="20"/>
                <w:szCs w:val="20"/>
                <w:color w:val="auto"/>
              </w:rPr>
            </w:pPr>
            <w:r>
              <w:rPr>
                <w:rFonts w:ascii="Arial" w:cs="Arial" w:eastAsia="Arial" w:hAnsi="Arial"/>
                <w:sz w:val="15"/>
                <w:szCs w:val="15"/>
                <w:color w:val="auto"/>
              </w:rPr>
              <w:t>​</w:t>
            </w:r>
          </w:p>
        </w:tc>
        <w:tc>
          <w:tcPr>
            <w:tcW w:w="660" w:type="dxa"/>
            <w:vAlign w:val="bottom"/>
          </w:tcPr>
          <w:p>
            <w:pPr>
              <w:jc w:val="right"/>
              <w:ind w:right="125"/>
              <w:spacing w:after="0" w:line="170" w:lineRule="exact"/>
              <w:rPr>
                <w:sz w:val="20"/>
                <w:szCs w:val="20"/>
                <w:color w:val="auto"/>
              </w:rPr>
            </w:pPr>
            <w:r>
              <w:rPr>
                <w:rFonts w:ascii="Arial" w:cs="Arial" w:eastAsia="Arial" w:hAnsi="Arial"/>
                <w:sz w:val="15"/>
                <w:szCs w:val="15"/>
                <w:color w:val="auto"/>
              </w:rPr>
              <w:t>-6.0%</w:t>
            </w:r>
          </w:p>
        </w:tc>
        <w:tc>
          <w:tcPr>
            <w:tcW w:w="40" w:type="dxa"/>
            <w:vAlign w:val="bottom"/>
          </w:tcPr>
          <w:p>
            <w:pPr>
              <w:spacing w:after="0" w:line="170"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2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All Other Compensation</w:t>
            </w:r>
          </w:p>
        </w:tc>
        <w:tc>
          <w:tcPr>
            <w:tcW w:w="26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5"/>
                <w:szCs w:val="15"/>
                <w:color w:val="auto"/>
              </w:rPr>
              <w:t>​ ​$</w:t>
            </w:r>
          </w:p>
        </w:tc>
        <w:tc>
          <w:tcPr>
            <w:tcW w:w="720" w:type="dxa"/>
            <w:vAlign w:val="bottom"/>
            <w:gridSpan w:val="2"/>
            <w:shd w:val="clear" w:color="auto" w:fill="CCEEFF"/>
          </w:tcPr>
          <w:p>
            <w:pPr>
              <w:jc w:val="right"/>
              <w:ind w:right="60"/>
              <w:spacing w:after="0" w:line="170" w:lineRule="exact"/>
              <w:rPr>
                <w:sz w:val="20"/>
                <w:szCs w:val="20"/>
                <w:color w:val="auto"/>
              </w:rPr>
            </w:pPr>
            <w:r>
              <w:rPr>
                <w:rFonts w:ascii="Arial" w:cs="Arial" w:eastAsia="Arial" w:hAnsi="Arial"/>
                <w:sz w:val="15"/>
                <w:szCs w:val="15"/>
                <w:color w:val="auto"/>
              </w:rPr>
              <w:t>380,203​</w:t>
            </w:r>
          </w:p>
        </w:tc>
        <w:tc>
          <w:tcPr>
            <w:tcW w:w="800" w:type="dxa"/>
            <w:vAlign w:val="bottom"/>
            <w:gridSpan w:val="2"/>
            <w:shd w:val="clear" w:color="auto" w:fill="CCEEFF"/>
          </w:tcPr>
          <w:p>
            <w:pPr>
              <w:spacing w:after="0" w:line="170" w:lineRule="exact"/>
              <w:rPr>
                <w:sz w:val="20"/>
                <w:szCs w:val="20"/>
                <w:color w:val="auto"/>
              </w:rPr>
            </w:pPr>
            <w:r>
              <w:rPr>
                <w:rFonts w:ascii="Arial" w:cs="Arial" w:eastAsia="Arial" w:hAnsi="Arial"/>
                <w:sz w:val="15"/>
                <w:szCs w:val="15"/>
                <w:color w:val="auto"/>
              </w:rPr>
              <w:t>​$ 288,662</w:t>
            </w:r>
          </w:p>
        </w:tc>
        <w:tc>
          <w:tcPr>
            <w:tcW w:w="400" w:type="dxa"/>
            <w:vAlign w:val="bottom"/>
            <w:shd w:val="clear" w:color="auto" w:fill="CCEEFF"/>
          </w:tcPr>
          <w:p>
            <w:pPr>
              <w:ind w:left="300"/>
              <w:spacing w:after="0" w:line="170" w:lineRule="exact"/>
              <w:rPr>
                <w:sz w:val="20"/>
                <w:szCs w:val="20"/>
                <w:color w:val="auto"/>
              </w:rPr>
            </w:pPr>
            <w:r>
              <w:rPr>
                <w:rFonts w:ascii="Arial" w:cs="Arial" w:eastAsia="Arial" w:hAnsi="Arial"/>
                <w:sz w:val="15"/>
                <w:szCs w:val="15"/>
                <w:color w:val="auto"/>
              </w:rPr>
              <w:t>​</w:t>
            </w:r>
          </w:p>
        </w:tc>
        <w:tc>
          <w:tcPr>
            <w:tcW w:w="660" w:type="dxa"/>
            <w:vAlign w:val="bottom"/>
            <w:tcBorders>
              <w:right w:val="single" w:sz="8" w:color="CCEEFF"/>
            </w:tcBorders>
            <w:shd w:val="clear" w:color="auto" w:fill="CCEEFF"/>
          </w:tcPr>
          <w:p>
            <w:pPr>
              <w:jc w:val="right"/>
              <w:ind w:right="45"/>
              <w:spacing w:after="0" w:line="170" w:lineRule="exact"/>
              <w:rPr>
                <w:sz w:val="20"/>
                <w:szCs w:val="20"/>
                <w:color w:val="auto"/>
              </w:rPr>
            </w:pPr>
            <w:r>
              <w:rPr>
                <w:rFonts w:ascii="Arial" w:cs="Arial" w:eastAsia="Arial" w:hAnsi="Arial"/>
                <w:sz w:val="15"/>
                <w:szCs w:val="15"/>
                <w:color w:val="auto"/>
              </w:rPr>
              <w:t>-24.1%</w:t>
            </w:r>
          </w:p>
        </w:tc>
        <w:tc>
          <w:tcPr>
            <w:tcW w:w="180" w:type="dxa"/>
            <w:vAlign w:val="bottom"/>
            <w:gridSpan w:val="2"/>
            <w:shd w:val="clear" w:color="auto" w:fill="CCEEFF"/>
          </w:tcPr>
          <w:p>
            <w:pPr>
              <w:ind w:left="60"/>
              <w:spacing w:after="0" w:line="170" w:lineRule="exact"/>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spacing w:after="0" w:line="170" w:lineRule="exact"/>
              <w:rPr>
                <w:sz w:val="20"/>
                <w:szCs w:val="20"/>
                <w:color w:val="auto"/>
              </w:rPr>
            </w:pPr>
            <w:r>
              <w:rPr>
                <w:rFonts w:ascii="Arial" w:cs="Arial" w:eastAsia="Arial" w:hAnsi="Arial"/>
                <w:sz w:val="15"/>
                <w:szCs w:val="15"/>
                <w:color w:val="auto"/>
              </w:rPr>
              <w:t>​$ 259,771</w:t>
            </w:r>
          </w:p>
        </w:tc>
        <w:tc>
          <w:tcPr>
            <w:tcW w:w="1120" w:type="dxa"/>
            <w:vAlign w:val="bottom"/>
            <w:gridSpan w:val="2"/>
            <w:shd w:val="clear" w:color="auto" w:fill="CCEEFF"/>
          </w:tcPr>
          <w:p>
            <w:pPr>
              <w:jc w:val="right"/>
              <w:ind w:right="125"/>
              <w:spacing w:after="0" w:line="170" w:lineRule="exact"/>
              <w:rPr>
                <w:sz w:val="20"/>
                <w:szCs w:val="20"/>
                <w:color w:val="auto"/>
              </w:rPr>
            </w:pPr>
            <w:r>
              <w:rPr>
                <w:rFonts w:ascii="Arial" w:cs="Arial" w:eastAsia="Arial" w:hAnsi="Arial"/>
                <w:sz w:val="15"/>
                <w:szCs w:val="15"/>
                <w:color w:val="auto"/>
              </w:rPr>
              <w:t>​ -10.0%</w:t>
            </w:r>
          </w:p>
        </w:tc>
        <w:tc>
          <w:tcPr>
            <w:tcW w:w="4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2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980" w:type="dxa"/>
            <w:vAlign w:val="bottom"/>
            <w:gridSpan w:val="4"/>
          </w:tcPr>
          <w:p>
            <w:pPr>
              <w:ind w:left="20"/>
              <w:spacing w:after="0"/>
              <w:rPr>
                <w:sz w:val="20"/>
                <w:szCs w:val="20"/>
                <w:color w:val="auto"/>
              </w:rPr>
            </w:pPr>
            <w:r>
              <w:rPr>
                <w:rFonts w:ascii="Arial" w:cs="Arial" w:eastAsia="Arial" w:hAnsi="Arial"/>
                <w:sz w:val="15"/>
                <w:szCs w:val="15"/>
                <w:b w:val="1"/>
                <w:bCs w:val="1"/>
                <w:color w:val="auto"/>
              </w:rPr>
              <w:t>​ ​$1,982,879​</w:t>
            </w:r>
          </w:p>
        </w:tc>
        <w:tc>
          <w:tcPr>
            <w:tcW w:w="800" w:type="dxa"/>
            <w:vAlign w:val="bottom"/>
            <w:gridSpan w:val="2"/>
          </w:tcPr>
          <w:p>
            <w:pPr>
              <w:spacing w:after="0"/>
              <w:rPr>
                <w:sz w:val="20"/>
                <w:szCs w:val="20"/>
                <w:color w:val="auto"/>
              </w:rPr>
            </w:pPr>
            <w:r>
              <w:rPr>
                <w:rFonts w:ascii="Arial" w:cs="Arial" w:eastAsia="Arial" w:hAnsi="Arial"/>
                <w:sz w:val="15"/>
                <w:szCs w:val="15"/>
                <w:b w:val="1"/>
                <w:bCs w:val="1"/>
                <w:color w:val="auto"/>
              </w:rPr>
              <w:t>​$ 644,841</w:t>
            </w:r>
          </w:p>
        </w:tc>
        <w:tc>
          <w:tcPr>
            <w:tcW w:w="400" w:type="dxa"/>
            <w:vAlign w:val="bottom"/>
          </w:tcPr>
          <w:p>
            <w:pPr>
              <w:ind w:left="300"/>
              <w:spacing w:after="0"/>
              <w:rPr>
                <w:sz w:val="20"/>
                <w:szCs w:val="20"/>
                <w:color w:val="auto"/>
              </w:rPr>
            </w:pPr>
            <w:r>
              <w:rPr>
                <w:rFonts w:ascii="Arial" w:cs="Arial" w:eastAsia="Arial" w:hAnsi="Arial"/>
                <w:sz w:val="15"/>
                <w:szCs w:val="15"/>
                <w:b w:val="1"/>
                <w:bCs w:val="1"/>
                <w:color w:val="auto"/>
              </w:rPr>
              <w:t>​</w:t>
            </w:r>
          </w:p>
        </w:tc>
        <w:tc>
          <w:tcPr>
            <w:tcW w:w="660" w:type="dxa"/>
            <w:vAlign w:val="bottom"/>
          </w:tcPr>
          <w:p>
            <w:pPr>
              <w:jc w:val="right"/>
              <w:ind w:right="45"/>
              <w:spacing w:after="0"/>
              <w:rPr>
                <w:sz w:val="20"/>
                <w:szCs w:val="20"/>
                <w:color w:val="auto"/>
              </w:rPr>
            </w:pPr>
            <w:r>
              <w:rPr>
                <w:rFonts w:ascii="Arial" w:cs="Arial" w:eastAsia="Arial" w:hAnsi="Arial"/>
                <w:sz w:val="15"/>
                <w:szCs w:val="15"/>
                <w:b w:val="1"/>
                <w:bCs w:val="1"/>
                <w:color w:val="auto"/>
              </w:rPr>
              <w:t>-67.5%</w:t>
            </w:r>
          </w:p>
        </w:tc>
        <w:tc>
          <w:tcPr>
            <w:tcW w:w="180" w:type="dxa"/>
            <w:vAlign w:val="bottom"/>
            <w:gridSpan w:val="2"/>
          </w:tcPr>
          <w:p>
            <w:pPr>
              <w:ind w:left="60"/>
              <w:spacing w:after="0"/>
              <w:rPr>
                <w:sz w:val="20"/>
                <w:szCs w:val="20"/>
                <w:color w:val="auto"/>
              </w:rPr>
            </w:pPr>
            <w:r>
              <w:rPr>
                <w:rFonts w:ascii="Arial" w:cs="Arial" w:eastAsia="Arial" w:hAnsi="Arial"/>
                <w:sz w:val="15"/>
                <w:szCs w:val="15"/>
                <w:b w:val="1"/>
                <w:bCs w:val="1"/>
                <w:color w:val="auto"/>
              </w:rPr>
              <w:t>​</w:t>
            </w:r>
          </w:p>
        </w:tc>
        <w:tc>
          <w:tcPr>
            <w:tcW w:w="780" w:type="dxa"/>
            <w:vAlign w:val="bottom"/>
            <w:gridSpan w:val="2"/>
          </w:tcPr>
          <w:p>
            <w:pPr>
              <w:spacing w:after="0"/>
              <w:rPr>
                <w:sz w:val="20"/>
                <w:szCs w:val="20"/>
                <w:color w:val="auto"/>
              </w:rPr>
            </w:pPr>
            <w:r>
              <w:rPr>
                <w:rFonts w:ascii="Arial" w:cs="Arial" w:eastAsia="Arial" w:hAnsi="Arial"/>
                <w:sz w:val="15"/>
                <w:szCs w:val="15"/>
                <w:b w:val="1"/>
                <w:bCs w:val="1"/>
                <w:color w:val="auto"/>
              </w:rPr>
              <w:t>​$ 604,356</w:t>
            </w:r>
          </w:p>
        </w:tc>
        <w:tc>
          <w:tcPr>
            <w:tcW w:w="460" w:type="dxa"/>
            <w:vAlign w:val="bottom"/>
          </w:tcPr>
          <w:p>
            <w:pPr>
              <w:ind w:left="340"/>
              <w:spacing w:after="0"/>
              <w:rPr>
                <w:sz w:val="20"/>
                <w:szCs w:val="20"/>
                <w:color w:val="auto"/>
              </w:rPr>
            </w:pPr>
            <w:r>
              <w:rPr>
                <w:rFonts w:ascii="Arial" w:cs="Arial" w:eastAsia="Arial" w:hAnsi="Arial"/>
                <w:sz w:val="15"/>
                <w:szCs w:val="15"/>
                <w:b w:val="1"/>
                <w:bCs w:val="1"/>
                <w:color w:val="auto"/>
              </w:rPr>
              <w:t>​</w:t>
            </w:r>
          </w:p>
        </w:tc>
        <w:tc>
          <w:tcPr>
            <w:tcW w:w="660" w:type="dxa"/>
            <w:vAlign w:val="bottom"/>
          </w:tcPr>
          <w:p>
            <w:pPr>
              <w:jc w:val="right"/>
              <w:ind w:right="125"/>
              <w:spacing w:after="0"/>
              <w:rPr>
                <w:sz w:val="20"/>
                <w:szCs w:val="20"/>
                <w:color w:val="auto"/>
              </w:rPr>
            </w:pPr>
            <w:r>
              <w:rPr>
                <w:rFonts w:ascii="Arial" w:cs="Arial" w:eastAsia="Arial" w:hAnsi="Arial"/>
                <w:sz w:val="15"/>
                <w:szCs w:val="15"/>
                <w:b w:val="1"/>
                <w:bCs w:val="1"/>
                <w:color w:val="auto"/>
              </w:rPr>
              <w:t>-6.3%</w:t>
            </w:r>
          </w:p>
        </w:tc>
        <w:tc>
          <w:tcPr>
            <w:tcW w:w="40" w:type="dxa"/>
            <w:vAlign w:val="bottom"/>
          </w:tcPr>
          <w:p>
            <w:pPr>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4253865</wp:posOffset>
            </wp:positionH>
            <wp:positionV relativeFrom="paragraph">
              <wp:posOffset>-458470</wp:posOffset>
            </wp:positionV>
            <wp:extent cx="5715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150" cy="698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-458470</wp:posOffset>
            </wp:positionV>
            <wp:extent cx="5715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150" cy="6985"/>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-458470</wp:posOffset>
            </wp:positionV>
            <wp:extent cx="5715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150" cy="698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-458470</wp:posOffset>
            </wp:positionV>
            <wp:extent cx="5715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150" cy="6985"/>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-458470</wp:posOffset>
            </wp:positionV>
            <wp:extent cx="5016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0165" cy="6985"/>
                    </a:xfrm>
                    <a:prstGeom prst="rect">
                      <a:avLst/>
                    </a:prstGeom>
                    <a:noFill/>
                  </pic:spPr>
                </pic:pic>
              </a:graphicData>
            </a:graphic>
          </wp:anchor>
        </w:drawing>
      </w:r>
    </w:p>
    <w:p>
      <w:pPr>
        <w:ind w:left="1360" w:hanging="295"/>
        <w:spacing w:after="0" w:line="198" w:lineRule="auto"/>
        <w:tabs>
          <w:tab w:leader="none" w:pos="1360" w:val="left"/>
        </w:tabs>
        <w:numPr>
          <w:ilvl w:val="0"/>
          <w:numId w:val="44"/>
        </w:numPr>
        <w:rPr>
          <w:rFonts w:ascii="Arial" w:cs="Arial" w:eastAsia="Arial" w:hAnsi="Arial"/>
          <w:sz w:val="23"/>
          <w:szCs w:val="23"/>
          <w:color w:val="auto"/>
          <w:vertAlign w:val="superscript"/>
        </w:rPr>
      </w:pPr>
      <w:r>
        <w:rPr>
          <w:rFonts w:ascii="Arial" w:cs="Arial" w:eastAsia="Arial" w:hAnsi="Arial"/>
          <w:sz w:val="15"/>
          <w:szCs w:val="15"/>
          <w:color w:val="auto"/>
        </w:rPr>
        <w:t>Increase in salary is due to the legally required Luxembourg salary indexation</w:t>
      </w:r>
    </w:p>
    <w:p>
      <w:pPr>
        <w:spacing w:after="0" w:line="107" w:lineRule="exact"/>
        <w:rPr>
          <w:sz w:val="20"/>
          <w:szCs w:val="20"/>
          <w:color w:val="auto"/>
        </w:rPr>
      </w:pPr>
    </w:p>
    <w:p>
      <w:pPr>
        <w:ind w:left="1060" w:right="1219"/>
        <w:spacing w:after="0" w:line="287" w:lineRule="auto"/>
        <w:rPr>
          <w:sz w:val="20"/>
          <w:szCs w:val="20"/>
          <w:color w:val="auto"/>
        </w:rPr>
      </w:pPr>
      <w:r>
        <w:rPr>
          <w:rFonts w:ascii="Arial" w:cs="Arial" w:eastAsia="Arial" w:hAnsi="Arial"/>
          <w:sz w:val="15"/>
          <w:szCs w:val="15"/>
          <w:color w:val="auto"/>
        </w:rPr>
        <w:t>The following table summarizes the year-on-year change in compensation for the Non-PEO Named Executive Officers:</w:t>
      </w:r>
    </w:p>
    <w:p>
      <w:pPr>
        <w:spacing w:after="0" w:line="75" w:lineRule="exact"/>
        <w:rPr>
          <w:sz w:val="20"/>
          <w:szCs w:val="20"/>
          <w:color w:val="auto"/>
        </w:rPr>
      </w:pPr>
    </w:p>
    <w:tbl>
      <w:tblPr>
        <w:tblLayout w:type="fixed"/>
        <w:tblInd w:w="1060" w:type="dxa"/>
        <w:tblCellMar>
          <w:top w:w="0" w:type="dxa"/>
          <w:left w:w="0" w:type="dxa"/>
          <w:bottom w:w="0" w:type="dxa"/>
          <w:right w:w="0" w:type="dxa"/>
        </w:tblCellMar>
      </w:tblPr>
      <w:tr>
        <w:trPr>
          <w:trHeight w:val="172"/>
        </w:trPr>
        <w:tc>
          <w:tcPr>
            <w:tcW w:w="2580" w:type="dxa"/>
            <w:vAlign w:val="bottom"/>
            <w:vMerge w:val="restart"/>
          </w:tcPr>
          <w:p>
            <w:pPr>
              <w:spacing w:after="0"/>
              <w:rPr>
                <w:sz w:val="20"/>
                <w:szCs w:val="20"/>
                <w:color w:val="auto"/>
              </w:rPr>
            </w:pPr>
            <w:r>
              <w:rPr>
                <w:rFonts w:ascii="Arial" w:cs="Arial" w:eastAsia="Arial" w:hAnsi="Arial"/>
                <w:sz w:val="15"/>
                <w:szCs w:val="15"/>
                <w:b w:val="1"/>
                <w:bCs w:val="1"/>
                <w:color w:val="auto"/>
              </w:rPr>
              <w:t>Non-PEO Named Executive Officers</w:t>
            </w:r>
          </w:p>
        </w:tc>
        <w:tc>
          <w:tcPr>
            <w:tcW w:w="66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2022</w:t>
            </w:r>
          </w:p>
        </w:tc>
        <w:tc>
          <w:tcPr>
            <w:tcW w:w="1820" w:type="dxa"/>
            <w:vAlign w:val="bottom"/>
            <w:gridSpan w:val="3"/>
          </w:tcPr>
          <w:p>
            <w:pPr>
              <w:jc w:val="right"/>
              <w:spacing w:after="0"/>
              <w:rPr>
                <w:sz w:val="20"/>
                <w:szCs w:val="20"/>
                <w:color w:val="auto"/>
              </w:rPr>
            </w:pPr>
            <w:r>
              <w:rPr>
                <w:rFonts w:ascii="Arial" w:cs="Arial" w:eastAsia="Arial" w:hAnsi="Arial"/>
                <w:sz w:val="15"/>
                <w:szCs w:val="15"/>
                <w:b w:val="1"/>
                <w:bCs w:val="1"/>
                <w:color w:val="auto"/>
              </w:rPr>
              <w:t>% Change from</w:t>
            </w:r>
          </w:p>
        </w:tc>
        <w:tc>
          <w:tcPr>
            <w:tcW w:w="1860" w:type="dxa"/>
            <w:vAlign w:val="bottom"/>
            <w:gridSpan w:val="3"/>
          </w:tcPr>
          <w:p>
            <w:pPr>
              <w:jc w:val="right"/>
              <w:spacing w:after="0"/>
              <w:rPr>
                <w:sz w:val="20"/>
                <w:szCs w:val="20"/>
                <w:color w:val="auto"/>
              </w:rPr>
            </w:pPr>
            <w:r>
              <w:rPr>
                <w:rFonts w:ascii="Arial" w:cs="Arial" w:eastAsia="Arial" w:hAnsi="Arial"/>
                <w:sz w:val="15"/>
                <w:szCs w:val="15"/>
                <w:b w:val="1"/>
                <w:bCs w:val="1"/>
                <w:color w:val="auto"/>
              </w:rPr>
              <w:t>% Change from</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5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b w:val="1"/>
                <w:bCs w:val="1"/>
                <w:color w:val="auto"/>
              </w:rPr>
              <w:t>2023</w:t>
            </w:r>
          </w:p>
        </w:tc>
        <w:tc>
          <w:tcPr>
            <w:tcW w:w="102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5"/>
                <w:szCs w:val="15"/>
                <w:b w:val="1"/>
                <w:bCs w:val="1"/>
                <w:color w:val="auto"/>
              </w:rPr>
              <w:t>2022 to 2023</w:t>
            </w: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rPr>
              <w:t>2024</w:t>
            </w:r>
          </w:p>
        </w:tc>
        <w:tc>
          <w:tcPr>
            <w:tcW w:w="104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5"/>
                <w:szCs w:val="15"/>
                <w:b w:val="1"/>
                <w:bCs w:val="1"/>
                <w:color w:val="auto"/>
              </w:rPr>
              <w:t>2023 to 2024</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580" w:type="dxa"/>
            <w:vAlign w:val="bottom"/>
            <w:shd w:val="clear" w:color="auto" w:fill="CCEEFF"/>
          </w:tcPr>
          <w:p>
            <w:pPr>
              <w:spacing w:after="0" w:line="183" w:lineRule="exact"/>
              <w:rPr>
                <w:sz w:val="20"/>
                <w:szCs w:val="20"/>
                <w:color w:val="auto"/>
              </w:rPr>
            </w:pPr>
            <w:r>
              <w:rPr>
                <w:rFonts w:ascii="Arial" w:cs="Arial" w:eastAsia="Arial" w:hAnsi="Arial"/>
                <w:sz w:val="15"/>
                <w:szCs w:val="15"/>
                <w:color w:val="auto"/>
              </w:rPr>
              <w:t>Salary</w:t>
            </w:r>
            <w:r>
              <w:rPr>
                <w:rFonts w:ascii="Arial" w:cs="Arial" w:eastAsia="Arial" w:hAnsi="Arial"/>
                <w:sz w:val="19"/>
                <w:szCs w:val="19"/>
                <w:color w:val="auto"/>
                <w:vertAlign w:val="superscript"/>
              </w:rPr>
              <w:t>(1)</w:t>
            </w:r>
          </w:p>
        </w:tc>
        <w:tc>
          <w:tcPr>
            <w:tcW w:w="66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​$454,208</w:t>
            </w:r>
          </w:p>
        </w:tc>
        <w:tc>
          <w:tcPr>
            <w:tcW w:w="80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$ 469,233</w:t>
            </w:r>
          </w:p>
        </w:tc>
        <w:tc>
          <w:tcPr>
            <w:tcW w:w="3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3.3%</w:t>
            </w:r>
          </w:p>
        </w:tc>
        <w:tc>
          <w:tcPr>
            <w:tcW w:w="820" w:type="dxa"/>
            <w:vAlign w:val="bottom"/>
            <w:shd w:val="clear" w:color="auto" w:fill="CCEEFF"/>
          </w:tcPr>
          <w:p>
            <w:pPr>
              <w:spacing w:after="0"/>
              <w:rPr>
                <w:sz w:val="20"/>
                <w:szCs w:val="20"/>
                <w:color w:val="auto"/>
              </w:rPr>
            </w:pPr>
            <w:r>
              <w:rPr>
                <w:rFonts w:ascii="Arial" w:cs="Arial" w:eastAsia="Arial" w:hAnsi="Arial"/>
                <w:sz w:val="15"/>
                <w:szCs w:val="15"/>
                <w:color w:val="auto"/>
              </w:rPr>
              <w:t>​​$ 447,733</w:t>
            </w:r>
          </w:p>
        </w:tc>
        <w:tc>
          <w:tcPr>
            <w:tcW w:w="3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rPr>
              <w:t>-4.6%</w:t>
            </w:r>
          </w:p>
        </w:tc>
        <w:tc>
          <w:tcPr>
            <w:tcW w:w="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2580" w:type="dxa"/>
            <w:vAlign w:val="bottom"/>
          </w:tcPr>
          <w:p>
            <w:pPr>
              <w:spacing w:after="0" w:line="170" w:lineRule="exact"/>
              <w:rPr>
                <w:sz w:val="20"/>
                <w:szCs w:val="20"/>
                <w:color w:val="auto"/>
              </w:rPr>
            </w:pPr>
            <w:r>
              <w:rPr>
                <w:rFonts w:ascii="Arial" w:cs="Arial" w:eastAsia="Arial" w:hAnsi="Arial"/>
                <w:sz w:val="15"/>
                <w:szCs w:val="15"/>
                <w:color w:val="auto"/>
              </w:rPr>
              <w:t>Stock Awards</w:t>
            </w:r>
          </w:p>
        </w:tc>
        <w:tc>
          <w:tcPr>
            <w:tcW w:w="660" w:type="dxa"/>
            <w:vAlign w:val="bottom"/>
          </w:tcPr>
          <w:p>
            <w:pPr>
              <w:jc w:val="center"/>
              <w:spacing w:after="0" w:line="170" w:lineRule="exact"/>
              <w:rPr>
                <w:sz w:val="20"/>
                <w:szCs w:val="20"/>
                <w:color w:val="auto"/>
              </w:rPr>
            </w:pPr>
            <w:r>
              <w:rPr>
                <w:rFonts w:ascii="Arial" w:cs="Arial" w:eastAsia="Arial" w:hAnsi="Arial"/>
                <w:sz w:val="15"/>
                <w:szCs w:val="15"/>
                <w:color w:val="auto"/>
              </w:rPr>
              <w:t>​$138,685</w:t>
            </w:r>
          </w:p>
        </w:tc>
        <w:tc>
          <w:tcPr>
            <w:tcW w:w="800" w:type="dxa"/>
            <w:vAlign w:val="bottom"/>
          </w:tcPr>
          <w:p>
            <w:pPr>
              <w:jc w:val="right"/>
              <w:spacing w:after="0" w:line="170"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$(253,335)</w:t>
            </w:r>
          </w:p>
        </w:tc>
        <w:tc>
          <w:tcPr>
            <w:tcW w:w="1020" w:type="dxa"/>
            <w:vAlign w:val="bottom"/>
            <w:gridSpan w:val="2"/>
          </w:tcPr>
          <w:p>
            <w:pPr>
              <w:jc w:val="right"/>
              <w:ind w:right="85"/>
              <w:spacing w:after="0" w:line="170" w:lineRule="exact"/>
              <w:rPr>
                <w:sz w:val="20"/>
                <w:szCs w:val="20"/>
                <w:color w:val="auto"/>
              </w:rPr>
            </w:pPr>
            <w:r>
              <w:rPr>
                <w:rFonts w:ascii="Arial" w:cs="Arial" w:eastAsia="Arial" w:hAnsi="Arial"/>
                <w:sz w:val="15"/>
                <w:szCs w:val="15"/>
                <w:color w:val="auto"/>
              </w:rPr>
              <w:t>​ -282.7%</w:t>
            </w:r>
          </w:p>
        </w:tc>
        <w:tc>
          <w:tcPr>
            <w:tcW w:w="820" w:type="dxa"/>
            <w:vAlign w:val="bottom"/>
          </w:tcPr>
          <w:p>
            <w:pPr>
              <w:spacing w:after="0" w:line="170" w:lineRule="exact"/>
              <w:rPr>
                <w:sz w:val="20"/>
                <w:szCs w:val="20"/>
                <w:color w:val="auto"/>
              </w:rPr>
            </w:pPr>
            <w:r>
              <w:rPr>
                <w:rFonts w:ascii="Arial" w:cs="Arial" w:eastAsia="Arial" w:hAnsi="Arial"/>
                <w:sz w:val="15"/>
                <w:szCs w:val="15"/>
                <w:color w:val="auto"/>
              </w:rPr>
              <w:t>​​$(166,027)</w:t>
            </w:r>
          </w:p>
        </w:tc>
        <w:tc>
          <w:tcPr>
            <w:tcW w:w="340" w:type="dxa"/>
            <w:vAlign w:val="bottom"/>
          </w:tcPr>
          <w:p>
            <w:pPr>
              <w:ind w:left="260"/>
              <w:spacing w:after="0" w:line="170" w:lineRule="exact"/>
              <w:rPr>
                <w:sz w:val="20"/>
                <w:szCs w:val="20"/>
                <w:color w:val="auto"/>
              </w:rPr>
            </w:pPr>
            <w:r>
              <w:rPr>
                <w:rFonts w:ascii="Arial" w:cs="Arial" w:eastAsia="Arial" w:hAnsi="Arial"/>
                <w:sz w:val="15"/>
                <w:szCs w:val="15"/>
                <w:color w:val="auto"/>
              </w:rPr>
              <w:t>​</w:t>
            </w:r>
          </w:p>
        </w:tc>
        <w:tc>
          <w:tcPr>
            <w:tcW w:w="700" w:type="dxa"/>
            <w:vAlign w:val="bottom"/>
          </w:tcPr>
          <w:p>
            <w:pPr>
              <w:jc w:val="right"/>
              <w:ind w:right="145"/>
              <w:spacing w:after="0" w:line="170" w:lineRule="exact"/>
              <w:rPr>
                <w:sz w:val="20"/>
                <w:szCs w:val="20"/>
                <w:color w:val="auto"/>
              </w:rPr>
            </w:pPr>
            <w:r>
              <w:rPr>
                <w:rFonts w:ascii="Arial" w:cs="Arial" w:eastAsia="Arial" w:hAnsi="Arial"/>
                <w:sz w:val="15"/>
                <w:szCs w:val="15"/>
                <w:color w:val="auto"/>
              </w:rPr>
              <w:t>34.5%</w:t>
            </w:r>
          </w:p>
        </w:tc>
        <w:tc>
          <w:tcPr>
            <w:tcW w:w="40" w:type="dxa"/>
            <w:vAlign w:val="bottom"/>
          </w:tcPr>
          <w:p>
            <w:pPr>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258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All Other Compensation</w:t>
            </w:r>
          </w:p>
        </w:tc>
        <w:tc>
          <w:tcPr>
            <w:tcW w:w="660" w:type="dxa"/>
            <w:vAlign w:val="bottom"/>
            <w:shd w:val="clear" w:color="auto" w:fill="CCEEFF"/>
          </w:tcPr>
          <w:p>
            <w:pPr>
              <w:jc w:val="center"/>
              <w:spacing w:after="0" w:line="170" w:lineRule="exact"/>
              <w:rPr>
                <w:sz w:val="20"/>
                <w:szCs w:val="20"/>
                <w:color w:val="auto"/>
              </w:rPr>
            </w:pPr>
            <w:r>
              <w:rPr>
                <w:rFonts w:ascii="Arial" w:cs="Arial" w:eastAsia="Arial" w:hAnsi="Arial"/>
                <w:sz w:val="15"/>
                <w:szCs w:val="15"/>
                <w:color w:val="auto"/>
              </w:rPr>
              <w:t>​$ 46,038</w:t>
            </w:r>
          </w:p>
        </w:tc>
        <w:tc>
          <w:tcPr>
            <w:tcW w:w="800" w:type="dxa"/>
            <w:vAlign w:val="bottom"/>
            <w:shd w:val="clear" w:color="auto" w:fill="CCEEFF"/>
          </w:tcPr>
          <w:p>
            <w:pPr>
              <w:jc w:val="right"/>
              <w:ind w:right="25"/>
              <w:spacing w:after="0" w:line="170"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  55,523</w:t>
            </w:r>
          </w:p>
        </w:tc>
        <w:tc>
          <w:tcPr>
            <w:tcW w:w="300" w:type="dxa"/>
            <w:vAlign w:val="bottom"/>
            <w:shd w:val="clear" w:color="auto" w:fill="CCEEFF"/>
          </w:tcPr>
          <w:p>
            <w:pPr>
              <w:ind w:left="200"/>
              <w:spacing w:after="0" w:line="170"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85"/>
              <w:spacing w:after="0" w:line="170" w:lineRule="exact"/>
              <w:rPr>
                <w:sz w:val="20"/>
                <w:szCs w:val="20"/>
                <w:color w:val="auto"/>
              </w:rPr>
            </w:pPr>
            <w:r>
              <w:rPr>
                <w:rFonts w:ascii="Arial" w:cs="Arial" w:eastAsia="Arial" w:hAnsi="Arial"/>
                <w:sz w:val="15"/>
                <w:szCs w:val="15"/>
                <w:color w:val="auto"/>
              </w:rPr>
              <w:t>20.6%</w:t>
            </w:r>
          </w:p>
        </w:tc>
        <w:tc>
          <w:tcPr>
            <w:tcW w:w="82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  17,631</w:t>
            </w:r>
          </w:p>
        </w:tc>
        <w:tc>
          <w:tcPr>
            <w:tcW w:w="1040" w:type="dxa"/>
            <w:vAlign w:val="bottom"/>
            <w:gridSpan w:val="2"/>
            <w:shd w:val="clear" w:color="auto" w:fill="CCEEFF"/>
          </w:tcPr>
          <w:p>
            <w:pPr>
              <w:jc w:val="right"/>
              <w:ind w:right="145"/>
              <w:spacing w:after="0" w:line="170" w:lineRule="exact"/>
              <w:rPr>
                <w:sz w:val="20"/>
                <w:szCs w:val="20"/>
                <w:color w:val="auto"/>
              </w:rPr>
            </w:pPr>
            <w:r>
              <w:rPr>
                <w:rFonts w:ascii="Arial" w:cs="Arial" w:eastAsia="Arial" w:hAnsi="Arial"/>
                <w:sz w:val="15"/>
                <w:szCs w:val="15"/>
                <w:color w:val="auto"/>
              </w:rPr>
              <w:t>​ -68.2%</w:t>
            </w:r>
          </w:p>
        </w:tc>
        <w:tc>
          <w:tcPr>
            <w:tcW w:w="4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58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1460" w:type="dxa"/>
            <w:vAlign w:val="bottom"/>
            <w:gridSpan w:val="2"/>
          </w:tcPr>
          <w:p>
            <w:pPr>
              <w:jc w:val="right"/>
              <w:ind w:right="25"/>
              <w:spacing w:after="0"/>
              <w:rPr>
                <w:sz w:val="20"/>
                <w:szCs w:val="20"/>
                <w:color w:val="auto"/>
              </w:rPr>
            </w:pPr>
            <w:r>
              <w:rPr>
                <w:rFonts w:ascii="Arial" w:cs="Arial" w:eastAsia="Arial" w:hAnsi="Arial"/>
                <w:sz w:val="15"/>
                <w:szCs w:val="15"/>
                <w:b w:val="1"/>
                <w:bCs w:val="1"/>
                <w:color w:val="auto"/>
              </w:rPr>
              <w:t>​$638,930​$ 271,421</w:t>
            </w:r>
          </w:p>
        </w:tc>
        <w:tc>
          <w:tcPr>
            <w:tcW w:w="300" w:type="dxa"/>
            <w:vAlign w:val="bottom"/>
          </w:tcPr>
          <w:p>
            <w:pPr>
              <w:ind w:left="200"/>
              <w:spacing w:after="0"/>
              <w:rPr>
                <w:sz w:val="20"/>
                <w:szCs w:val="20"/>
                <w:color w:val="auto"/>
              </w:rPr>
            </w:pPr>
            <w:r>
              <w:rPr>
                <w:rFonts w:ascii="Arial" w:cs="Arial" w:eastAsia="Arial" w:hAnsi="Arial"/>
                <w:sz w:val="15"/>
                <w:szCs w:val="15"/>
                <w:b w:val="1"/>
                <w:bCs w:val="1"/>
                <w:color w:val="auto"/>
              </w:rPr>
              <w:t>​</w:t>
            </w:r>
          </w:p>
        </w:tc>
        <w:tc>
          <w:tcPr>
            <w:tcW w:w="720" w:type="dxa"/>
            <w:vAlign w:val="bottom"/>
          </w:tcPr>
          <w:p>
            <w:pPr>
              <w:jc w:val="right"/>
              <w:ind w:right="85"/>
              <w:spacing w:after="0"/>
              <w:rPr>
                <w:sz w:val="20"/>
                <w:szCs w:val="20"/>
                <w:color w:val="auto"/>
              </w:rPr>
            </w:pPr>
            <w:r>
              <w:rPr>
                <w:rFonts w:ascii="Arial" w:cs="Arial" w:eastAsia="Arial" w:hAnsi="Arial"/>
                <w:sz w:val="15"/>
                <w:szCs w:val="15"/>
                <w:b w:val="1"/>
                <w:bCs w:val="1"/>
                <w:color w:val="auto"/>
              </w:rPr>
              <w:t>-57.5%</w:t>
            </w:r>
          </w:p>
        </w:tc>
        <w:tc>
          <w:tcPr>
            <w:tcW w:w="820" w:type="dxa"/>
            <w:vAlign w:val="bottom"/>
          </w:tcPr>
          <w:p>
            <w:pPr>
              <w:spacing w:after="0"/>
              <w:rPr>
                <w:sz w:val="20"/>
                <w:szCs w:val="20"/>
                <w:color w:val="auto"/>
              </w:rPr>
            </w:pPr>
            <w:r>
              <w:rPr>
                <w:rFonts w:ascii="Arial" w:cs="Arial" w:eastAsia="Arial" w:hAnsi="Arial"/>
                <w:sz w:val="15"/>
                <w:szCs w:val="15"/>
                <w:b w:val="1"/>
                <w:bCs w:val="1"/>
                <w:color w:val="auto"/>
              </w:rPr>
              <w:t>​​$ 299,338</w:t>
            </w:r>
          </w:p>
        </w:tc>
        <w:tc>
          <w:tcPr>
            <w:tcW w:w="340" w:type="dxa"/>
            <w:vAlign w:val="bottom"/>
          </w:tcPr>
          <w:p>
            <w:pPr>
              <w:ind w:left="260"/>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jc w:val="right"/>
              <w:ind w:right="145"/>
              <w:spacing w:after="0"/>
              <w:rPr>
                <w:sz w:val="20"/>
                <w:szCs w:val="20"/>
                <w:color w:val="auto"/>
              </w:rPr>
            </w:pPr>
            <w:r>
              <w:rPr>
                <w:rFonts w:ascii="Arial" w:cs="Arial" w:eastAsia="Arial" w:hAnsi="Arial"/>
                <w:sz w:val="15"/>
                <w:szCs w:val="15"/>
                <w:b w:val="1"/>
                <w:bCs w:val="1"/>
                <w:color w:val="auto"/>
              </w:rPr>
              <w:t>10.3%</w:t>
            </w:r>
          </w:p>
        </w:tc>
        <w:tc>
          <w:tcPr>
            <w:tcW w:w="40" w:type="dxa"/>
            <w:vAlign w:val="bottom"/>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1360" w:right="1439" w:hanging="295"/>
        <w:spacing w:after="0" w:line="208" w:lineRule="auto"/>
        <w:tabs>
          <w:tab w:leader="none" w:pos="1360" w:val="left"/>
        </w:tabs>
        <w:numPr>
          <w:ilvl w:val="0"/>
          <w:numId w:val="45"/>
        </w:numPr>
        <w:rPr>
          <w:rFonts w:ascii="Arial" w:cs="Arial" w:eastAsia="Arial" w:hAnsi="Arial"/>
          <w:sz w:val="23"/>
          <w:szCs w:val="23"/>
          <w:color w:val="auto"/>
          <w:vertAlign w:val="superscript"/>
        </w:rPr>
      </w:pPr>
      <w:r>
        <w:rPr>
          <w:rFonts w:ascii="Arial" w:cs="Arial" w:eastAsia="Arial" w:hAnsi="Arial"/>
          <w:sz w:val="15"/>
          <w:szCs w:val="15"/>
          <w:color w:val="auto"/>
        </w:rPr>
        <w:t>Change in salary is due to (i) the legally required Luxembourg salary indexation and (ii) Euro to U.S. dollar exchange rate fluctuation</w:t>
      </w:r>
    </w:p>
    <w:p>
      <w:pPr>
        <w:spacing w:after="0" w:line="96"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Summary of actual compensation paid to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115570</wp:posOffset>
            </wp:positionV>
            <wp:extent cx="4352925" cy="15373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52925" cy="1537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Note: The actual value of equity awards in 2023 and 2024 is negative.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4" w:name="page45"/>
    <w:bookmarkEnd w:id="44"/>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6" w:lineRule="exact"/>
        <w:rPr>
          <w:sz w:val="20"/>
          <w:szCs w:val="20"/>
          <w:color w:val="auto"/>
        </w:rPr>
      </w:pPr>
    </w:p>
    <w:p>
      <w:pPr>
        <w:ind w:left="660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PROPOSAL TWO</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-181610</wp:posOffset>
            </wp:positionV>
            <wp:extent cx="854710" cy="1219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4710" cy="121920"/>
                    </a:xfrm>
                    <a:prstGeom prst="rect">
                      <a:avLst/>
                    </a:prstGeom>
                    <a:noFill/>
                  </pic:spPr>
                </pic:pic>
              </a:graphicData>
            </a:graphic>
          </wp:anchor>
        </w:drawing>
      </w:r>
    </w:p>
    <w:p>
      <w:pPr>
        <w:spacing w:after="0" w:line="88" w:lineRule="exact"/>
        <w:rPr>
          <w:sz w:val="20"/>
          <w:szCs w:val="20"/>
          <w:color w:val="auto"/>
        </w:rPr>
      </w:pPr>
    </w:p>
    <w:p>
      <w:pPr>
        <w:ind w:left="1060" w:right="1119"/>
        <w:spacing w:after="0" w:line="283" w:lineRule="auto"/>
        <w:rPr>
          <w:sz w:val="20"/>
          <w:szCs w:val="20"/>
          <w:color w:val="auto"/>
        </w:rPr>
      </w:pPr>
      <w:r>
        <w:rPr>
          <w:rFonts w:ascii="Arial" w:cs="Arial" w:eastAsia="Arial" w:hAnsi="Arial"/>
          <w:sz w:val="18"/>
          <w:szCs w:val="18"/>
          <w:b w:val="1"/>
          <w:bCs w:val="1"/>
          <w:color w:val="auto"/>
        </w:rPr>
        <w:t>Proposal Two: Approval of Appointment of Independent Registered Accounting Firm and Certified Auditor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-6985</wp:posOffset>
            </wp:positionV>
            <wp:extent cx="436753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67530" cy="6985"/>
                    </a:xfrm>
                    <a:prstGeom prst="rect">
                      <a:avLst/>
                    </a:prstGeom>
                    <a:noFill/>
                  </pic:spPr>
                </pic:pic>
              </a:graphicData>
            </a:graphic>
          </wp:anchor>
        </w:drawing>
      </w:r>
    </w:p>
    <w:p>
      <w:pPr>
        <w:spacing w:after="0" w:line="100" w:lineRule="exact"/>
        <w:rPr>
          <w:sz w:val="20"/>
          <w:szCs w:val="20"/>
          <w:color w:val="auto"/>
        </w:rPr>
      </w:pPr>
    </w:p>
    <w:p>
      <w:pPr>
        <w:ind w:left="1060" w:right="1119"/>
        <w:spacing w:after="0" w:line="260" w:lineRule="auto"/>
        <w:rPr>
          <w:sz w:val="20"/>
          <w:szCs w:val="20"/>
          <w:color w:val="auto"/>
        </w:rPr>
      </w:pPr>
      <w:r>
        <w:rPr>
          <w:rFonts w:ascii="Arial" w:cs="Arial" w:eastAsia="Arial" w:hAnsi="Arial"/>
          <w:sz w:val="15"/>
          <w:szCs w:val="15"/>
          <w:color w:val="auto"/>
        </w:rPr>
        <w:t xml:space="preserve">The Audit Committee of our Board has approved the appointment of RSM US LLP (“RSM”) as our independent registered public accounting firm for the year ending December 31, 2025 and until the Company’s 2026 annual general meeting of shareholders, and the appointment of Atwell S.à r.l. (“Atwell”) as our certified auditor </w:t>
      </w:r>
      <w:r>
        <w:rPr>
          <w:rFonts w:ascii="Arial" w:cs="Arial" w:eastAsia="Arial" w:hAnsi="Arial"/>
          <w:sz w:val="15"/>
          <w:szCs w:val="15"/>
          <w:i w:val="1"/>
          <w:iCs w:val="1"/>
          <w:color w:val="auto"/>
        </w:rPr>
        <w:t>(Réviseur d’Entreprises)</w:t>
      </w:r>
      <w:r>
        <w:rPr>
          <w:rFonts w:ascii="Arial" w:cs="Arial" w:eastAsia="Arial" w:hAnsi="Arial"/>
          <w:sz w:val="15"/>
          <w:szCs w:val="15"/>
          <w:color w:val="auto"/>
        </w:rPr>
        <w:t xml:space="preserve"> for statutory accounts as required by Luxembourg law for the same period.</w:t>
      </w:r>
    </w:p>
    <w:p>
      <w:pPr>
        <w:spacing w:after="0" w:line="84" w:lineRule="exact"/>
        <w:rPr>
          <w:sz w:val="20"/>
          <w:szCs w:val="20"/>
          <w:color w:val="auto"/>
        </w:rPr>
      </w:pPr>
    </w:p>
    <w:p>
      <w:pPr>
        <w:ind w:left="1060" w:right="1739"/>
        <w:spacing w:after="0" w:line="287" w:lineRule="auto"/>
        <w:rPr>
          <w:sz w:val="20"/>
          <w:szCs w:val="20"/>
          <w:color w:val="auto"/>
        </w:rPr>
      </w:pPr>
      <w:r>
        <w:rPr>
          <w:rFonts w:ascii="Arial" w:cs="Arial" w:eastAsia="Arial" w:hAnsi="Arial"/>
          <w:sz w:val="15"/>
          <w:szCs w:val="15"/>
          <w:color w:val="auto"/>
        </w:rPr>
        <w:t>The Audit Committee further recommended that such appointments be submitted for approval by our shareholders at our Annual Meeting.</w:t>
      </w:r>
    </w:p>
    <w:p>
      <w:pPr>
        <w:spacing w:after="0" w:line="74" w:lineRule="exact"/>
        <w:rPr>
          <w:sz w:val="20"/>
          <w:szCs w:val="20"/>
          <w:color w:val="auto"/>
        </w:rPr>
      </w:pPr>
    </w:p>
    <w:p>
      <w:pPr>
        <w:ind w:left="1060" w:right="1199"/>
        <w:spacing w:after="0" w:line="269" w:lineRule="auto"/>
        <w:rPr>
          <w:sz w:val="20"/>
          <w:szCs w:val="20"/>
          <w:color w:val="auto"/>
        </w:rPr>
      </w:pPr>
      <w:r>
        <w:rPr>
          <w:rFonts w:ascii="Arial" w:cs="Arial" w:eastAsia="Arial" w:hAnsi="Arial"/>
          <w:sz w:val="15"/>
          <w:szCs w:val="15"/>
          <w:color w:val="auto"/>
        </w:rPr>
        <w:t>Representatives of RSM and Atwell will be offered the opportunity to be present at the Annual Meeting and to make any statements they deem appropriate. At this time, we do not expect such firms’ representatives to attend or join the Annual Meeting.</w:t>
      </w:r>
    </w:p>
    <w:p>
      <w:pPr>
        <w:spacing w:after="0" w:line="235" w:lineRule="exact"/>
        <w:rPr>
          <w:sz w:val="20"/>
          <w:szCs w:val="20"/>
          <w:color w:val="auto"/>
        </w:rPr>
      </w:pPr>
    </w:p>
    <w:p>
      <w:pPr>
        <w:jc w:val="center"/>
        <w:ind w:left="2460" w:right="220"/>
        <w:spacing w:after="0" w:line="275" w:lineRule="auto"/>
        <w:rPr>
          <w:sz w:val="20"/>
          <w:szCs w:val="20"/>
          <w:color w:val="auto"/>
        </w:rPr>
      </w:pPr>
      <w:r>
        <w:rPr>
          <w:rFonts w:ascii="Arial" w:cs="Arial" w:eastAsia="Arial" w:hAnsi="Arial"/>
          <w:sz w:val="15"/>
          <w:szCs w:val="15"/>
          <w:b w:val="1"/>
          <w:bCs w:val="1"/>
          <w:color w:val="auto"/>
        </w:rPr>
        <w:t>OUR BOARD OF DIRECTORS UNANIMOUSLY RECOMMENDS THAT YOU VOTE “FOR” THE APPROVAL OF APPOINTMENT OF INDEPENDENT REGISTERED ACCOUNTING FIRM AND CERTIFIED AUDITOR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5" w:name="page46"/>
    <w:bookmarkEnd w:id="45"/>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41275</wp:posOffset>
            </wp:positionV>
            <wp:extent cx="436753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67530" cy="6985"/>
                    </a:xfrm>
                    <a:prstGeom prst="rect">
                      <a:avLst/>
                    </a:prstGeom>
                    <a:noFill/>
                  </pic:spPr>
                </pic:pic>
              </a:graphicData>
            </a:graphic>
          </wp:anchor>
        </w:drawing>
      </w:r>
    </w:p>
    <w:p>
      <w:pPr>
        <w:spacing w:after="0" w:line="178" w:lineRule="exact"/>
        <w:rPr>
          <w:sz w:val="20"/>
          <w:szCs w:val="20"/>
          <w:color w:val="auto"/>
        </w:rPr>
      </w:pPr>
    </w:p>
    <w:p>
      <w:pPr>
        <w:ind w:left="1060" w:right="1139"/>
        <w:spacing w:after="0" w:line="256" w:lineRule="auto"/>
        <w:rPr>
          <w:sz w:val="20"/>
          <w:szCs w:val="20"/>
          <w:color w:val="auto"/>
        </w:rPr>
      </w:pPr>
      <w:r>
        <w:rPr>
          <w:rFonts w:ascii="Arial" w:cs="Arial" w:eastAsia="Arial" w:hAnsi="Arial"/>
          <w:sz w:val="15"/>
          <w:szCs w:val="15"/>
          <w:color w:val="auto"/>
        </w:rPr>
        <w:t>As described more fully in our charter, the Audit Committee reports to and acts on behalf of our Board by providing oversight of the financial management, independent auditors and financial reporting procedures of the Company. 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Our independent registered public accounting firm is responsible for performing an independent audit of the Company’s consolidated financial statements and of the effectiveness of its internal control over financial reporting in accordance with the Standards of the PCAOB.</w:t>
      </w:r>
    </w:p>
    <w:p>
      <w:pPr>
        <w:spacing w:after="0" w:line="267" w:lineRule="exact"/>
        <w:rPr>
          <w:sz w:val="20"/>
          <w:szCs w:val="20"/>
          <w:color w:val="auto"/>
        </w:rPr>
      </w:pPr>
    </w:p>
    <w:p>
      <w:pPr>
        <w:ind w:left="1060" w:right="1099"/>
        <w:spacing w:after="0" w:line="257" w:lineRule="auto"/>
        <w:rPr>
          <w:sz w:val="20"/>
          <w:szCs w:val="20"/>
          <w:color w:val="auto"/>
        </w:rPr>
      </w:pPr>
      <w:r>
        <w:rPr>
          <w:rFonts w:ascii="Arial" w:cs="Arial" w:eastAsia="Arial" w:hAnsi="Arial"/>
          <w:sz w:val="15"/>
          <w:szCs w:val="15"/>
          <w:color w:val="auto"/>
        </w:rPr>
        <w:t xml:space="preserve">In connection with these responsibilities, the Audit Committee met with management and our independent registered public accounting firm to review and discuss the December 31, 2024 audited consolidated financial statements. The Audit Committee has discussed with the independent registered public accounting firm the matters required to be discussed by the PCAOB Auditing Standard No. 1301, </w:t>
      </w:r>
      <w:r>
        <w:rPr>
          <w:rFonts w:ascii="Arial" w:cs="Arial" w:eastAsia="Arial" w:hAnsi="Arial"/>
          <w:sz w:val="15"/>
          <w:szCs w:val="15"/>
          <w:i w:val="1"/>
          <w:iCs w:val="1"/>
          <w:color w:val="auto"/>
        </w:rPr>
        <w:t>Communications with Audit Committees</w:t>
      </w:r>
      <w:r>
        <w:rPr>
          <w:rFonts w:ascii="Arial" w:cs="Arial" w:eastAsia="Arial" w:hAnsi="Arial"/>
          <w:sz w:val="15"/>
          <w:szCs w:val="15"/>
          <w:color w:val="auto"/>
        </w:rPr>
        <w:t>. The Audit Committee has also received written disclosures from the Company’s independent registered public accounting firm, as required by the PCAOB’s applicable requirements, and has discussed the firm’s independence with them.</w:t>
      </w:r>
    </w:p>
    <w:p>
      <w:pPr>
        <w:spacing w:after="0" w:line="279" w:lineRule="exact"/>
        <w:rPr>
          <w:sz w:val="20"/>
          <w:szCs w:val="20"/>
          <w:color w:val="auto"/>
        </w:rPr>
      </w:pPr>
    </w:p>
    <w:p>
      <w:pPr>
        <w:ind w:left="1060" w:right="1139"/>
        <w:spacing w:after="0" w:line="260" w:lineRule="auto"/>
        <w:rPr>
          <w:sz w:val="20"/>
          <w:szCs w:val="20"/>
          <w:color w:val="auto"/>
        </w:rPr>
      </w:pPr>
      <w:r>
        <w:rPr>
          <w:rFonts w:ascii="Arial" w:cs="Arial" w:eastAsia="Arial" w:hAnsi="Arial"/>
          <w:sz w:val="15"/>
          <w:szCs w:val="15"/>
          <w:color w:val="auto"/>
        </w:rPr>
        <w:t>Based upon the Audit Committee’s discussions with management and our independent registered public accounting firm referred to above, and the Audit Committee’s review of the representations of management, the Audit Committee recommended that our Board include the December 31, 2024 audited consolidated financial statements in our 2024 Form 10-K for the year ended December 31, 2024.</w:t>
      </w:r>
    </w:p>
    <w:p>
      <w:pPr>
        <w:spacing w:after="0" w:line="95" w:lineRule="exact"/>
        <w:rPr>
          <w:sz w:val="20"/>
          <w:szCs w:val="20"/>
          <w:color w:val="auto"/>
        </w:rPr>
      </w:pPr>
    </w:p>
    <w:p>
      <w:pPr>
        <w:ind w:left="4680"/>
        <w:spacing w:after="0"/>
        <w:rPr>
          <w:sz w:val="20"/>
          <w:szCs w:val="20"/>
          <w:color w:val="auto"/>
        </w:rPr>
      </w:pPr>
      <w:r>
        <w:rPr>
          <w:rFonts w:ascii="Arial" w:cs="Arial" w:eastAsia="Arial" w:hAnsi="Arial"/>
          <w:sz w:val="15"/>
          <w:szCs w:val="15"/>
          <w:b w:val="1"/>
          <w:bCs w:val="1"/>
          <w:color w:val="auto"/>
        </w:rPr>
        <w:t>Audit Committee:</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5"/>
          <w:szCs w:val="15"/>
          <w:color w:val="auto"/>
        </w:rPr>
        <w:t>Roland Müller-Ineichen, Chair</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5"/>
          <w:szCs w:val="15"/>
          <w:color w:val="auto"/>
        </w:rPr>
        <w:t>Mary C. Hickok, Director</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5"/>
          <w:szCs w:val="15"/>
          <w:color w:val="auto"/>
        </w:rPr>
        <w:t>Joseph L. Morettini, Director</w:t>
      </w:r>
    </w:p>
    <w:p>
      <w:pPr>
        <w:spacing w:after="0" w:line="108"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6" w:name="page47"/>
    <w:bookmarkEnd w:id="46"/>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External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41275</wp:posOffset>
            </wp:positionV>
            <wp:extent cx="436753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67530" cy="6985"/>
                    </a:xfrm>
                    <a:prstGeom prst="rect">
                      <a:avLst/>
                    </a:prstGeom>
                    <a:noFill/>
                  </pic:spPr>
                </pic:pic>
              </a:graphicData>
            </a:graphic>
          </wp:anchor>
        </w:drawing>
      </w:r>
    </w:p>
    <w:p>
      <w:pPr>
        <w:spacing w:after="0" w:line="178" w:lineRule="exact"/>
        <w:rPr>
          <w:sz w:val="20"/>
          <w:szCs w:val="20"/>
          <w:color w:val="auto"/>
        </w:rPr>
      </w:pPr>
    </w:p>
    <w:p>
      <w:pPr>
        <w:ind w:left="1060" w:right="1099"/>
        <w:spacing w:after="0" w:line="269" w:lineRule="auto"/>
        <w:rPr>
          <w:sz w:val="20"/>
          <w:szCs w:val="20"/>
          <w:color w:val="auto"/>
        </w:rPr>
      </w:pPr>
      <w:r>
        <w:rPr>
          <w:rFonts w:ascii="Arial" w:cs="Arial" w:eastAsia="Arial" w:hAnsi="Arial"/>
          <w:sz w:val="15"/>
          <w:szCs w:val="15"/>
          <w:color w:val="auto"/>
        </w:rPr>
        <w:t>The following table shows the aggregate fees billed to Altisource for professional services by Mayer Hoffman McCann P.C. (“MHM”), RSM US LLP (“RSM”) and Atwell S.à r.l. (“Atwell”) in fiscal years 2023 and 2024.</w:t>
      </w:r>
    </w:p>
    <w:p>
      <w:pPr>
        <w:spacing w:after="0" w:line="99" w:lineRule="exact"/>
        <w:rPr>
          <w:sz w:val="20"/>
          <w:szCs w:val="20"/>
          <w:color w:val="auto"/>
        </w:rPr>
      </w:pPr>
    </w:p>
    <w:tbl>
      <w:tblPr>
        <w:tblLayout w:type="fixed"/>
        <w:tblInd w:w="1660" w:type="dxa"/>
        <w:tblCellMar>
          <w:top w:w="0" w:type="dxa"/>
          <w:left w:w="0" w:type="dxa"/>
          <w:bottom w:w="0" w:type="dxa"/>
          <w:right w:w="0" w:type="dxa"/>
        </w:tblCellMar>
      </w:tblPr>
      <w:tr>
        <w:trPr>
          <w:trHeight w:val="184"/>
        </w:trPr>
        <w:tc>
          <w:tcPr>
            <w:tcW w:w="280" w:type="dxa"/>
            <w:vAlign w:val="bottom"/>
          </w:tcPr>
          <w:p>
            <w:pPr>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3360" w:type="dxa"/>
            <w:vAlign w:val="bottom"/>
          </w:tcPr>
          <w:p>
            <w:pPr>
              <w:ind w:left="1180"/>
              <w:spacing w:after="0"/>
              <w:rPr>
                <w:sz w:val="20"/>
                <w:szCs w:val="20"/>
                <w:color w:val="auto"/>
              </w:rPr>
            </w:pPr>
            <w:r>
              <w:rPr>
                <w:rFonts w:ascii="Arial" w:cs="Arial" w:eastAsia="Arial" w:hAnsi="Arial"/>
                <w:sz w:val="15"/>
                <w:szCs w:val="15"/>
                <w:b w:val="1"/>
                <w:bCs w:val="1"/>
                <w:color w:val="auto"/>
              </w:rPr>
              <w:t>Category</w:t>
            </w:r>
          </w:p>
        </w:tc>
        <w:tc>
          <w:tcPr>
            <w:tcW w:w="380" w:type="dxa"/>
            <w:vAlign w:val="bottom"/>
            <w:gridSpan w:val="2"/>
          </w:tcPr>
          <w:p>
            <w:pPr>
              <w:ind w:left="60"/>
              <w:spacing w:after="0"/>
              <w:rPr>
                <w:sz w:val="20"/>
                <w:szCs w:val="20"/>
                <w:color w:val="auto"/>
              </w:rPr>
            </w:pPr>
            <w:r>
              <w:rPr>
                <w:rFonts w:ascii="Arial" w:cs="Arial" w:eastAsia="Arial" w:hAnsi="Arial"/>
                <w:sz w:val="15"/>
                <w:szCs w:val="15"/>
                <w:b w:val="1"/>
                <w:bCs w:val="1"/>
                <w:color w:val="auto"/>
              </w:rPr>
              <w:t>​ ​</w:t>
            </w:r>
          </w:p>
        </w:tc>
        <w:tc>
          <w:tcPr>
            <w:tcW w:w="600" w:type="dxa"/>
            <w:vAlign w:val="bottom"/>
          </w:tcPr>
          <w:p>
            <w:pPr>
              <w:jc w:val="right"/>
              <w:ind w:right="145"/>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720" w:type="dxa"/>
            <w:vAlign w:val="bottom"/>
            <w:gridSpan w:val="2"/>
          </w:tcPr>
          <w:p>
            <w:pPr>
              <w:jc w:val="right"/>
              <w:ind w:right="14"/>
              <w:spacing w:after="0"/>
              <w:rPr>
                <w:sz w:val="20"/>
                <w:szCs w:val="20"/>
                <w:color w:val="auto"/>
              </w:rPr>
            </w:pPr>
            <w:r>
              <w:rPr>
                <w:rFonts w:ascii="Arial" w:cs="Arial" w:eastAsia="Arial" w:hAnsi="Arial"/>
                <w:sz w:val="15"/>
                <w:szCs w:val="15"/>
                <w:b w:val="1"/>
                <w:bCs w:val="1"/>
                <w:color w:val="auto"/>
              </w:rPr>
              <w:t>2024   ​</w:t>
            </w:r>
          </w:p>
        </w:tc>
        <w:tc>
          <w:tcPr>
            <w:tcW w:w="0" w:type="dxa"/>
            <w:vAlign w:val="bottom"/>
          </w:tcPr>
          <w:p>
            <w:pPr>
              <w:spacing w:after="0"/>
              <w:rPr>
                <w:sz w:val="1"/>
                <w:szCs w:val="1"/>
                <w:color w:val="auto"/>
              </w:rPr>
            </w:pPr>
          </w:p>
        </w:tc>
      </w:tr>
      <w:tr>
        <w:trPr>
          <w:trHeight w:val="20"/>
        </w:trPr>
        <w:tc>
          <w:tcPr>
            <w:tcW w:w="380" w:type="dxa"/>
            <w:vAlign w:val="bottom"/>
            <w:gridSpan w:val="2"/>
            <w:shd w:val="clear" w:color="auto" w:fill="000000"/>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40" w:type="dxa"/>
            <w:vAlign w:val="bottom"/>
            <w:tcBorders>
              <w:left w:val="single" w:sz="8" w:color="CCEEFF"/>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8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rPr>
              <w:t>Audit​</w:t>
            </w:r>
          </w:p>
        </w:tc>
        <w:tc>
          <w:tcPr>
            <w:tcW w:w="3360" w:type="dxa"/>
            <w:vAlign w:val="bottom"/>
            <w:shd w:val="clear" w:color="auto" w:fill="CCEEFF"/>
          </w:tcPr>
          <w:p>
            <w:pPr>
              <w:ind w:left="60"/>
              <w:spacing w:after="0" w:line="161" w:lineRule="exact"/>
              <w:rPr>
                <w:sz w:val="20"/>
                <w:szCs w:val="20"/>
                <w:color w:val="auto"/>
              </w:rPr>
            </w:pPr>
            <w:r>
              <w:rPr>
                <w:rFonts w:ascii="Arial" w:cs="Arial" w:eastAsia="Arial" w:hAnsi="Arial"/>
                <w:sz w:val="15"/>
                <w:szCs w:val="15"/>
                <w:color w:val="auto"/>
              </w:rPr>
              <w:t>Fees</w:t>
            </w:r>
          </w:p>
        </w:tc>
        <w:tc>
          <w:tcPr>
            <w:tcW w:w="980" w:type="dxa"/>
            <w:vAlign w:val="bottom"/>
            <w:gridSpan w:val="3"/>
            <w:shd w:val="clear" w:color="auto" w:fill="CCEEFF"/>
          </w:tcPr>
          <w:p>
            <w:pPr>
              <w:ind w:left="60"/>
              <w:spacing w:after="0" w:line="161" w:lineRule="exact"/>
              <w:rPr>
                <w:sz w:val="20"/>
                <w:szCs w:val="20"/>
                <w:color w:val="auto"/>
              </w:rPr>
            </w:pPr>
            <w:r>
              <w:rPr>
                <w:rFonts w:ascii="Arial" w:cs="Arial" w:eastAsia="Arial" w:hAnsi="Arial"/>
                <w:sz w:val="15"/>
                <w:szCs w:val="15"/>
                <w:color w:val="auto"/>
              </w:rPr>
              <w:t>​ ​​$1,825,616​​</w:t>
            </w:r>
          </w:p>
        </w:tc>
        <w:tc>
          <w:tcPr>
            <w:tcW w:w="120" w:type="dxa"/>
            <w:vAlign w:val="bottom"/>
            <w:vMerge w:val="continue"/>
            <w:shd w:val="clear" w:color="auto" w:fill="CCEEFF"/>
          </w:tcPr>
          <w:p>
            <w:pPr>
              <w:spacing w:after="0"/>
              <w:rPr>
                <w:sz w:val="14"/>
                <w:szCs w:val="14"/>
                <w:color w:val="auto"/>
              </w:rPr>
            </w:pPr>
          </w:p>
        </w:tc>
        <w:tc>
          <w:tcPr>
            <w:tcW w:w="840" w:type="dxa"/>
            <w:vAlign w:val="bottom"/>
            <w:tcBorders>
              <w:left w:val="single" w:sz="8" w:color="CCEEFF"/>
            </w:tcBorders>
            <w:gridSpan w:val="2"/>
            <w:shd w:val="clear" w:color="auto" w:fill="CCEEFF"/>
          </w:tcPr>
          <w:p>
            <w:pPr>
              <w:ind w:left="20"/>
              <w:spacing w:after="0" w:line="161" w:lineRule="exact"/>
              <w:rPr>
                <w:sz w:val="20"/>
                <w:szCs w:val="20"/>
                <w:color w:val="auto"/>
              </w:rPr>
            </w:pPr>
            <w:r>
              <w:rPr>
                <w:rFonts w:ascii="Arial" w:cs="Arial" w:eastAsia="Arial" w:hAnsi="Arial"/>
                <w:sz w:val="15"/>
                <w:szCs w:val="15"/>
                <w:color w:val="auto"/>
              </w:rPr>
              <w:t>​​$1,626,888​</w:t>
            </w:r>
          </w:p>
        </w:tc>
        <w:tc>
          <w:tcPr>
            <w:tcW w:w="120" w:type="dxa"/>
            <w:vAlign w:val="bottom"/>
            <w:vMerge w:val="restart"/>
          </w:tcPr>
          <w:p>
            <w:pPr>
              <w:jc w:val="right"/>
              <w:ind w:right="1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380" w:type="dxa"/>
            <w:vAlign w:val="bottom"/>
            <w:gridSpan w:val="2"/>
          </w:tcPr>
          <w:p>
            <w:pPr>
              <w:spacing w:after="0" w:line="170" w:lineRule="exact"/>
              <w:rPr>
                <w:sz w:val="20"/>
                <w:szCs w:val="20"/>
                <w:color w:val="auto"/>
              </w:rPr>
            </w:pPr>
            <w:r>
              <w:rPr>
                <w:rFonts w:ascii="Arial" w:cs="Arial" w:eastAsia="Arial" w:hAnsi="Arial"/>
                <w:sz w:val="15"/>
                <w:szCs w:val="15"/>
                <w:color w:val="auto"/>
              </w:rPr>
              <w:t>Audit​</w:t>
            </w:r>
          </w:p>
        </w:tc>
        <w:tc>
          <w:tcPr>
            <w:tcW w:w="3360" w:type="dxa"/>
            <w:vAlign w:val="bottom"/>
          </w:tcPr>
          <w:p>
            <w:pPr>
              <w:spacing w:after="0" w:line="170" w:lineRule="exact"/>
              <w:rPr>
                <w:sz w:val="20"/>
                <w:szCs w:val="20"/>
                <w:color w:val="auto"/>
              </w:rPr>
            </w:pPr>
            <w:r>
              <w:rPr>
                <w:rFonts w:ascii="Arial" w:cs="Arial" w:eastAsia="Arial" w:hAnsi="Arial"/>
                <w:sz w:val="15"/>
                <w:szCs w:val="15"/>
                <w:color w:val="auto"/>
              </w:rPr>
              <w:t>-Related Fees</w:t>
            </w:r>
          </w:p>
        </w:tc>
        <w:tc>
          <w:tcPr>
            <w:tcW w:w="380" w:type="dxa"/>
            <w:vAlign w:val="bottom"/>
            <w:gridSpan w:val="2"/>
          </w:tcPr>
          <w:p>
            <w:pPr>
              <w:ind w:left="60"/>
              <w:spacing w:after="0" w:line="170" w:lineRule="exact"/>
              <w:rPr>
                <w:sz w:val="20"/>
                <w:szCs w:val="20"/>
                <w:color w:val="auto"/>
              </w:rPr>
            </w:pPr>
            <w:r>
              <w:rPr>
                <w:rFonts w:ascii="Arial" w:cs="Arial" w:eastAsia="Arial" w:hAnsi="Arial"/>
                <w:sz w:val="15"/>
                <w:szCs w:val="15"/>
                <w:color w:val="auto"/>
              </w:rPr>
              <w:t>​ ​​ ​</w:t>
            </w:r>
          </w:p>
        </w:tc>
        <w:tc>
          <w:tcPr>
            <w:tcW w:w="600" w:type="dxa"/>
            <w:vAlign w:val="bottom"/>
          </w:tcPr>
          <w:p>
            <w:pPr>
              <w:spacing w:after="0"/>
              <w:rPr>
                <w:sz w:val="14"/>
                <w:szCs w:val="14"/>
                <w:color w:val="auto"/>
              </w:rPr>
            </w:pPr>
          </w:p>
        </w:tc>
        <w:tc>
          <w:tcPr>
            <w:tcW w:w="120" w:type="dxa"/>
            <w:vAlign w:val="bottom"/>
          </w:tcPr>
          <w:p>
            <w:pPr>
              <w:jc w:val="right"/>
              <w:spacing w:after="0" w:line="170" w:lineRule="exact"/>
              <w:rPr>
                <w:sz w:val="20"/>
                <w:szCs w:val="20"/>
                <w:color w:val="auto"/>
              </w:rPr>
            </w:pPr>
            <w:r>
              <w:rPr>
                <w:rFonts w:ascii="Arial" w:cs="Arial" w:eastAsia="Arial" w:hAnsi="Arial"/>
                <w:sz w:val="15"/>
                <w:szCs w:val="15"/>
                <w:color w:val="auto"/>
              </w:rPr>
              <w:t>​​</w:t>
            </w:r>
          </w:p>
        </w:tc>
        <w:tc>
          <w:tcPr>
            <w:tcW w:w="240" w:type="dxa"/>
            <w:vAlign w:val="bottom"/>
          </w:tcPr>
          <w:p>
            <w:pPr>
              <w:ind w:left="20"/>
              <w:spacing w:after="0" w:line="170" w:lineRule="exact"/>
              <w:rPr>
                <w:sz w:val="20"/>
                <w:szCs w:val="20"/>
                <w:color w:val="auto"/>
              </w:rPr>
            </w:pPr>
            <w:r>
              <w:rPr>
                <w:rFonts w:ascii="Arial" w:cs="Arial" w:eastAsia="Arial" w:hAnsi="Arial"/>
                <w:sz w:val="15"/>
                <w:szCs w:val="15"/>
                <w:color w:val="auto"/>
              </w:rPr>
              <w:t>​​ ​</w:t>
            </w:r>
          </w:p>
        </w:tc>
        <w:tc>
          <w:tcPr>
            <w:tcW w:w="6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Tax​</w:t>
            </w:r>
          </w:p>
        </w:tc>
        <w:tc>
          <w:tcPr>
            <w:tcW w:w="3460" w:type="dxa"/>
            <w:vAlign w:val="bottom"/>
            <w:gridSpan w:val="2"/>
            <w:shd w:val="clear" w:color="auto" w:fill="CCEEFF"/>
          </w:tcPr>
          <w:p>
            <w:pPr>
              <w:ind w:left="40"/>
              <w:spacing w:after="0" w:line="170" w:lineRule="exact"/>
              <w:rPr>
                <w:sz w:val="20"/>
                <w:szCs w:val="20"/>
                <w:color w:val="auto"/>
              </w:rPr>
            </w:pPr>
            <w:r>
              <w:rPr>
                <w:rFonts w:ascii="Arial" w:cs="Arial" w:eastAsia="Arial" w:hAnsi="Arial"/>
                <w:sz w:val="15"/>
                <w:szCs w:val="15"/>
                <w:color w:val="auto"/>
              </w:rPr>
              <w:t>Fees</w:t>
            </w:r>
          </w:p>
        </w:tc>
        <w:tc>
          <w:tcPr>
            <w:tcW w:w="380" w:type="dxa"/>
            <w:vAlign w:val="bottom"/>
            <w:gridSpan w:val="2"/>
            <w:shd w:val="clear" w:color="auto" w:fill="CCEEFF"/>
          </w:tcPr>
          <w:p>
            <w:pPr>
              <w:ind w:left="60"/>
              <w:spacing w:after="0" w:line="170" w:lineRule="exact"/>
              <w:rPr>
                <w:sz w:val="20"/>
                <w:szCs w:val="20"/>
                <w:color w:val="auto"/>
              </w:rPr>
            </w:pPr>
            <w:r>
              <w:rPr>
                <w:rFonts w:ascii="Arial" w:cs="Arial" w:eastAsia="Arial" w:hAnsi="Arial"/>
                <w:sz w:val="15"/>
                <w:szCs w:val="15"/>
                <w:color w:val="auto"/>
              </w:rPr>
              <w:t>​ ​​ ​</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w:t>
            </w:r>
          </w:p>
        </w:tc>
        <w:tc>
          <w:tcPr>
            <w:tcW w:w="240" w:type="dxa"/>
            <w:vAlign w:val="bottom"/>
            <w:tcBorders>
              <w:left w:val="single" w:sz="8" w:color="CCEEFF"/>
            </w:tcBorders>
            <w:shd w:val="clear" w:color="auto" w:fill="CCEEFF"/>
          </w:tcPr>
          <w:p>
            <w:pPr>
              <w:ind w:left="20"/>
              <w:spacing w:after="0" w:line="170" w:lineRule="exact"/>
              <w:rPr>
                <w:sz w:val="20"/>
                <w:szCs w:val="20"/>
                <w:color w:val="auto"/>
              </w:rPr>
            </w:pPr>
            <w:r>
              <w:rPr>
                <w:rFonts w:ascii="Arial" w:cs="Arial" w:eastAsia="Arial" w:hAnsi="Arial"/>
                <w:sz w:val="15"/>
                <w:szCs w:val="15"/>
                <w:color w:val="auto"/>
              </w:rPr>
              <w:t>​​ ​</w:t>
            </w:r>
          </w:p>
        </w:tc>
        <w:tc>
          <w:tcPr>
            <w:tcW w:w="600" w:type="dxa"/>
            <w:vAlign w:val="bottom"/>
            <w:shd w:val="clear" w:color="auto" w:fill="CCEEFF"/>
          </w:tcPr>
          <w:p>
            <w:pPr>
              <w:spacing w:after="0"/>
              <w:rPr>
                <w:sz w:val="14"/>
                <w:szCs w:val="14"/>
                <w:color w:val="auto"/>
              </w:rPr>
            </w:pPr>
          </w:p>
        </w:tc>
        <w:tc>
          <w:tcPr>
            <w:tcW w:w="120" w:type="dxa"/>
            <w:vAlign w:val="bottom"/>
          </w:tcPr>
          <w:p>
            <w:pPr>
              <w:jc w:val="right"/>
              <w:ind w:right="14"/>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3740" w:type="dxa"/>
            <w:vAlign w:val="bottom"/>
            <w:gridSpan w:val="3"/>
          </w:tcPr>
          <w:p>
            <w:pPr>
              <w:spacing w:after="0"/>
              <w:rPr>
                <w:sz w:val="20"/>
                <w:szCs w:val="20"/>
                <w:color w:val="auto"/>
              </w:rPr>
            </w:pPr>
            <w:r>
              <w:rPr>
                <w:rFonts w:ascii="Arial" w:cs="Arial" w:eastAsia="Arial" w:hAnsi="Arial"/>
                <w:sz w:val="15"/>
                <w:szCs w:val="15"/>
                <w:color w:val="auto"/>
              </w:rPr>
              <w:t>​All Other Fees Total</w:t>
            </w:r>
          </w:p>
        </w:tc>
        <w:tc>
          <w:tcPr>
            <w:tcW w:w="380" w:type="dxa"/>
            <w:vAlign w:val="bottom"/>
            <w:gridSpan w:val="2"/>
          </w:tcPr>
          <w:p>
            <w:pPr>
              <w:ind w:left="60"/>
              <w:spacing w:after="0"/>
              <w:rPr>
                <w:sz w:val="20"/>
                <w:szCs w:val="20"/>
                <w:color w:val="auto"/>
              </w:rPr>
            </w:pPr>
            <w:r>
              <w:rPr>
                <w:rFonts w:ascii="Arial" w:cs="Arial" w:eastAsia="Arial" w:hAnsi="Arial"/>
                <w:sz w:val="15"/>
                <w:szCs w:val="15"/>
                <w:color w:val="auto"/>
              </w:rPr>
              <w:t>​ ​​$</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26,250​​</w:t>
            </w: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42,000</w:t>
            </w:r>
          </w:p>
        </w:tc>
        <w:tc>
          <w:tcPr>
            <w:tcW w:w="120" w:type="dxa"/>
            <w:vAlign w:val="bottom"/>
          </w:tcPr>
          <w:p>
            <w:pPr>
              <w:jc w:val="right"/>
              <w:ind w:right="1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jc w:val="right"/>
              <w:spacing w:after="0" w:line="102" w:lineRule="exact"/>
              <w:rPr>
                <w:sz w:val="20"/>
                <w:szCs w:val="20"/>
                <w:color w:val="auto"/>
              </w:rPr>
            </w:pPr>
            <w:r>
              <w:rPr>
                <w:rFonts w:ascii="Arial" w:cs="Arial" w:eastAsia="Arial" w:hAnsi="Arial"/>
                <w:sz w:val="10"/>
                <w:szCs w:val="10"/>
                <w:color w:val="auto"/>
                <w:w w:val="81"/>
              </w:rPr>
              <w:t>(1)</w:t>
            </w:r>
          </w:p>
        </w:tc>
        <w:tc>
          <w:tcPr>
            <w:tcW w:w="240" w:type="dxa"/>
            <w:vAlign w:val="bottom"/>
            <w:tcBorders>
              <w:left w:val="single" w:sz="8" w:color="CCEEFF"/>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line="102" w:lineRule="exact"/>
              <w:rPr>
                <w:sz w:val="20"/>
                <w:szCs w:val="20"/>
                <w:color w:val="auto"/>
              </w:rPr>
            </w:pPr>
            <w:r>
              <w:rPr>
                <w:rFonts w:ascii="Arial" w:cs="Arial" w:eastAsia="Arial" w:hAnsi="Arial"/>
                <w:sz w:val="10"/>
                <w:szCs w:val="10"/>
                <w:color w:val="auto"/>
                <w:w w:val="81"/>
              </w:rPr>
              <w:t>(2)</w:t>
            </w:r>
          </w:p>
        </w:tc>
        <w:tc>
          <w:tcPr>
            <w:tcW w:w="0" w:type="dxa"/>
            <w:vAlign w:val="bottom"/>
          </w:tcPr>
          <w:p>
            <w:pPr>
              <w:spacing w:after="0" w:line="20" w:lineRule="exact"/>
              <w:rPr>
                <w:sz w:val="1"/>
                <w:szCs w:val="1"/>
                <w:color w:val="auto"/>
              </w:rPr>
            </w:pPr>
          </w:p>
        </w:tc>
      </w:tr>
      <w:tr>
        <w:trPr>
          <w:trHeight w:val="82"/>
        </w:trPr>
        <w:tc>
          <w:tcPr>
            <w:tcW w:w="28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7"/>
                <w:szCs w:val="7"/>
                <w:color w:val="auto"/>
              </w:rPr>
            </w:pPr>
          </w:p>
        </w:tc>
        <w:tc>
          <w:tcPr>
            <w:tcW w:w="336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840" w:type="dxa"/>
            <w:vAlign w:val="bottom"/>
            <w:tcBorders>
              <w:left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​​$1,668,888</w:t>
            </w:r>
          </w:p>
        </w:tc>
        <w:tc>
          <w:tcPr>
            <w:tcW w:w="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360" w:type="dxa"/>
            <w:vAlign w:val="bottom"/>
            <w:shd w:val="clear" w:color="auto" w:fill="CCEEFF"/>
          </w:tcPr>
          <w:p>
            <w:pPr>
              <w:spacing w:after="0"/>
              <w:rPr>
                <w:sz w:val="8"/>
                <w:szCs w:val="8"/>
                <w:color w:val="auto"/>
              </w:rPr>
            </w:pPr>
          </w:p>
        </w:tc>
        <w:tc>
          <w:tcPr>
            <w:tcW w:w="1100" w:type="dxa"/>
            <w:vAlign w:val="bottom"/>
            <w:gridSpan w:val="4"/>
            <w:shd w:val="clear" w:color="auto" w:fill="CCEEFF"/>
          </w:tcPr>
          <w:p>
            <w:pPr>
              <w:jc w:val="right"/>
              <w:spacing w:after="0" w:line="102" w:lineRule="exact"/>
              <w:rPr>
                <w:sz w:val="20"/>
                <w:szCs w:val="20"/>
                <w:color w:val="auto"/>
              </w:rPr>
            </w:pPr>
            <w:r>
              <w:rPr>
                <w:rFonts w:ascii="Arial" w:cs="Arial" w:eastAsia="Arial" w:hAnsi="Arial"/>
                <w:sz w:val="11"/>
                <w:szCs w:val="11"/>
                <w:color w:val="auto"/>
              </w:rPr>
              <w:t>​ ​​$1,851,866​​</w:t>
            </w:r>
          </w:p>
        </w:tc>
        <w:tc>
          <w:tcPr>
            <w:tcW w:w="840" w:type="dxa"/>
            <w:vAlign w:val="bottom"/>
            <w:tcBorders>
              <w:left w:val="single" w:sz="8" w:color="CCEEFF"/>
            </w:tcBorders>
            <w:gridSpan w:val="2"/>
            <w:vMerge w:val="continue"/>
            <w:shd w:val="clear" w:color="auto" w:fill="CCEEFF"/>
          </w:tcPr>
          <w:p>
            <w:pPr>
              <w:spacing w:after="0"/>
              <w:rPr>
                <w:sz w:val="8"/>
                <w:szCs w:val="8"/>
                <w:color w:val="auto"/>
              </w:rPr>
            </w:pPr>
          </w:p>
        </w:tc>
        <w:tc>
          <w:tcPr>
            <w:tcW w:w="120" w:type="dxa"/>
            <w:vAlign w:val="bottom"/>
          </w:tcPr>
          <w:p>
            <w:pPr>
              <w:jc w:val="right"/>
              <w:ind w:right="14"/>
              <w:spacing w:after="0" w:line="10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1057275</wp:posOffset>
            </wp:positionH>
            <wp:positionV relativeFrom="paragraph">
              <wp:posOffset>-128905</wp:posOffset>
            </wp:positionV>
            <wp:extent cx="311023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110230" cy="698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-574040</wp:posOffset>
            </wp:positionV>
            <wp:extent cx="11493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4935" cy="6985"/>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-574040</wp:posOffset>
            </wp:positionV>
            <wp:extent cx="11493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4935" cy="6985"/>
                    </a:xfrm>
                    <a:prstGeom prst="rect">
                      <a:avLst/>
                    </a:prstGeom>
                    <a:noFill/>
                  </pic:spPr>
                </pic:pic>
              </a:graphicData>
            </a:graphic>
          </wp:anchor>
        </w:drawing>
        <w:drawing>
          <wp:anchor simplePos="0" relativeHeight="251657728" behindDoc="1" locked="0" layoutInCell="0" allowOverlap="1">
            <wp:simplePos x="0" y="0"/>
            <wp:positionH relativeFrom="column">
              <wp:posOffset>1057275</wp:posOffset>
            </wp:positionH>
            <wp:positionV relativeFrom="paragraph">
              <wp:posOffset>114935</wp:posOffset>
            </wp:positionV>
            <wp:extent cx="103441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34415" cy="6985"/>
                    </a:xfrm>
                    <a:prstGeom prst="rect">
                      <a:avLst/>
                    </a:prstGeom>
                    <a:noFill/>
                  </pic:spPr>
                </pic:pic>
              </a:graphicData>
            </a:graphic>
          </wp:anchor>
        </w:drawing>
      </w:r>
    </w:p>
    <w:p>
      <w:pPr>
        <w:spacing w:after="0" w:line="271" w:lineRule="exact"/>
        <w:rPr>
          <w:sz w:val="20"/>
          <w:szCs w:val="20"/>
          <w:color w:val="auto"/>
        </w:rPr>
      </w:pPr>
    </w:p>
    <w:p>
      <w:pPr>
        <w:ind w:left="1980" w:right="1099" w:hanging="312"/>
        <w:spacing w:after="0" w:line="227" w:lineRule="auto"/>
        <w:tabs>
          <w:tab w:leader="none" w:pos="1980" w:val="left"/>
        </w:tabs>
        <w:numPr>
          <w:ilvl w:val="0"/>
          <w:numId w:val="46"/>
        </w:numPr>
        <w:rPr>
          <w:rFonts w:ascii="Arial" w:cs="Arial" w:eastAsia="Arial" w:hAnsi="Arial"/>
          <w:sz w:val="23"/>
          <w:szCs w:val="23"/>
          <w:color w:val="auto"/>
          <w:vertAlign w:val="superscript"/>
        </w:rPr>
      </w:pPr>
      <w:r>
        <w:rPr>
          <w:rFonts w:ascii="Arial" w:cs="Arial" w:eastAsia="Arial" w:hAnsi="Arial"/>
          <w:sz w:val="15"/>
          <w:szCs w:val="15"/>
          <w:color w:val="auto"/>
        </w:rPr>
        <w:t>Represents $53,550 billed by MHM ($27,300 for audit fees and $26,250 for other fees); $296,866 billed by Atwell (for audit fees), which includes $20,000 paid to RSM; and $1,501,450 billed by RSM (for audit fees). Fees billed by MHM and Atwell include statutory audits required for regulatory compliance purposes.</w:t>
      </w:r>
    </w:p>
    <w:p>
      <w:pPr>
        <w:spacing w:after="0" w:line="29" w:lineRule="exact"/>
        <w:rPr>
          <w:rFonts w:ascii="Arial" w:cs="Arial" w:eastAsia="Arial" w:hAnsi="Arial"/>
          <w:sz w:val="23"/>
          <w:szCs w:val="23"/>
          <w:color w:val="auto"/>
          <w:vertAlign w:val="superscript"/>
        </w:rPr>
      </w:pPr>
    </w:p>
    <w:p>
      <w:pPr>
        <w:ind w:left="1980" w:right="1299" w:hanging="312"/>
        <w:spacing w:after="0" w:line="227" w:lineRule="auto"/>
        <w:tabs>
          <w:tab w:leader="none" w:pos="1980" w:val="left"/>
        </w:tabs>
        <w:numPr>
          <w:ilvl w:val="0"/>
          <w:numId w:val="46"/>
        </w:numPr>
        <w:rPr>
          <w:rFonts w:ascii="Arial" w:cs="Arial" w:eastAsia="Arial" w:hAnsi="Arial"/>
          <w:sz w:val="23"/>
          <w:szCs w:val="23"/>
          <w:color w:val="auto"/>
          <w:vertAlign w:val="superscript"/>
        </w:rPr>
      </w:pPr>
      <w:r>
        <w:rPr>
          <w:rFonts w:ascii="Arial" w:cs="Arial" w:eastAsia="Arial" w:hAnsi="Arial"/>
          <w:sz w:val="15"/>
          <w:szCs w:val="15"/>
          <w:color w:val="auto"/>
        </w:rPr>
        <w:t>Represents $398,192 billed by Atwell (for audit fees), which includes $20,000 paid to RSM; and $1,270,696 billed by RSM ($1,228,696 for audit fees and $42,000 for other fees). Fees billed by Atwell include statutory audits required for regulatory compliance purposes.</w:t>
      </w:r>
    </w:p>
    <w:p>
      <w:pPr>
        <w:spacing w:after="0" w:line="161"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Audit Fees</w:t>
      </w:r>
    </w:p>
    <w:p>
      <w:pPr>
        <w:spacing w:after="0" w:line="92" w:lineRule="exact"/>
        <w:rPr>
          <w:sz w:val="20"/>
          <w:szCs w:val="20"/>
          <w:color w:val="auto"/>
        </w:rPr>
      </w:pPr>
    </w:p>
    <w:p>
      <w:pPr>
        <w:ind w:left="1060" w:right="1099"/>
        <w:spacing w:after="0" w:line="258" w:lineRule="auto"/>
        <w:rPr>
          <w:sz w:val="20"/>
          <w:szCs w:val="20"/>
          <w:color w:val="auto"/>
        </w:rPr>
      </w:pPr>
      <w:r>
        <w:rPr>
          <w:rFonts w:ascii="Arial" w:cs="Arial" w:eastAsia="Arial" w:hAnsi="Arial"/>
          <w:sz w:val="15"/>
          <w:szCs w:val="15"/>
          <w:color w:val="auto"/>
        </w:rPr>
        <w:t>This category includes the aggregate fees and expenses billed for professional services rendered for the audits of Altisource’s consolidated financial statements for fiscal years 2023 and 2024, for the reviews of the financial statements included in Altisource’s quarterly reports on Form 10-Q during fiscal years 2023 and 2024 and reviews of registration statements and issuances of consents, comfort letters and services that are normally provided by our independent registered public accounting firm and affiliates in connection with statutory and regulatory filings or engagements for the relevant fiscal year.</w:t>
      </w:r>
    </w:p>
    <w:p>
      <w:pPr>
        <w:spacing w:after="0" w:line="331"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Audit-Related Fees</w:t>
      </w:r>
    </w:p>
    <w:p>
      <w:pPr>
        <w:spacing w:after="0" w:line="103" w:lineRule="exact"/>
        <w:rPr>
          <w:sz w:val="20"/>
          <w:szCs w:val="20"/>
          <w:color w:val="auto"/>
        </w:rPr>
      </w:pPr>
    </w:p>
    <w:p>
      <w:pPr>
        <w:ind w:left="1060" w:right="1159"/>
        <w:spacing w:after="0" w:line="259" w:lineRule="auto"/>
        <w:rPr>
          <w:sz w:val="20"/>
          <w:szCs w:val="20"/>
          <w:color w:val="auto"/>
        </w:rPr>
      </w:pPr>
      <w:r>
        <w:rPr>
          <w:rFonts w:ascii="Arial" w:cs="Arial" w:eastAsia="Arial" w:hAnsi="Arial"/>
          <w:sz w:val="15"/>
          <w:szCs w:val="15"/>
          <w:color w:val="auto"/>
        </w:rPr>
        <w:t>This category includes the aggregate fees billed by our independent registered public accounting firm for fiscal years 2023 and 2024 for audit-related services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332"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Tax Fees</w:t>
      </w:r>
    </w:p>
    <w:p>
      <w:pPr>
        <w:spacing w:after="0" w:line="92" w:lineRule="exact"/>
        <w:rPr>
          <w:sz w:val="20"/>
          <w:szCs w:val="20"/>
          <w:color w:val="auto"/>
        </w:rPr>
      </w:pPr>
    </w:p>
    <w:p>
      <w:pPr>
        <w:ind w:left="1060" w:right="1219"/>
        <w:spacing w:after="0" w:line="269" w:lineRule="auto"/>
        <w:rPr>
          <w:sz w:val="20"/>
          <w:szCs w:val="20"/>
          <w:color w:val="auto"/>
        </w:rPr>
      </w:pPr>
      <w:r>
        <w:rPr>
          <w:rFonts w:ascii="Arial" w:cs="Arial" w:eastAsia="Arial" w:hAnsi="Arial"/>
          <w:sz w:val="15"/>
          <w:szCs w:val="15"/>
          <w:color w:val="auto"/>
        </w:rPr>
        <w:t>This category includes the aggregate fees billed for fiscal years 2023 and 2024 for professional services rendered by our independent registered public accounting firm for tax compliance, tax planning and tax advice.</w:t>
      </w:r>
    </w:p>
    <w:p>
      <w:pPr>
        <w:spacing w:after="0" w:line="140"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Other Fees</w:t>
      </w:r>
    </w:p>
    <w:p>
      <w:pPr>
        <w:spacing w:after="0" w:line="92" w:lineRule="exact"/>
        <w:rPr>
          <w:sz w:val="20"/>
          <w:szCs w:val="20"/>
          <w:color w:val="auto"/>
        </w:rPr>
      </w:pPr>
    </w:p>
    <w:p>
      <w:pPr>
        <w:ind w:left="1060" w:right="1179"/>
        <w:spacing w:after="0" w:line="263" w:lineRule="auto"/>
        <w:rPr>
          <w:sz w:val="20"/>
          <w:szCs w:val="20"/>
          <w:color w:val="auto"/>
        </w:rPr>
      </w:pPr>
      <w:r>
        <w:rPr>
          <w:rFonts w:ascii="Arial" w:cs="Arial" w:eastAsia="Arial" w:hAnsi="Arial"/>
          <w:sz w:val="15"/>
          <w:szCs w:val="15"/>
          <w:color w:val="auto"/>
        </w:rPr>
        <w:t>This category includes the aggregate fees billed for fiscal years 2023 and 2024 for products and services related to consents provided by our independent registered public accounting firm in connection with securities registration statements Altisource filed and that are not reported above under “Audit Fees,” “Audit-Related Fees” or “Tax Fees.”</w:t>
      </w:r>
    </w:p>
    <w:p>
      <w:pPr>
        <w:spacing w:after="0" w:line="92" w:lineRule="exact"/>
        <w:rPr>
          <w:sz w:val="20"/>
          <w:szCs w:val="20"/>
          <w:color w:val="auto"/>
        </w:rPr>
      </w:pPr>
    </w:p>
    <w:p>
      <w:pPr>
        <w:ind w:left="1060" w:right="1119"/>
        <w:spacing w:after="0" w:line="266" w:lineRule="auto"/>
        <w:rPr>
          <w:sz w:val="20"/>
          <w:szCs w:val="20"/>
          <w:color w:val="auto"/>
        </w:rPr>
      </w:pPr>
      <w:r>
        <w:rPr>
          <w:rFonts w:ascii="Arial" w:cs="Arial" w:eastAsia="Arial" w:hAnsi="Arial"/>
          <w:sz w:val="15"/>
          <w:szCs w:val="15"/>
          <w:color w:val="auto"/>
        </w:rPr>
        <w:t>The Audit Committee considered the compatibility of the non-audit-related services provided by, and fees paid to, RSM in fiscal years 2023 and 2024, as applicable, and to MHM in fiscal year 2023 and determined that such services and fees were compatible with the independence of each auditor.</w:t>
      </w:r>
    </w:p>
    <w:p>
      <w:pPr>
        <w:spacing w:after="0" w:line="275" w:lineRule="exact"/>
        <w:rPr>
          <w:sz w:val="20"/>
          <w:szCs w:val="20"/>
          <w:color w:val="auto"/>
        </w:rPr>
      </w:pPr>
    </w:p>
    <w:p>
      <w:pPr>
        <w:ind w:left="1060" w:right="1179"/>
        <w:spacing w:after="0" w:line="263" w:lineRule="auto"/>
        <w:rPr>
          <w:sz w:val="20"/>
          <w:szCs w:val="20"/>
          <w:color w:val="auto"/>
        </w:rPr>
      </w:pPr>
      <w:r>
        <w:rPr>
          <w:rFonts w:ascii="Arial" w:cs="Arial" w:eastAsia="Arial" w:hAnsi="Arial"/>
          <w:sz w:val="15"/>
          <w:szCs w:val="15"/>
          <w:color w:val="auto"/>
        </w:rPr>
        <w:t>The Audit Committee is required to pre-approve the audit and non-audit services performed by our independent registered public accounting firm in order to assure that the provision of such services does not impair our independent registered public accounting firm’s independence. In fiscal years 2023 and 2024, all services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7" w:name="page48"/>
    <w:bookmarkEnd w:id="47"/>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6" w:lineRule="exact"/>
        <w:rPr>
          <w:sz w:val="20"/>
          <w:szCs w:val="20"/>
          <w:color w:val="auto"/>
        </w:rPr>
      </w:pPr>
    </w:p>
    <w:p>
      <w:pPr>
        <w:ind w:left="596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EXTERNAL AUDITOR FEES</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-181610</wp:posOffset>
            </wp:positionV>
            <wp:extent cx="1264285" cy="1219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64285" cy="121920"/>
                    </a:xfrm>
                    <a:prstGeom prst="rect">
                      <a:avLst/>
                    </a:prstGeom>
                    <a:noFill/>
                  </pic:spPr>
                </pic:pic>
              </a:graphicData>
            </a:graphic>
          </wp:anchor>
        </w:drawing>
      </w:r>
    </w:p>
    <w:p>
      <w:pPr>
        <w:spacing w:after="0" w:line="97" w:lineRule="exact"/>
        <w:rPr>
          <w:sz w:val="20"/>
          <w:szCs w:val="20"/>
          <w:color w:val="auto"/>
        </w:rPr>
      </w:pPr>
    </w:p>
    <w:p>
      <w:pPr>
        <w:ind w:left="1060" w:right="1159"/>
        <w:spacing w:after="0" w:line="269" w:lineRule="auto"/>
        <w:rPr>
          <w:sz w:val="20"/>
          <w:szCs w:val="20"/>
          <w:color w:val="auto"/>
        </w:rPr>
      </w:pPr>
      <w:r>
        <w:rPr>
          <w:rFonts w:ascii="Arial" w:cs="Arial" w:eastAsia="Arial" w:hAnsi="Arial"/>
          <w:sz w:val="15"/>
          <w:szCs w:val="15"/>
          <w:color w:val="auto"/>
        </w:rPr>
        <w:t>associated with our independent registered public accounting firms were pre-approved by the Audit Committee or by the Audit Committee Chair pursuant to authority delegated to him as described below.</w:t>
      </w:r>
    </w:p>
    <w:p>
      <w:pPr>
        <w:spacing w:after="0" w:line="140"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Audit Committee Pre-Approval Policy</w:t>
      </w:r>
    </w:p>
    <w:p>
      <w:pPr>
        <w:spacing w:after="0" w:line="92" w:lineRule="exact"/>
        <w:rPr>
          <w:sz w:val="20"/>
          <w:szCs w:val="20"/>
          <w:color w:val="auto"/>
        </w:rPr>
      </w:pPr>
    </w:p>
    <w:p>
      <w:pPr>
        <w:ind w:left="1060" w:right="1159"/>
        <w:spacing w:after="0" w:line="256" w:lineRule="auto"/>
        <w:rPr>
          <w:sz w:val="20"/>
          <w:szCs w:val="20"/>
          <w:color w:val="auto"/>
        </w:rPr>
      </w:pPr>
      <w:r>
        <w:rPr>
          <w:rFonts w:ascii="Arial" w:cs="Arial" w:eastAsia="Arial" w:hAnsi="Arial"/>
          <w:sz w:val="15"/>
          <w:szCs w:val="15"/>
          <w:color w:val="auto"/>
        </w:rPr>
        <w:t>The Audit Committee has pre-approved certain audit services, audit- related services and non-audit services to be performed by our independent auditor in its Pre-Approval Policy. Except for the services pre-approved pursuant to this policy, all permissible audit services, audit-related services, tax services and non-audit services must be separately pre-approved by the Audit Committee or any member of the Audit Committee to whom such authority is delegated. The Audit Committee has delegated authority to the Audit Committee Chair to pre-approve all such services, except services related to our independent auditor’s annual audit of the Company, which is subject to the specific pre-approval of the Audit Committee. The Audit Committee Chair reports any pre-approval decisions to the Audit Committee for their ratification.</w:t>
      </w:r>
    </w:p>
    <w:p>
      <w:pPr>
        <w:spacing w:after="0" w:line="279" w:lineRule="exact"/>
        <w:rPr>
          <w:sz w:val="20"/>
          <w:szCs w:val="20"/>
          <w:color w:val="auto"/>
        </w:rPr>
      </w:pPr>
    </w:p>
    <w:p>
      <w:pPr>
        <w:ind w:left="1060" w:right="1319"/>
        <w:spacing w:after="0" w:line="287" w:lineRule="auto"/>
        <w:rPr>
          <w:sz w:val="20"/>
          <w:szCs w:val="20"/>
          <w:color w:val="auto"/>
        </w:rPr>
      </w:pPr>
      <w:r>
        <w:rPr>
          <w:rFonts w:ascii="Arial" w:cs="Arial" w:eastAsia="Arial" w:hAnsi="Arial"/>
          <w:sz w:val="15"/>
          <w:szCs w:val="15"/>
          <w:color w:val="auto"/>
        </w:rPr>
        <w:t>The Audit Committee does not delegate to management its responsibilities to pre-approve services performed by our independent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8" w:name="page49"/>
    <w:bookmarkEnd w:id="48"/>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6" w:lineRule="exact"/>
        <w:rPr>
          <w:sz w:val="20"/>
          <w:szCs w:val="20"/>
          <w:color w:val="auto"/>
        </w:rPr>
      </w:pPr>
    </w:p>
    <w:p>
      <w:pPr>
        <w:jc w:val="right"/>
        <w:ind w:right="103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PROPOSAL THREE</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-181610</wp:posOffset>
            </wp:positionV>
            <wp:extent cx="941070" cy="1219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41070" cy="121920"/>
                    </a:xfrm>
                    <a:prstGeom prst="rect">
                      <a:avLst/>
                    </a:prstGeom>
                    <a:noFill/>
                  </pic:spPr>
                </pic:pic>
              </a:graphicData>
            </a:graphic>
          </wp:anchor>
        </w:drawing>
      </w:r>
    </w:p>
    <w:p>
      <w:pPr>
        <w:spacing w:after="0" w:line="88"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Proposal Three: Luxembourg Statutory Accounts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34290</wp:posOffset>
            </wp:positionV>
            <wp:extent cx="436753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67530" cy="6985"/>
                    </a:xfrm>
                    <a:prstGeom prst="rect">
                      <a:avLst/>
                    </a:prstGeom>
                    <a:noFill/>
                  </pic:spPr>
                </pic:pic>
              </a:graphicData>
            </a:graphic>
          </wp:anchor>
        </w:drawing>
      </w:r>
    </w:p>
    <w:p>
      <w:pPr>
        <w:spacing w:after="0" w:line="166" w:lineRule="exact"/>
        <w:rPr>
          <w:sz w:val="20"/>
          <w:szCs w:val="20"/>
          <w:color w:val="auto"/>
        </w:rPr>
      </w:pPr>
    </w:p>
    <w:p>
      <w:pPr>
        <w:ind w:left="1060" w:right="1239"/>
        <w:spacing w:after="0" w:line="288" w:lineRule="auto"/>
        <w:rPr>
          <w:sz w:val="20"/>
          <w:szCs w:val="20"/>
          <w:color w:val="auto"/>
        </w:rPr>
      </w:pPr>
      <w:r>
        <w:rPr>
          <w:rFonts w:ascii="Arial" w:cs="Arial" w:eastAsia="Arial" w:hAnsi="Arial"/>
          <w:sz w:val="15"/>
          <w:szCs w:val="15"/>
          <w:color w:val="auto"/>
        </w:rPr>
        <w:t>Pursuant to Luxembourg law, the Luxembourg Annual Accounts and the Consolidated Accounts must be submitted each year to shareholders for approval at the Annual Meeting.</w:t>
      </w:r>
    </w:p>
    <w:p>
      <w:pPr>
        <w:spacing w:after="0" w:line="72" w:lineRule="exact"/>
        <w:rPr>
          <w:sz w:val="20"/>
          <w:szCs w:val="20"/>
          <w:color w:val="auto"/>
        </w:rPr>
      </w:pPr>
    </w:p>
    <w:p>
      <w:pPr>
        <w:ind w:left="1060" w:right="1079"/>
        <w:spacing w:after="0" w:line="256" w:lineRule="auto"/>
        <w:rPr>
          <w:sz w:val="20"/>
          <w:szCs w:val="20"/>
          <w:color w:val="auto"/>
        </w:rPr>
      </w:pPr>
      <w:r>
        <w:rPr>
          <w:rFonts w:ascii="Arial" w:cs="Arial" w:eastAsia="Arial" w:hAnsi="Arial"/>
          <w:sz w:val="15"/>
          <w:szCs w:val="15"/>
          <w:color w:val="auto"/>
        </w:rPr>
        <w:t>The Luxembourg Annual Accounts are prepared in accordance with Luxembourg generally accepted accounting principles and consist of a balance sheet, a profit and loss account and the notes for the unconsolidated Altisource Portfolio Solutions S.A. entity. There is no statement of movements in equity or statement of cash flows included in the Luxembourg Annual Accounts under Luxembourg generally accepted accounting principles. Profits earned by the subsidiaries of Altisource Portfolio Solutions S.A. are not included in the Luxembourg Annual Accounts unless such amounts are distributed to Altisource Portfolio Solutions S.A. The Luxembourg Annual Accounts as of and for the year ended December 31, 2024 reflect total assets of $126.9 million and a loss for the year then ended of $283.7 million.</w:t>
      </w:r>
    </w:p>
    <w:p>
      <w:pPr>
        <w:spacing w:after="0" w:line="270" w:lineRule="exact"/>
        <w:rPr>
          <w:sz w:val="20"/>
          <w:szCs w:val="20"/>
          <w:color w:val="auto"/>
        </w:rPr>
      </w:pPr>
    </w:p>
    <w:p>
      <w:pPr>
        <w:ind w:left="1060" w:right="1099"/>
        <w:spacing w:after="0" w:line="259" w:lineRule="auto"/>
        <w:rPr>
          <w:sz w:val="20"/>
          <w:szCs w:val="20"/>
          <w:color w:val="auto"/>
        </w:rPr>
      </w:pPr>
      <w:r>
        <w:rPr>
          <w:rFonts w:ascii="Arial" w:cs="Arial" w:eastAsia="Arial" w:hAnsi="Arial"/>
          <w:sz w:val="15"/>
          <w:szCs w:val="15"/>
          <w:color w:val="auto"/>
        </w:rPr>
        <w:t>The Consolidated Accounts are prepared in accordance with IFRS, and consist of a balance sheet, statement of operations, statement of changes in stockholders’ equity, statement of cash flows and the accompanying notes. The Consolidated Accounts present the financial position and results of operations for Altisource and all its subsidiaries as if the individual entities were a single company. As of December 31, 2024, the Consolidated Accounts reflect a total deficit of [$158.9] million and net loss for the year then ended of [$32.5 million].</w:t>
      </w:r>
    </w:p>
    <w:p>
      <w:pPr>
        <w:spacing w:after="0" w:line="94" w:lineRule="exact"/>
        <w:rPr>
          <w:sz w:val="20"/>
          <w:szCs w:val="20"/>
          <w:color w:val="auto"/>
        </w:rPr>
      </w:pPr>
    </w:p>
    <w:p>
      <w:pPr>
        <w:ind w:left="1060" w:right="1119"/>
        <w:spacing w:after="0" w:line="263" w:lineRule="auto"/>
        <w:rPr>
          <w:sz w:val="20"/>
          <w:szCs w:val="20"/>
          <w:color w:val="auto"/>
        </w:rPr>
      </w:pPr>
      <w:r>
        <w:rPr>
          <w:rFonts w:ascii="Arial" w:cs="Arial" w:eastAsia="Arial" w:hAnsi="Arial"/>
          <w:sz w:val="15"/>
          <w:szCs w:val="15"/>
          <w:color w:val="auto"/>
        </w:rPr>
        <w:t>Pursuant to Luxembourg law, following shareholder approval of the Luxembourg Statutory Accounts, such accounts must be filed with the Luxembourg trade registry as public documents. If Altisource does not receive shareholder approval of the Luxembourg Statutory Accounts, we cannot make this filing.</w:t>
      </w:r>
    </w:p>
    <w:p>
      <w:pPr>
        <w:spacing w:after="0" w:line="92" w:lineRule="exact"/>
        <w:rPr>
          <w:sz w:val="20"/>
          <w:szCs w:val="20"/>
          <w:color w:val="auto"/>
        </w:rPr>
      </w:pPr>
    </w:p>
    <w:p>
      <w:pPr>
        <w:ind w:left="1060" w:right="1359"/>
        <w:spacing w:after="0" w:line="263" w:lineRule="auto"/>
        <w:rPr>
          <w:sz w:val="20"/>
          <w:szCs w:val="20"/>
          <w:color w:val="auto"/>
        </w:rPr>
      </w:pPr>
      <w:r>
        <w:rPr>
          <w:rFonts w:ascii="Arial" w:cs="Arial" w:eastAsia="Arial" w:hAnsi="Arial"/>
          <w:sz w:val="15"/>
          <w:szCs w:val="15"/>
          <w:color w:val="auto"/>
        </w:rPr>
        <w:t>Altisource’s Luxembourg Statutory Accounts will be available to shareholders at our registered office, during business hours, by appointment, subject to location limitations, if any, that may be imposed by the Luxembourg government, from May 3, 2025 until the conclusion of the Annual Meeting.</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OUR BOARD OF DIRECTORS UNANIMOUSLY RECOMMENDS THAT YOU VOTE “FOR”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LUXEMBOURG STATUTORY ACCOUNTS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49" w:name="page50"/>
    <w:bookmarkEnd w:id="49"/>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6" w:lineRule="exact"/>
        <w:rPr>
          <w:sz w:val="20"/>
          <w:szCs w:val="20"/>
          <w:color w:val="auto"/>
        </w:rPr>
      </w:pPr>
    </w:p>
    <w:p>
      <w:pPr>
        <w:jc w:val="right"/>
        <w:ind w:right="103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PROPOSAL FOUR</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-181610</wp:posOffset>
            </wp:positionV>
            <wp:extent cx="897890" cy="1219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97890" cy="121920"/>
                    </a:xfrm>
                    <a:prstGeom prst="rect">
                      <a:avLst/>
                    </a:prstGeom>
                    <a:noFill/>
                  </pic:spPr>
                </pic:pic>
              </a:graphicData>
            </a:graphic>
          </wp:anchor>
        </w:drawing>
      </w:r>
    </w:p>
    <w:p>
      <w:pPr>
        <w:spacing w:after="0" w:line="88"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Proposal Four: Receipt of Directors’ Report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34290</wp:posOffset>
            </wp:positionV>
            <wp:extent cx="436753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367530" cy="6985"/>
                    </a:xfrm>
                    <a:prstGeom prst="rect">
                      <a:avLst/>
                    </a:prstGeom>
                    <a:noFill/>
                  </pic:spPr>
                </pic:pic>
              </a:graphicData>
            </a:graphic>
          </wp:anchor>
        </w:drawing>
      </w:r>
    </w:p>
    <w:p>
      <w:pPr>
        <w:spacing w:after="0" w:line="166" w:lineRule="exact"/>
        <w:rPr>
          <w:sz w:val="20"/>
          <w:szCs w:val="20"/>
          <w:color w:val="auto"/>
        </w:rPr>
      </w:pPr>
    </w:p>
    <w:p>
      <w:pPr>
        <w:ind w:left="1060" w:right="1119"/>
        <w:spacing w:after="0" w:line="260" w:lineRule="auto"/>
        <w:rPr>
          <w:sz w:val="20"/>
          <w:szCs w:val="20"/>
          <w:color w:val="auto"/>
        </w:rPr>
      </w:pPr>
      <w:r>
        <w:rPr>
          <w:rFonts w:ascii="Arial" w:cs="Arial" w:eastAsia="Arial" w:hAnsi="Arial"/>
          <w:sz w:val="15"/>
          <w:szCs w:val="15"/>
          <w:color w:val="auto"/>
        </w:rPr>
        <w:t>Under Luxembourg law, our Board is required to prepare an annual Directors’ report for our Luxembourg Statutory Accounts (the “Directors’ Report”). The Directors’ Report presents the Luxembourg Statutory Accounts for the relevant fiscal year, provides an explanation as to the results and certain other required Company matters and proposes the allocation of such results to the shareholders.</w:t>
      </w:r>
    </w:p>
    <w:p>
      <w:pPr>
        <w:spacing w:after="0" w:line="95" w:lineRule="exact"/>
        <w:rPr>
          <w:sz w:val="20"/>
          <w:szCs w:val="20"/>
          <w:color w:val="auto"/>
        </w:rPr>
      </w:pPr>
    </w:p>
    <w:p>
      <w:pPr>
        <w:ind w:left="1060" w:right="1239"/>
        <w:spacing w:after="0" w:line="269" w:lineRule="auto"/>
        <w:rPr>
          <w:sz w:val="20"/>
          <w:szCs w:val="20"/>
          <w:color w:val="auto"/>
        </w:rPr>
      </w:pPr>
      <w:r>
        <w:rPr>
          <w:rFonts w:ascii="Arial" w:cs="Arial" w:eastAsia="Arial" w:hAnsi="Arial"/>
          <w:sz w:val="15"/>
          <w:szCs w:val="15"/>
          <w:color w:val="auto"/>
        </w:rPr>
        <w:t xml:space="preserve">Luxembourg law also requires our supervisory auditor </w:t>
      </w:r>
      <w:r>
        <w:rPr>
          <w:rFonts w:ascii="Arial" w:cs="Arial" w:eastAsia="Arial" w:hAnsi="Arial"/>
          <w:sz w:val="15"/>
          <w:szCs w:val="15"/>
          <w:i w:val="1"/>
          <w:iCs w:val="1"/>
          <w:color w:val="auto"/>
        </w:rPr>
        <w:t>(Commissaire aux Comptes)</w:t>
      </w:r>
      <w:r>
        <w:rPr>
          <w:rFonts w:ascii="Arial" w:cs="Arial" w:eastAsia="Arial" w:hAnsi="Arial"/>
          <w:sz w:val="15"/>
          <w:szCs w:val="15"/>
          <w:color w:val="auto"/>
        </w:rPr>
        <w:t xml:space="preserve"> to provide an annual report confirming that the Company’s Luxembourg Annual Accounts agree with the Company’s accounting records and documents.</w:t>
      </w:r>
    </w:p>
    <w:p>
      <w:pPr>
        <w:spacing w:after="0" w:line="76" w:lineRule="exact"/>
        <w:rPr>
          <w:sz w:val="20"/>
          <w:szCs w:val="20"/>
          <w:color w:val="auto"/>
        </w:rPr>
      </w:pPr>
    </w:p>
    <w:p>
      <w:pPr>
        <w:ind w:left="1060" w:right="1219"/>
        <w:spacing w:after="0" w:line="258" w:lineRule="auto"/>
        <w:rPr>
          <w:sz w:val="20"/>
          <w:szCs w:val="20"/>
          <w:color w:val="auto"/>
        </w:rPr>
      </w:pPr>
      <w:r>
        <w:rPr>
          <w:rFonts w:ascii="Arial" w:cs="Arial" w:eastAsia="Arial" w:hAnsi="Arial"/>
          <w:sz w:val="15"/>
          <w:szCs w:val="15"/>
          <w:color w:val="auto"/>
        </w:rPr>
        <w:t>The Directors’ Report for the year ended December 31, 2024 and the Supervisory Auditor’s Report for the Luxembourg Annual Accounts for the same period will be available to shareholders at our registered office, during business hours, by appointment, subject to location limitations, if any, that may be imposed by the Luxembourg government, from May 3, 2025 until the conclusion of the Annual Meeting. Following shareholder approval of the Luxembourg Statutory Accounts, these reports will be filed with the Luxembourg trade registry as public documents.</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OUR BOARD OF DIRECTORS UNANIMOUSLY RECOMMENDS THAT YOU VOTE “FOR”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RECEIPT OF DIRECTOR’S REPORT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0" w:name="page51"/>
    <w:bookmarkEnd w:id="50"/>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6" w:lineRule="exact"/>
        <w:rPr>
          <w:sz w:val="20"/>
          <w:szCs w:val="20"/>
          <w:color w:val="auto"/>
        </w:rPr>
      </w:pPr>
    </w:p>
    <w:p>
      <w:pPr>
        <w:ind w:left="6620"/>
        <w:spacing w:after="0"/>
        <w:tabs>
          <w:tab w:leader="none" w:pos="79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PROPOSAL FIVE</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4196080</wp:posOffset>
            </wp:positionH>
            <wp:positionV relativeFrom="paragraph">
              <wp:posOffset>-181610</wp:posOffset>
            </wp:positionV>
            <wp:extent cx="840740" cy="1219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40740" cy="121920"/>
                    </a:xfrm>
                    <a:prstGeom prst="rect">
                      <a:avLst/>
                    </a:prstGeom>
                    <a:noFill/>
                  </pic:spPr>
                </pic:pic>
              </a:graphicData>
            </a:graphic>
          </wp:anchor>
        </w:drawing>
      </w:r>
    </w:p>
    <w:p>
      <w:pPr>
        <w:spacing w:after="0" w:line="88"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Proposal Five: Luxembourg Annual Accounts Allocation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34290</wp:posOffset>
            </wp:positionV>
            <wp:extent cx="436753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367530" cy="6985"/>
                    </a:xfrm>
                    <a:prstGeom prst="rect">
                      <a:avLst/>
                    </a:prstGeom>
                    <a:noFill/>
                  </pic:spPr>
                </pic:pic>
              </a:graphicData>
            </a:graphic>
          </wp:anchor>
        </w:drawing>
      </w:r>
    </w:p>
    <w:p>
      <w:pPr>
        <w:spacing w:after="0" w:line="166" w:lineRule="exact"/>
        <w:rPr>
          <w:sz w:val="20"/>
          <w:szCs w:val="20"/>
          <w:color w:val="auto"/>
        </w:rPr>
      </w:pPr>
    </w:p>
    <w:p>
      <w:pPr>
        <w:ind w:left="1060" w:right="1159"/>
        <w:spacing w:after="0" w:line="269" w:lineRule="auto"/>
        <w:rPr>
          <w:sz w:val="20"/>
          <w:szCs w:val="20"/>
          <w:color w:val="auto"/>
        </w:rPr>
      </w:pPr>
      <w:r>
        <w:rPr>
          <w:rFonts w:ascii="Arial" w:cs="Arial" w:eastAsia="Arial" w:hAnsi="Arial"/>
          <w:sz w:val="15"/>
          <w:szCs w:val="15"/>
          <w:color w:val="auto"/>
        </w:rPr>
        <w:t>Each year, the shareholders of Altisource are required to approve the allocation of the results of the unconsolidated Altisource Portfolio Solutions S.A. entity, as determined by the Luxembourg Annual Accounts.</w:t>
      </w:r>
    </w:p>
    <w:p>
      <w:pPr>
        <w:spacing w:after="0" w:line="87" w:lineRule="exact"/>
        <w:rPr>
          <w:sz w:val="20"/>
          <w:szCs w:val="20"/>
          <w:color w:val="auto"/>
        </w:rPr>
      </w:pPr>
    </w:p>
    <w:p>
      <w:pPr>
        <w:ind w:left="1060" w:right="1139"/>
        <w:spacing w:after="0" w:line="259" w:lineRule="auto"/>
        <w:rPr>
          <w:sz w:val="20"/>
          <w:szCs w:val="20"/>
          <w:color w:val="auto"/>
        </w:rPr>
      </w:pPr>
      <w:r>
        <w:rPr>
          <w:rFonts w:ascii="Arial" w:cs="Arial" w:eastAsia="Arial" w:hAnsi="Arial"/>
          <w:sz w:val="15"/>
          <w:szCs w:val="15"/>
          <w:color w:val="auto"/>
        </w:rPr>
        <w:t>Luxembourg law requires that at least five percent (5%) of the net profits, if any, for the Luxembourg Annual Accounts be allocated to a legal reserve; provided, however that an allocation ceases to be compulsory when the legal reserve reaches ten percent (10%) of the share capital of Altisource but again becomes compulsory when the reserve amount falls below this threshold. As the Company had a net loss pursuant to its Luxembourg Annual Accounts for the year ended December 31, 2024, no such allocation is required.</w:t>
      </w:r>
    </w:p>
    <w:p>
      <w:pPr>
        <w:spacing w:after="0" w:line="82" w:lineRule="exact"/>
        <w:rPr>
          <w:sz w:val="20"/>
          <w:szCs w:val="20"/>
          <w:color w:val="auto"/>
        </w:rPr>
      </w:pPr>
    </w:p>
    <w:p>
      <w:pPr>
        <w:ind w:left="1060" w:right="1319"/>
        <w:spacing w:after="0" w:line="260" w:lineRule="auto"/>
        <w:rPr>
          <w:sz w:val="20"/>
          <w:szCs w:val="20"/>
          <w:color w:val="auto"/>
        </w:rPr>
      </w:pPr>
      <w:r>
        <w:rPr>
          <w:rFonts w:ascii="Arial" w:cs="Arial" w:eastAsia="Arial" w:hAnsi="Arial"/>
          <w:sz w:val="15"/>
          <w:szCs w:val="15"/>
          <w:color w:val="auto"/>
        </w:rPr>
        <w:t>As of December 31, 2024, the Luxembourg Annual Accounts for Altisource reflect total assets of $126.9 million and a loss for the year then ended of $283.7 million. As noted in Proposal Three, profits earned by subsidiaries of Altisource are not included in the calculation of net profits for Altisource’s Luxembourg Annual Accounts unless such profits have been distributed to Altisource Portfolio Solutions S.A.</w:t>
      </w:r>
    </w:p>
    <w:p>
      <w:pPr>
        <w:spacing w:after="0" w:line="95" w:lineRule="exact"/>
        <w:rPr>
          <w:sz w:val="20"/>
          <w:szCs w:val="20"/>
          <w:color w:val="auto"/>
        </w:rPr>
      </w:pPr>
    </w:p>
    <w:p>
      <w:pPr>
        <w:ind w:left="1060" w:right="1099"/>
        <w:spacing w:after="0" w:line="288" w:lineRule="auto"/>
        <w:rPr>
          <w:sz w:val="20"/>
          <w:szCs w:val="20"/>
          <w:color w:val="auto"/>
        </w:rPr>
      </w:pPr>
      <w:r>
        <w:rPr>
          <w:rFonts w:ascii="Arial" w:cs="Arial" w:eastAsia="Arial" w:hAnsi="Arial"/>
          <w:sz w:val="15"/>
          <w:szCs w:val="15"/>
          <w:color w:val="auto"/>
        </w:rPr>
        <w:t>Our Board proposes to allocate the loss of $283.7 million reflected in the Luxembourg Annual Accounts to reduce profit brought forward.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OUR BOARD OF DIRECTORS UNANIMOUSLY RECOMMENDS THAT YOU VOTE “FOR”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LUXEMBOURG ANNUAL ACCOUNTS ALLOCATION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1" w:name="page52"/>
    <w:bookmarkEnd w:id="51"/>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6" w:lineRule="exact"/>
        <w:rPr>
          <w:sz w:val="20"/>
          <w:szCs w:val="20"/>
          <w:color w:val="auto"/>
        </w:rPr>
      </w:pPr>
    </w:p>
    <w:p>
      <w:pPr>
        <w:jc w:val="right"/>
        <w:ind w:right="103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PROPOSAL SIX</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4253865</wp:posOffset>
            </wp:positionH>
            <wp:positionV relativeFrom="paragraph">
              <wp:posOffset>-181610</wp:posOffset>
            </wp:positionV>
            <wp:extent cx="789940" cy="1219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89940" cy="121920"/>
                    </a:xfrm>
                    <a:prstGeom prst="rect">
                      <a:avLst/>
                    </a:prstGeom>
                    <a:noFill/>
                  </pic:spPr>
                </pic:pic>
              </a:graphicData>
            </a:graphic>
          </wp:anchor>
        </w:drawing>
      </w:r>
    </w:p>
    <w:p>
      <w:pPr>
        <w:spacing w:after="0" w:line="88"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Proposal Six: Discharge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34290</wp:posOffset>
            </wp:positionV>
            <wp:extent cx="436753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67530" cy="6985"/>
                    </a:xfrm>
                    <a:prstGeom prst="rect">
                      <a:avLst/>
                    </a:prstGeom>
                    <a:noFill/>
                  </pic:spPr>
                </pic:pic>
              </a:graphicData>
            </a:graphic>
          </wp:anchor>
        </w:drawing>
      </w:r>
    </w:p>
    <w:p>
      <w:pPr>
        <w:spacing w:after="0" w:line="166" w:lineRule="exact"/>
        <w:rPr>
          <w:sz w:val="20"/>
          <w:szCs w:val="20"/>
          <w:color w:val="auto"/>
        </w:rPr>
      </w:pPr>
    </w:p>
    <w:p>
      <w:pPr>
        <w:ind w:left="1060" w:right="1119"/>
        <w:spacing w:after="0" w:line="256" w:lineRule="auto"/>
        <w:rPr>
          <w:sz w:val="20"/>
          <w:szCs w:val="20"/>
          <w:color w:val="auto"/>
        </w:rPr>
      </w:pPr>
      <w:r>
        <w:rPr>
          <w:rFonts w:ascii="Arial" w:cs="Arial" w:eastAsia="Arial" w:hAnsi="Arial"/>
          <w:sz w:val="15"/>
          <w:szCs w:val="15"/>
          <w:color w:val="auto"/>
        </w:rPr>
        <w:t xml:space="preserve">Pursuant to Luxembourg law, after the approval of the Luxembourg Statutory Accounts (as discussed in Proposal Three above), shareholders must vote on whether to discharge each of our Directors for the performance of their mandate for the year ended December 31, 2024 and our supervisory auditor </w:t>
      </w:r>
      <w:r>
        <w:rPr>
          <w:rFonts w:ascii="Arial" w:cs="Arial" w:eastAsia="Arial" w:hAnsi="Arial"/>
          <w:sz w:val="15"/>
          <w:szCs w:val="15"/>
          <w:i w:val="1"/>
          <w:iCs w:val="1"/>
          <w:color w:val="auto"/>
        </w:rPr>
        <w:t>(Commissaire aux Comptes)</w:t>
      </w:r>
      <w:r>
        <w:rPr>
          <w:rFonts w:ascii="Arial" w:cs="Arial" w:eastAsia="Arial" w:hAnsi="Arial"/>
          <w:sz w:val="15"/>
          <w:szCs w:val="15"/>
          <w:color w:val="auto"/>
        </w:rPr>
        <w:t xml:space="preserve"> for the performance of her mandate for the same period. If the shareholders grant the discharge for the relevant period, shareholders will not be able to initiate a liability claim against such Directors and/or supervisory auditor in connection with the performance of their mandates for such period. However, such discharge will not be valid in certain instances as specified in article 461-7 of the Luxembourg Company Law. For fiscal year 2024, we believe no such instances have occurred.</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OUR BOARD OF DIRECTORS UNANIMOUSLY RECOMMENDS THAT YOU VOTE “FOR”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DISCHARGE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2" w:name="page53"/>
    <w:bookmarkEnd w:id="52"/>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376" w:lineRule="exact"/>
        <w:rPr>
          <w:sz w:val="20"/>
          <w:szCs w:val="20"/>
          <w:color w:val="auto"/>
        </w:rPr>
      </w:pPr>
    </w:p>
    <w:p>
      <w:pPr>
        <w:jc w:val="right"/>
        <w:ind w:right="1039"/>
        <w:spacing w:after="0"/>
        <w:tabs>
          <w:tab w:leader="none" w:pos="20" w:val="left"/>
        </w:tabs>
        <w:rPr>
          <w:sz w:val="20"/>
          <w:szCs w:val="20"/>
          <w:color w:val="auto"/>
        </w:rPr>
      </w:pPr>
      <w:r>
        <w:rPr>
          <w:rFonts w:ascii="Arial" w:cs="Arial" w:eastAsia="Arial" w:hAnsi="Arial"/>
          <w:sz w:val="27"/>
          <w:szCs w:val="27"/>
          <w:b w:val="1"/>
          <w:bCs w:val="1"/>
          <w:color w:val="314F60"/>
          <w:vertAlign w:val="superscript"/>
        </w:rPr>
        <w:t>​</w:t>
      </w:r>
      <w:r>
        <w:rPr>
          <w:rFonts w:ascii="Arial" w:cs="Arial" w:eastAsia="Arial" w:hAnsi="Arial"/>
          <w:sz w:val="14"/>
          <w:szCs w:val="14"/>
          <w:b w:val="1"/>
          <w:bCs w:val="1"/>
          <w:color w:val="314F60"/>
        </w:rPr>
        <w:t xml:space="preserve"> PROPOSAL SEVEN</w:t>
      </w:r>
      <w:r>
        <w:rPr>
          <w:sz w:val="20"/>
          <w:szCs w:val="20"/>
          <w:color w:val="auto"/>
        </w:rPr>
        <w:tab/>
      </w:r>
      <w:r>
        <w:rPr>
          <w:rFonts w:ascii="Arial" w:cs="Arial" w:eastAsia="Arial" w:hAnsi="Arial"/>
          <w:sz w:val="27"/>
          <w:szCs w:val="27"/>
          <w:b w:val="1"/>
          <w:bCs w:val="1"/>
          <w:color w:val="314F60"/>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-181610</wp:posOffset>
            </wp:positionV>
            <wp:extent cx="941070" cy="1219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41070" cy="121920"/>
                    </a:xfrm>
                    <a:prstGeom prst="rect">
                      <a:avLst/>
                    </a:prstGeom>
                    <a:noFill/>
                  </pic:spPr>
                </pic:pic>
              </a:graphicData>
            </a:graphic>
          </wp:anchor>
        </w:drawing>
      </w:r>
    </w:p>
    <w:p>
      <w:pPr>
        <w:spacing w:after="0" w:line="88"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Proposal Seven: Say-on-Pay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34290</wp:posOffset>
            </wp:positionV>
            <wp:extent cx="436753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67530" cy="6985"/>
                    </a:xfrm>
                    <a:prstGeom prst="rect">
                      <a:avLst/>
                    </a:prstGeom>
                    <a:noFill/>
                  </pic:spPr>
                </pic:pic>
              </a:graphicData>
            </a:graphic>
          </wp:anchor>
        </w:drawing>
      </w:r>
    </w:p>
    <w:p>
      <w:pPr>
        <w:spacing w:after="0" w:line="166" w:lineRule="exact"/>
        <w:rPr>
          <w:sz w:val="20"/>
          <w:szCs w:val="20"/>
          <w:color w:val="auto"/>
        </w:rPr>
      </w:pPr>
    </w:p>
    <w:p>
      <w:pPr>
        <w:ind w:left="1060" w:right="1279"/>
        <w:spacing w:after="0" w:line="287" w:lineRule="auto"/>
        <w:rPr>
          <w:sz w:val="20"/>
          <w:szCs w:val="20"/>
          <w:color w:val="auto"/>
        </w:rPr>
      </w:pPr>
      <w:r>
        <w:rPr>
          <w:rFonts w:ascii="Arial" w:cs="Arial" w:eastAsia="Arial" w:hAnsi="Arial"/>
          <w:sz w:val="15"/>
          <w:szCs w:val="15"/>
          <w:color w:val="auto"/>
        </w:rPr>
        <w:t>At our 2024 annual general meeting of shareholders, our shareholders voted in favor of an annual frequency for advisory votes with respect to our executive compensation.</w:t>
      </w:r>
    </w:p>
    <w:p>
      <w:pPr>
        <w:spacing w:after="0" w:line="74" w:lineRule="exact"/>
        <w:rPr>
          <w:sz w:val="20"/>
          <w:szCs w:val="20"/>
          <w:color w:val="auto"/>
        </w:rPr>
      </w:pPr>
    </w:p>
    <w:p>
      <w:pPr>
        <w:ind w:left="1060" w:right="1179"/>
        <w:spacing w:after="0" w:line="266" w:lineRule="auto"/>
        <w:rPr>
          <w:sz w:val="20"/>
          <w:szCs w:val="20"/>
          <w:color w:val="auto"/>
        </w:rPr>
      </w:pPr>
      <w:r>
        <w:rPr>
          <w:rFonts w:ascii="Arial" w:cs="Arial" w:eastAsia="Arial" w:hAnsi="Arial"/>
          <w:sz w:val="15"/>
          <w:szCs w:val="15"/>
          <w:color w:val="auto"/>
        </w:rPr>
        <w:t>In light of this vote, and pursuant to Section 14A of the Securities Exchange Act of 1934, as amended, we are presenting this proposal, which gives shareholders the opportunity to approve or not approve, on a non-binding advisory basis, our pay program for our Named Executive Officers.</w:t>
      </w:r>
    </w:p>
    <w:p>
      <w:pPr>
        <w:spacing w:after="0" w:line="264" w:lineRule="exact"/>
        <w:rPr>
          <w:sz w:val="20"/>
          <w:szCs w:val="20"/>
          <w:color w:val="auto"/>
        </w:rPr>
      </w:pPr>
    </w:p>
    <w:p>
      <w:pPr>
        <w:ind w:left="1060" w:right="1159"/>
        <w:spacing w:after="0" w:line="259" w:lineRule="auto"/>
        <w:rPr>
          <w:sz w:val="20"/>
          <w:szCs w:val="20"/>
          <w:color w:val="auto"/>
        </w:rPr>
      </w:pPr>
      <w:r>
        <w:rPr>
          <w:rFonts w:ascii="Arial" w:cs="Arial" w:eastAsia="Arial" w:hAnsi="Arial"/>
          <w:sz w:val="15"/>
          <w:szCs w:val="15"/>
          <w:color w:val="auto"/>
        </w:rPr>
        <w:t>Our executive compensation program is designed to attract, incent and retain our Named Executive Officers, who are critical to our success. Pursuant to these programs, we seek to reward our Named Executive Officers for achieving strategic business goals designed to deliver long-term shareholder value. Shareholders should read the Executive Compensation section of this proxy statement, which discusses our compensation programs and the 2024 compensation for our Named Executive Officers.</w:t>
      </w:r>
    </w:p>
    <w:p>
      <w:pPr>
        <w:spacing w:after="0" w:line="280" w:lineRule="exact"/>
        <w:rPr>
          <w:sz w:val="20"/>
          <w:szCs w:val="20"/>
          <w:color w:val="auto"/>
        </w:rPr>
      </w:pPr>
    </w:p>
    <w:p>
      <w:pPr>
        <w:ind w:left="1060" w:right="1679"/>
        <w:spacing w:after="0" w:line="288" w:lineRule="auto"/>
        <w:rPr>
          <w:sz w:val="20"/>
          <w:szCs w:val="20"/>
          <w:color w:val="auto"/>
        </w:rPr>
      </w:pPr>
      <w:r>
        <w:rPr>
          <w:rFonts w:ascii="Arial" w:cs="Arial" w:eastAsia="Arial" w:hAnsi="Arial"/>
          <w:sz w:val="15"/>
          <w:szCs w:val="15"/>
          <w:color w:val="auto"/>
        </w:rPr>
        <w:t>While our Board intends to carefully consider the shareholder vote resulting from this proposal, the final vote will not be binding on us and is advisory in nature.</w:t>
      </w:r>
    </w:p>
    <w:p>
      <w:pPr>
        <w:spacing w:after="0" w:line="72" w:lineRule="exact"/>
        <w:rPr>
          <w:sz w:val="20"/>
          <w:szCs w:val="20"/>
          <w:color w:val="auto"/>
        </w:rPr>
      </w:pPr>
    </w:p>
    <w:p>
      <w:pPr>
        <w:jc w:val="both"/>
        <w:ind w:left="1060" w:right="1119"/>
        <w:spacing w:after="0" w:line="269" w:lineRule="auto"/>
        <w:rPr>
          <w:sz w:val="20"/>
          <w:szCs w:val="20"/>
          <w:color w:val="auto"/>
        </w:rPr>
      </w:pPr>
      <w:r>
        <w:rPr>
          <w:rFonts w:ascii="Arial" w:cs="Arial" w:eastAsia="Arial" w:hAnsi="Arial"/>
          <w:sz w:val="15"/>
          <w:szCs w:val="15"/>
          <w:color w:val="auto"/>
        </w:rPr>
        <w:t>You may vote for or against the approval of our Named Executive Officers’ compensation, as disclosed in the Summary Compensation Table and accompanying compensation tables and related information contained in this proxy statement.</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OUR BOARD OF DIRECTORS UNANIMOUSLY RECOMMENDS THAT YOU VOTE “FOR”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SAY-ON-PAY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3" w:name="page54"/>
    <w:bookmarkEnd w:id="53"/>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60" w:right="2119"/>
        <w:spacing w:after="0" w:line="296" w:lineRule="auto"/>
        <w:rPr>
          <w:sz w:val="20"/>
          <w:szCs w:val="20"/>
          <w:color w:val="auto"/>
        </w:rPr>
      </w:pPr>
      <w:r>
        <w:rPr>
          <w:rFonts w:ascii="Arial" w:cs="Arial" w:eastAsia="Arial" w:hAnsi="Arial"/>
          <w:sz w:val="18"/>
          <w:szCs w:val="18"/>
          <w:b w:val="1"/>
          <w:bCs w:val="1"/>
          <w:color w:val="auto"/>
        </w:rPr>
        <w:t>Proposals to be Considered at the Extraordinary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-21590</wp:posOffset>
            </wp:positionV>
            <wp:extent cx="436753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367530" cy="6985"/>
                    </a:xfrm>
                    <a:prstGeom prst="rect">
                      <a:avLst/>
                    </a:prstGeom>
                    <a:noFill/>
                  </pic:spPr>
                </pic:pic>
              </a:graphicData>
            </a:graphic>
          </wp:anchor>
        </w:drawing>
      </w:r>
    </w:p>
    <w:p>
      <w:pPr>
        <w:spacing w:after="0" w:line="73"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Proposal One: Share Consolidation Proposal</w:t>
      </w:r>
    </w:p>
    <w:p>
      <w:pPr>
        <w:spacing w:after="0" w:line="103" w:lineRule="exact"/>
        <w:rPr>
          <w:sz w:val="20"/>
          <w:szCs w:val="20"/>
          <w:color w:val="auto"/>
        </w:rPr>
      </w:pPr>
    </w:p>
    <w:p>
      <w:pPr>
        <w:ind w:left="1060" w:right="1099"/>
        <w:spacing w:after="0" w:line="256" w:lineRule="auto"/>
        <w:rPr>
          <w:sz w:val="20"/>
          <w:szCs w:val="20"/>
          <w:color w:val="auto"/>
        </w:rPr>
      </w:pPr>
      <w:r>
        <w:rPr>
          <w:rFonts w:ascii="Arial" w:cs="Arial" w:eastAsia="Arial" w:hAnsi="Arial"/>
          <w:sz w:val="15"/>
          <w:szCs w:val="15"/>
          <w:color w:val="auto"/>
        </w:rPr>
        <w:t>On March 16, 2025 our Board approved, subject to shareholder approval, an amendment to Article 5 of the Articles to consolidate eighty-eight million nine hundred and fifty-one thousand nine hundred and twenty-five (88,951,925) shares of the Company’s common stock without designation of nominal value into eleven million one hundred eighteen thousand nine hundred ninety (11,118,990) shares of the Company’s common stock without designation of nominal value, on the basis of a ratio of one (1) post-consolidation share of the Company’s common stock for every eight (8) outstanding pre- consolidation shares of the Company’s common stock (the “Share Consolidation”), and to authorize our Board to proceed with all formalities to effect the Share Consolidation.</w:t>
      </w:r>
    </w:p>
    <w:p>
      <w:pPr>
        <w:spacing w:after="0" w:line="33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Rationale</w:t>
      </w:r>
    </w:p>
    <w:p>
      <w:pPr>
        <w:spacing w:after="0" w:line="92" w:lineRule="exact"/>
        <w:rPr>
          <w:sz w:val="20"/>
          <w:szCs w:val="20"/>
          <w:color w:val="auto"/>
        </w:rPr>
      </w:pPr>
    </w:p>
    <w:p>
      <w:pPr>
        <w:ind w:left="1060" w:right="1159"/>
        <w:spacing w:after="0" w:line="254" w:lineRule="auto"/>
        <w:rPr>
          <w:sz w:val="20"/>
          <w:szCs w:val="20"/>
          <w:color w:val="auto"/>
        </w:rPr>
      </w:pPr>
      <w:r>
        <w:rPr>
          <w:rFonts w:ascii="Arial" w:cs="Arial" w:eastAsia="Arial" w:hAnsi="Arial"/>
          <w:sz w:val="15"/>
          <w:szCs w:val="15"/>
          <w:color w:val="auto"/>
        </w:rPr>
        <w:t>On December 19, 2024, the Company received a letter (the “Bid Price Notice”) from Nasdaq notifying the Company that, because the closing bid price for its common stock has been below $1.00 per share for 30 consecutive business days, it no longer complies with the minimum bid price requirement for continued listing on The Nasdaq Global Select Market. Nasdaq Listing Rule 5450(a)(1) requires listed securities to maintain a minimum bid price of $1.00 per share (the “Minimum Bid Price Rule”), and Nasdaq Listing Rule 5810(c)(3)(A) provides that a failure to meet the Minimum Bid Price Rule exists if the deficiency continues for a period of 30 consecutive business days. Pursuant to Nasdaq Listing Rule 5810(c)(3) (A), the Company has been provided an initial compliance period of 180 calendar days, or until June 17, 2025, to regain compliance with the Minimum Bid Price Rule. The Bid Price Notice states that the Nasdaq staff will provide written confirmation that the Company has achieved compliance with the Minimum Bid Price Rule if at any time before June 17, 2025, the bid price of the Company’s common stock closes at $1.00 per share or more for a minimum of ten consecutive business days.</w:t>
      </w:r>
    </w:p>
    <w:p>
      <w:pPr>
        <w:spacing w:after="0" w:line="285" w:lineRule="exact"/>
        <w:rPr>
          <w:sz w:val="20"/>
          <w:szCs w:val="20"/>
          <w:color w:val="auto"/>
        </w:rPr>
      </w:pPr>
    </w:p>
    <w:p>
      <w:pPr>
        <w:ind w:left="1060" w:right="1119"/>
        <w:spacing w:after="0" w:line="257" w:lineRule="auto"/>
        <w:rPr>
          <w:sz w:val="20"/>
          <w:szCs w:val="20"/>
          <w:color w:val="auto"/>
        </w:rPr>
      </w:pPr>
      <w:r>
        <w:rPr>
          <w:rFonts w:ascii="Arial" w:cs="Arial" w:eastAsia="Arial" w:hAnsi="Arial"/>
          <w:sz w:val="15"/>
          <w:szCs w:val="15"/>
          <w:color w:val="auto"/>
        </w:rPr>
        <w:t>We expect that the Share Consolidation will increase the bid price per share of our common stock above the $1.00 per share set forth in the Minimum Bid Price Rule, thereby satisfying this Nasdaq listing requirement, to the extent necessary. However, there can be no assurance that the Share Consolidation would have that effect, initially or in the future, or that it would enable us to maintain the listing of our common stock on the Nasdaq Global Select Market or any other tier of Nasdaq. We are not aware of any present efforts by anyone to accumulate shares of our common stock, and the proposed Reverse Stock Split is not intended to be an anti-takeover device.</w:t>
      </w:r>
    </w:p>
    <w:p>
      <w:pPr>
        <w:spacing w:after="0" w:line="268" w:lineRule="exact"/>
        <w:rPr>
          <w:sz w:val="20"/>
          <w:szCs w:val="20"/>
          <w:color w:val="auto"/>
        </w:rPr>
      </w:pPr>
    </w:p>
    <w:p>
      <w:pPr>
        <w:ind w:left="1060" w:right="1119"/>
        <w:spacing w:after="0" w:line="256" w:lineRule="auto"/>
        <w:rPr>
          <w:sz w:val="20"/>
          <w:szCs w:val="20"/>
          <w:color w:val="auto"/>
        </w:rPr>
      </w:pPr>
      <w:r>
        <w:rPr>
          <w:rFonts w:ascii="Arial" w:cs="Arial" w:eastAsia="Arial" w:hAnsi="Arial"/>
          <w:sz w:val="15"/>
          <w:szCs w:val="15"/>
          <w:color w:val="auto"/>
        </w:rPr>
        <w:t>In addition, we believe that the low market price of our common stock impairs its marketability to, and acceptance by, institutional investors and other members of the investing public and creates a negative impression of the Company. Many investors, brokerage firms and market makers consider low-priced stocks as unduly speculative in nature and, as a matter of policy, avoid investment and trading in such stocks. Moreover, the analysts at many brokerage firms do not monitor the trading activity or otherwise provide coverage of lower -priced stocks. The presence of these factors may be adversely affecting, and may continue to adversely affect, not only the price of our common stock but also its trading liquidity. In addition, these factors may affect our ability to raise additional capital through the sale of our common stock.</w:t>
      </w:r>
    </w:p>
    <w:p>
      <w:pPr>
        <w:spacing w:after="0" w:line="279" w:lineRule="exact"/>
        <w:rPr>
          <w:sz w:val="20"/>
          <w:szCs w:val="20"/>
          <w:color w:val="auto"/>
        </w:rPr>
      </w:pPr>
    </w:p>
    <w:p>
      <w:pPr>
        <w:ind w:left="1060" w:right="1099"/>
        <w:spacing w:after="0" w:line="259" w:lineRule="auto"/>
        <w:rPr>
          <w:sz w:val="20"/>
          <w:szCs w:val="20"/>
          <w:color w:val="auto"/>
        </w:rPr>
      </w:pPr>
      <w:r>
        <w:rPr>
          <w:rFonts w:ascii="Arial" w:cs="Arial" w:eastAsia="Arial" w:hAnsi="Arial"/>
          <w:sz w:val="15"/>
          <w:szCs w:val="15"/>
          <w:color w:val="auto"/>
        </w:rPr>
        <w:t>We also believe that a higher share price could help us attract and retain employees and other service providers. We believe that some potential employees and service providers are less likely to work for a company with a low share price, regardless of the size of the company’s market capitalization. If the Share Consolidation successfully increases the per-share price of our common stock, we believe this increase would enhance our ability to attract and retain employees and service providers.</w:t>
      </w:r>
    </w:p>
    <w:p>
      <w:pPr>
        <w:spacing w:after="0" w:line="332"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Effectiveness of the Share Consolidation</w:t>
      </w:r>
    </w:p>
    <w:p>
      <w:pPr>
        <w:spacing w:after="0" w:line="92" w:lineRule="exact"/>
        <w:rPr>
          <w:sz w:val="20"/>
          <w:szCs w:val="20"/>
          <w:color w:val="auto"/>
        </w:rPr>
      </w:pPr>
    </w:p>
    <w:p>
      <w:pPr>
        <w:ind w:left="1060" w:right="1099"/>
        <w:spacing w:after="0" w:line="287" w:lineRule="auto"/>
        <w:rPr>
          <w:sz w:val="20"/>
          <w:szCs w:val="20"/>
          <w:color w:val="auto"/>
        </w:rPr>
      </w:pPr>
      <w:r>
        <w:rPr>
          <w:rFonts w:ascii="Arial" w:cs="Arial" w:eastAsia="Arial" w:hAnsi="Arial"/>
          <w:sz w:val="15"/>
          <w:szCs w:val="15"/>
          <w:color w:val="auto"/>
        </w:rPr>
        <w:t>Assuming the Share Consolidation Proposal is approved by shareholders, the Share Consolidation will become effective May 28, 2025 (the “Share Consolidation Effective Date”).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4" w:name="page55"/>
    <w:bookmarkEnd w:id="54"/>
    <w:p>
      <w:pPr>
        <w:ind w:left="20"/>
        <w:spacing w:after="0"/>
        <w:rPr>
          <w:sz w:val="20"/>
          <w:szCs w:val="20"/>
          <w:color w:val="auto"/>
        </w:rPr>
      </w:pPr>
      <w:r>
        <w:rPr>
          <w:rFonts w:ascii="Calibri" w:cs="Calibri" w:eastAsia="Calibri" w:hAnsi="Calibri"/>
          <w:sz w:val="12"/>
          <w:szCs w:val="12"/>
          <w:color w:val="003366"/>
        </w:rPr>
        <w:t>TABLE OF CONTENTS</w:t>
      </w:r>
    </w:p>
    <w:p>
      <w:pPr>
        <w:spacing w:after="0" w:line="229" w:lineRule="exact"/>
        <w:rPr>
          <w:sz w:val="20"/>
          <w:szCs w:val="20"/>
          <w:color w:val="auto"/>
        </w:rPr>
      </w:pPr>
    </w:p>
    <w:p>
      <w:pPr>
        <w:ind w:left="2340" w:right="1039" w:hanging="10"/>
        <w:spacing w:after="0" w:line="274" w:lineRule="auto"/>
        <w:rPr>
          <w:sz w:val="20"/>
          <w:szCs w:val="20"/>
          <w:color w:val="auto"/>
        </w:rPr>
      </w:pPr>
      <w:r>
        <w:rPr>
          <w:rFonts w:ascii="Arial" w:cs="Arial" w:eastAsia="Arial" w:hAnsi="Arial"/>
          <w:sz w:val="14"/>
          <w:szCs w:val="14"/>
          <w:b w:val="1"/>
          <w:bCs w:val="1"/>
          <w:color w:val="314F60"/>
        </w:rPr>
        <w:t>​PROPOSALS TO BE CONSIDERED AT THE EXTRAORDINARY GENERAL MEETING OF ​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-217805</wp:posOffset>
            </wp:positionV>
            <wp:extent cx="3577590" cy="2082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577590" cy="208280"/>
                    </a:xfrm>
                    <a:prstGeom prst="rect">
                      <a:avLst/>
                    </a:prstGeom>
                    <a:noFill/>
                  </pic:spPr>
                </pic:pic>
              </a:graphicData>
            </a:graphic>
          </wp:anchor>
        </w:drawing>
      </w:r>
    </w:p>
    <w:p>
      <w:pPr>
        <w:spacing w:after="0" w:line="20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Principal Effects of the Share Consolidation</w:t>
      </w:r>
    </w:p>
    <w:p>
      <w:pPr>
        <w:spacing w:after="0" w:line="92"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Effects of the Share Consolidation on Issued and Outstanding Shares</w:t>
      </w:r>
    </w:p>
    <w:p>
      <w:pPr>
        <w:spacing w:after="0" w:line="133" w:lineRule="exact"/>
        <w:rPr>
          <w:sz w:val="20"/>
          <w:szCs w:val="20"/>
          <w:color w:val="auto"/>
        </w:rPr>
      </w:pPr>
    </w:p>
    <w:p>
      <w:pPr>
        <w:ind w:left="1060" w:right="1099"/>
        <w:spacing w:after="0" w:line="243" w:lineRule="auto"/>
        <w:rPr>
          <w:sz w:val="20"/>
          <w:szCs w:val="20"/>
          <w:color w:val="auto"/>
        </w:rPr>
      </w:pPr>
      <w:r>
        <w:rPr>
          <w:rFonts w:ascii="Arial" w:cs="Arial" w:eastAsia="Arial" w:hAnsi="Arial"/>
          <w:sz w:val="15"/>
          <w:szCs w:val="15"/>
          <w:color w:val="auto"/>
        </w:rPr>
        <w:t>If the Share Consolidation is effected, it will reduce the total number of issued and outstanding shares of our common stock, including any shares held by us as treasury shares, by a Share Consolidation ratio of 1-for-8. Accordingly, each of our shareholders will own fewer shares of the common stock as a result of the Share Consolidation. However, the Share Consolidation will affect all stockholders uniformly and will not affect any shareholder’s percentage ownership interest in the Company, except to the extent that the Share Consolidation would result in an adjustment to a shareholder’s ownership of the common stock due to the treatment of fractional shares in the Share Consolidation. Therefore, voting rights and other rights and preferences of the holders of the common stock will not be affected by the Share Consolidation (other than as a result of the treatment of fractional shares). The common stock issued pursuant to the Share Consolidation will remain fully paid and nonassessable.</w:t>
      </w:r>
    </w:p>
    <w:p>
      <w:pPr>
        <w:spacing w:after="0" w:line="200" w:lineRule="exact"/>
        <w:rPr>
          <w:sz w:val="20"/>
          <w:szCs w:val="20"/>
          <w:color w:val="auto"/>
        </w:rPr>
      </w:pPr>
    </w:p>
    <w:p>
      <w:pPr>
        <w:spacing w:after="0" w:line="248" w:lineRule="exact"/>
        <w:rPr>
          <w:sz w:val="20"/>
          <w:szCs w:val="20"/>
          <w:color w:val="auto"/>
        </w:rPr>
      </w:pPr>
    </w:p>
    <w:p>
      <w:pPr>
        <w:ind w:left="1060" w:right="1099"/>
        <w:spacing w:after="0" w:line="250" w:lineRule="auto"/>
        <w:rPr>
          <w:sz w:val="20"/>
          <w:szCs w:val="20"/>
          <w:color w:val="auto"/>
        </w:rPr>
      </w:pPr>
      <w:r>
        <w:rPr>
          <w:rFonts w:ascii="Arial" w:cs="Arial" w:eastAsia="Arial" w:hAnsi="Arial"/>
          <w:sz w:val="15"/>
          <w:szCs w:val="15"/>
          <w:color w:val="auto"/>
        </w:rPr>
        <w:t>As of the Record Date, approximately eighty-seven million five hundred eleven thousand four hundred seventy-nine (87,511,479) shares of our common stock were outstanding. If the Share Consolidation is effected at a ratio of 1-for-8, the number of issued and outstanding shares of the common stock after the Share Consolidation would be approximately ten million nine hundred thirty-eight thousand nine hundred thirty-four (10,938,934) shares (not taking into account the treatment of fractional shares).</w:t>
      </w:r>
    </w:p>
    <w:p>
      <w:pPr>
        <w:spacing w:after="0" w:line="267"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Effects of the Share Consolidation Convertible Securities</w:t>
      </w:r>
    </w:p>
    <w:p>
      <w:pPr>
        <w:spacing w:after="0" w:line="133" w:lineRule="exact"/>
        <w:rPr>
          <w:sz w:val="20"/>
          <w:szCs w:val="20"/>
          <w:color w:val="auto"/>
        </w:rPr>
      </w:pPr>
    </w:p>
    <w:p>
      <w:pPr>
        <w:ind w:left="1060" w:right="1139"/>
        <w:spacing w:after="0" w:line="249" w:lineRule="auto"/>
        <w:rPr>
          <w:sz w:val="20"/>
          <w:szCs w:val="20"/>
          <w:color w:val="auto"/>
        </w:rPr>
      </w:pPr>
      <w:r>
        <w:rPr>
          <w:rFonts w:ascii="Arial" w:cs="Arial" w:eastAsia="Arial" w:hAnsi="Arial"/>
          <w:sz w:val="15"/>
          <w:szCs w:val="15"/>
          <w:color w:val="auto"/>
        </w:rPr>
        <w:t>The exercise or conversion price and/or the number of shares issuable under any of the Company’s outstanding convertible securities, including under outstanding stock options, and any other similar securities will be proportionately adjusted upon the implementation of the Share Consolidation, in accordance with the terms of such securities, based on a 1-for-8 Share Consolidation ratio.</w:t>
      </w:r>
    </w:p>
    <w:p>
      <w:pPr>
        <w:spacing w:after="0" w:line="268"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Effects of the Share Consolidation on Voting Rights</w:t>
      </w:r>
    </w:p>
    <w:p>
      <w:pPr>
        <w:spacing w:after="0" w:line="133" w:lineRule="exact"/>
        <w:rPr>
          <w:sz w:val="20"/>
          <w:szCs w:val="20"/>
          <w:color w:val="auto"/>
        </w:rPr>
      </w:pPr>
    </w:p>
    <w:p>
      <w:pPr>
        <w:ind w:left="1060" w:right="1099"/>
        <w:spacing w:after="0" w:line="246" w:lineRule="auto"/>
        <w:rPr>
          <w:sz w:val="20"/>
          <w:szCs w:val="20"/>
          <w:color w:val="auto"/>
        </w:rPr>
      </w:pPr>
      <w:r>
        <w:rPr>
          <w:rFonts w:ascii="Arial" w:cs="Arial" w:eastAsia="Arial" w:hAnsi="Arial"/>
          <w:sz w:val="15"/>
          <w:szCs w:val="15"/>
          <w:color w:val="auto"/>
        </w:rPr>
        <w:t>Voting rights and other rights of the holders of the common stock would not be affected by the Share Consolidation (other than as a result of the treatment of fractional shares). For example, a holder of 1% of the voting power of the outstanding common stock immediately prior to the effective time of the Share Consolidation would continue to hold 1% of the voting power of the outstanding common stock after the Share Consolidation (other than as a result of the treatment of fractional shares).</w:t>
      </w:r>
    </w:p>
    <w:p>
      <w:pPr>
        <w:spacing w:after="0" w:line="270" w:lineRule="exact"/>
        <w:rPr>
          <w:sz w:val="20"/>
          <w:szCs w:val="20"/>
          <w:color w:val="auto"/>
        </w:rPr>
      </w:pPr>
    </w:p>
    <w:p>
      <w:pPr>
        <w:ind w:left="1060" w:right="1179"/>
        <w:spacing w:after="0" w:line="287" w:lineRule="auto"/>
        <w:rPr>
          <w:sz w:val="20"/>
          <w:szCs w:val="20"/>
          <w:color w:val="auto"/>
        </w:rPr>
      </w:pPr>
      <w:r>
        <w:rPr>
          <w:rFonts w:ascii="Arial" w:cs="Arial" w:eastAsia="Arial" w:hAnsi="Arial"/>
          <w:sz w:val="15"/>
          <w:szCs w:val="15"/>
          <w:u w:val="single" w:color="auto"/>
          <w:color w:val="auto"/>
        </w:rPr>
        <w:t>Effects of the Share Consolidation on the Number of Shares of Common Stock Available for Future Issuance</w:t>
      </w:r>
    </w:p>
    <w:p>
      <w:pPr>
        <w:spacing w:after="0" w:line="74" w:lineRule="exact"/>
        <w:rPr>
          <w:sz w:val="20"/>
          <w:szCs w:val="20"/>
          <w:color w:val="auto"/>
        </w:rPr>
      </w:pPr>
    </w:p>
    <w:p>
      <w:pPr>
        <w:ind w:left="1060" w:right="1159"/>
        <w:spacing w:after="0" w:line="243" w:lineRule="auto"/>
        <w:rPr>
          <w:sz w:val="20"/>
          <w:szCs w:val="20"/>
          <w:color w:val="auto"/>
        </w:rPr>
      </w:pPr>
      <w:r>
        <w:rPr>
          <w:rFonts w:ascii="Arial" w:cs="Arial" w:eastAsia="Arial" w:hAnsi="Arial"/>
          <w:sz w:val="15"/>
          <w:szCs w:val="15"/>
          <w:color w:val="auto"/>
        </w:rPr>
        <w:t>As noted above, if the Share Consolidation Proposal is approved, the number of shares of our common stock outstanding would decrease from approximately eighty-seven million five hundred eleven thousand four hundred seventy-nine (87,511,479) to approximately ten million nine hundred thirty- eight thousand nine hundred thirty- four (10,938,934) (not taking into account the treatment of fractional shares). However, the number of shares of our common stock our Board is authorized to issue will remain at 191,832,982, which effectively increases the number of shares of common stock our Board is authorized to issue without shareholder approval until the current shareholder authorization expires on February 28, 2030. Our Board may issue the additional shares of common stock, options, or other similar instruments exercisable into shares, or rights to subscribe for shares, and set the terms of these instruments, in its discretion, for capital-raising or any other purpose, subject to compliance with Nasdaq rules and other applicable laws or regulations, without further approval of the Company’s shareholders. The Board of Directors does not intend to seek shareholder approval prior to any issuance of the shares of common stock, except as required by Nasdaq rules and other applicable laws or regulations.</w:t>
      </w:r>
    </w:p>
    <w:p>
      <w:pPr>
        <w:spacing w:after="0" w:line="270"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No Fractional Shares Will be Issued to Shareholders</w:t>
      </w:r>
    </w:p>
    <w:p>
      <w:pPr>
        <w:spacing w:after="0" w:line="133" w:lineRule="exact"/>
        <w:rPr>
          <w:sz w:val="20"/>
          <w:szCs w:val="20"/>
          <w:color w:val="auto"/>
        </w:rPr>
      </w:pPr>
    </w:p>
    <w:p>
      <w:pPr>
        <w:ind w:left="1060" w:right="1199"/>
        <w:spacing w:after="0" w:line="247" w:lineRule="auto"/>
        <w:rPr>
          <w:sz w:val="20"/>
          <w:szCs w:val="20"/>
          <w:color w:val="auto"/>
        </w:rPr>
      </w:pPr>
      <w:r>
        <w:rPr>
          <w:rFonts w:ascii="Arial" w:cs="Arial" w:eastAsia="Arial" w:hAnsi="Arial"/>
          <w:sz w:val="15"/>
          <w:szCs w:val="15"/>
          <w:color w:val="auto"/>
        </w:rPr>
        <w:t>No fractional shares will be issued to holders of our common stock in connection with the Share Consolidation. If the Share Consolidation Proposal is approved, shareholders will have until Share Consolidation Effective Date of May 28, 2025 to buy or sell shares of common to ensure they hold shares of our common stock in an amount that is divisible by 8 to ensure they would not otherwise be entitled a fractional share of our common stock as a result of the Share Consolidation. At the end of this period, any remaining fractional shares will be aggregated</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5" w:name="page56"/>
    <w:bookmarkEnd w:id="55"/>
    <w:p>
      <w:pPr>
        <w:ind w:left="20"/>
        <w:spacing w:after="0"/>
        <w:rPr>
          <w:sz w:val="20"/>
          <w:szCs w:val="20"/>
          <w:color w:val="auto"/>
        </w:rPr>
      </w:pPr>
      <w:r>
        <w:rPr>
          <w:rFonts w:ascii="Calibri" w:cs="Calibri" w:eastAsia="Calibri" w:hAnsi="Calibri"/>
          <w:sz w:val="12"/>
          <w:szCs w:val="12"/>
          <w:color w:val="003366"/>
        </w:rPr>
        <w:t>TABLE OF CONTENTS</w:t>
      </w:r>
    </w:p>
    <w:p>
      <w:pPr>
        <w:spacing w:after="0" w:line="229" w:lineRule="exact"/>
        <w:rPr>
          <w:sz w:val="20"/>
          <w:szCs w:val="20"/>
          <w:color w:val="auto"/>
        </w:rPr>
      </w:pPr>
    </w:p>
    <w:p>
      <w:pPr>
        <w:ind w:left="2340" w:right="1039" w:hanging="10"/>
        <w:spacing w:after="0" w:line="274" w:lineRule="auto"/>
        <w:rPr>
          <w:sz w:val="20"/>
          <w:szCs w:val="20"/>
          <w:color w:val="auto"/>
        </w:rPr>
      </w:pPr>
      <w:r>
        <w:rPr>
          <w:rFonts w:ascii="Arial" w:cs="Arial" w:eastAsia="Arial" w:hAnsi="Arial"/>
          <w:sz w:val="14"/>
          <w:szCs w:val="14"/>
          <w:b w:val="1"/>
          <w:bCs w:val="1"/>
          <w:color w:val="314F60"/>
        </w:rPr>
        <w:t>​PROPOSALS TO BE CONSIDERED AT THE EXTRAORDINARY GENERAL MEETING OF ​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-217805</wp:posOffset>
            </wp:positionV>
            <wp:extent cx="3577590" cy="2082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577590" cy="208280"/>
                    </a:xfrm>
                    <a:prstGeom prst="rect">
                      <a:avLst/>
                    </a:prstGeom>
                    <a:noFill/>
                  </pic:spPr>
                </pic:pic>
              </a:graphicData>
            </a:graphic>
          </wp:anchor>
        </w:drawing>
      </w:r>
    </w:p>
    <w:p>
      <w:pPr>
        <w:spacing w:after="0" w:line="210" w:lineRule="exact"/>
        <w:rPr>
          <w:sz w:val="20"/>
          <w:szCs w:val="20"/>
          <w:color w:val="auto"/>
        </w:rPr>
      </w:pPr>
    </w:p>
    <w:p>
      <w:pPr>
        <w:jc w:val="both"/>
        <w:ind w:left="1060" w:right="1199"/>
        <w:spacing w:after="0" w:line="254" w:lineRule="auto"/>
        <w:rPr>
          <w:sz w:val="20"/>
          <w:szCs w:val="20"/>
          <w:color w:val="auto"/>
        </w:rPr>
      </w:pPr>
      <w:r>
        <w:rPr>
          <w:rFonts w:ascii="Arial" w:cs="Arial" w:eastAsia="Arial" w:hAnsi="Arial"/>
          <w:sz w:val="15"/>
          <w:szCs w:val="15"/>
          <w:color w:val="auto"/>
        </w:rPr>
        <w:t>with other fractional shares into whole shares and sold in the open market or purchased by the Company at the closing price of our common stock on the Nasdaq Global Select Market on the last trading day immediately preceding the Share Consolidation Effective Date.</w:t>
      </w:r>
    </w:p>
    <w:p>
      <w:pPr>
        <w:spacing w:after="0" w:line="86" w:lineRule="exact"/>
        <w:rPr>
          <w:sz w:val="20"/>
          <w:szCs w:val="20"/>
          <w:color w:val="auto"/>
        </w:rPr>
      </w:pPr>
    </w:p>
    <w:p>
      <w:pPr>
        <w:ind w:left="1060" w:right="1119"/>
        <w:spacing w:after="0" w:line="255" w:lineRule="auto"/>
        <w:rPr>
          <w:sz w:val="20"/>
          <w:szCs w:val="20"/>
          <w:color w:val="auto"/>
        </w:rPr>
      </w:pPr>
      <w:r>
        <w:rPr>
          <w:rFonts w:ascii="Arial" w:cs="Arial" w:eastAsia="Arial" w:hAnsi="Arial"/>
          <w:sz w:val="15"/>
          <w:szCs w:val="15"/>
          <w:color w:val="auto"/>
        </w:rPr>
        <w:t>Net proceeds from the sale of the aggregated fractional shares on the open market or purchased by the Company will be distributed to affected shareholders on a pro-rata basis based on their fractional holdings. No Interest will be earned or paid on the fractional shares or on the proceeds from their sale.</w:t>
      </w:r>
    </w:p>
    <w:p>
      <w:pPr>
        <w:spacing w:after="0" w:line="265"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Accounting Consequences</w:t>
      </w:r>
    </w:p>
    <w:p>
      <w:pPr>
        <w:spacing w:after="0" w:line="133" w:lineRule="exact"/>
        <w:rPr>
          <w:sz w:val="20"/>
          <w:szCs w:val="20"/>
          <w:color w:val="auto"/>
        </w:rPr>
      </w:pPr>
    </w:p>
    <w:p>
      <w:pPr>
        <w:ind w:left="1060" w:right="1099"/>
        <w:spacing w:after="0" w:line="249" w:lineRule="auto"/>
        <w:rPr>
          <w:sz w:val="20"/>
          <w:szCs w:val="20"/>
          <w:color w:val="auto"/>
        </w:rPr>
      </w:pPr>
      <w:r>
        <w:rPr>
          <w:rFonts w:ascii="Arial" w:cs="Arial" w:eastAsia="Arial" w:hAnsi="Arial"/>
          <w:sz w:val="15"/>
          <w:szCs w:val="15"/>
          <w:color w:val="auto"/>
        </w:rPr>
        <w:t>If the Share Consolidation is implemented, net income or loss per share, and other per share amounts, will be increased because there will be fewer shares issued and outstanding. In future financial statements, net income or loss per share and other per share amounts for periods ending before the Share Consolidation takes effect will be recast to give retroactive effect to such Share Consolidation.</w:t>
      </w:r>
    </w:p>
    <w:p>
      <w:pPr>
        <w:spacing w:after="0" w:line="268" w:lineRule="exact"/>
        <w:rPr>
          <w:sz w:val="20"/>
          <w:szCs w:val="20"/>
          <w:color w:val="auto"/>
        </w:rPr>
      </w:pPr>
    </w:p>
    <w:p>
      <w:pPr>
        <w:ind w:left="1060"/>
        <w:spacing w:after="0"/>
        <w:rPr>
          <w:sz w:val="20"/>
          <w:szCs w:val="20"/>
          <w:color w:val="auto"/>
        </w:rPr>
      </w:pPr>
      <w:r>
        <w:rPr>
          <w:rFonts w:ascii="Arial" w:cs="Arial" w:eastAsia="Arial" w:hAnsi="Arial"/>
          <w:sz w:val="15"/>
          <w:szCs w:val="15"/>
          <w:u w:val="single" w:color="auto"/>
          <w:color w:val="auto"/>
        </w:rPr>
        <w:t>Effect on Non-Registered Shareholders</w:t>
      </w:r>
    </w:p>
    <w:p>
      <w:pPr>
        <w:spacing w:after="0" w:line="133" w:lineRule="exact"/>
        <w:rPr>
          <w:sz w:val="20"/>
          <w:szCs w:val="20"/>
          <w:color w:val="auto"/>
        </w:rPr>
      </w:pPr>
    </w:p>
    <w:p>
      <w:pPr>
        <w:ind w:left="1060" w:right="1159"/>
        <w:spacing w:after="0" w:line="249" w:lineRule="auto"/>
        <w:rPr>
          <w:sz w:val="20"/>
          <w:szCs w:val="20"/>
          <w:color w:val="auto"/>
        </w:rPr>
      </w:pPr>
      <w:r>
        <w:rPr>
          <w:rFonts w:ascii="Arial" w:cs="Arial" w:eastAsia="Arial" w:hAnsi="Arial"/>
          <w:sz w:val="15"/>
          <w:szCs w:val="15"/>
          <w:color w:val="auto"/>
        </w:rPr>
        <w:t>Non-registered shareholders holding shares of our common stock through a bank or broker should be aware that their bank or broker may have different procedures for processing a Share Consolidation than those that will be put in place by us for registered shareholders. If Shareholders hold their shares through a bank or broker and they have questions in this regard, they are encouraged to contact their bank or broker.</w:t>
      </w:r>
    </w:p>
    <w:p>
      <w:pPr>
        <w:spacing w:after="0" w:line="153" w:lineRule="exact"/>
        <w:rPr>
          <w:sz w:val="20"/>
          <w:szCs w:val="20"/>
          <w:color w:val="auto"/>
        </w:rPr>
      </w:pPr>
    </w:p>
    <w:p>
      <w:pPr>
        <w:ind w:left="1060" w:right="1579"/>
        <w:spacing w:after="0" w:line="293" w:lineRule="auto"/>
        <w:rPr>
          <w:sz w:val="20"/>
          <w:szCs w:val="20"/>
          <w:color w:val="auto"/>
        </w:rPr>
      </w:pPr>
      <w:r>
        <w:rPr>
          <w:rFonts w:ascii="Arial" w:cs="Arial" w:eastAsia="Arial" w:hAnsi="Arial"/>
          <w:sz w:val="16"/>
          <w:szCs w:val="16"/>
          <w:b w:val="1"/>
          <w:bCs w:val="1"/>
          <w:color w:val="auto"/>
        </w:rPr>
        <w:t>REGISTERED SHAREHOLDERS SHOULD NEITHER DESTROY NOR SUBMIT ANY SHARE CERTIFICATE UNTIL HAVING RECEIVED A LETTER OF TRANSMITTAL.</w:t>
      </w:r>
    </w:p>
    <w:p>
      <w:pPr>
        <w:spacing w:after="0" w:line="10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Risks Associated with the Share Consolidation</w:t>
      </w:r>
    </w:p>
    <w:p>
      <w:pPr>
        <w:spacing w:after="0" w:line="92" w:lineRule="exact"/>
        <w:rPr>
          <w:sz w:val="20"/>
          <w:szCs w:val="20"/>
          <w:color w:val="auto"/>
        </w:rPr>
      </w:pPr>
    </w:p>
    <w:p>
      <w:pPr>
        <w:ind w:left="1060" w:right="1099"/>
        <w:spacing w:after="0" w:line="244" w:lineRule="auto"/>
        <w:rPr>
          <w:sz w:val="20"/>
          <w:szCs w:val="20"/>
          <w:color w:val="auto"/>
        </w:rPr>
      </w:pPr>
      <w:r>
        <w:rPr>
          <w:rFonts w:ascii="Arial" w:cs="Arial" w:eastAsia="Arial" w:hAnsi="Arial"/>
          <w:sz w:val="15"/>
          <w:szCs w:val="15"/>
          <w:color w:val="auto"/>
        </w:rPr>
        <w:t>Reducing the number of issued and outstanding shares of common stock through the Share Consolidation is intended, absent other factors, to increase the per share market price of the shares. However, the market price of our common stock after the Share Consolidation will also be affected by our financial and operational results, our financial position, including our liquidity and capital resources, the development of the Company’s operations, industry conditions, the market’s perception of the Company’s business and other factors, which are unrelated to the number of shares outstanding. Accordingly, there can be no assurance that the market price of the shares will increase following the implementation of the Share Consolidation or that we will be in compliance with the Minimum Bid Price Rule, or that the market price of the shares will not decrease in the future resulting in noncompliance with the Minimum Bid Price Rule. There can also be no assurance that the implementation of the Share Consolidation will, in and of itself, guarantee the continued listing of the shares on the Nasdaq Global Select Market or that the shares will not be delisted from the Nasdaq Global Select Market because of our failure to meet other Nasdaq continued listing requirements.</w:t>
      </w:r>
    </w:p>
    <w:p>
      <w:pPr>
        <w:spacing w:after="0" w:line="277" w:lineRule="exact"/>
        <w:rPr>
          <w:sz w:val="20"/>
          <w:szCs w:val="20"/>
          <w:color w:val="auto"/>
        </w:rPr>
      </w:pPr>
    </w:p>
    <w:p>
      <w:pPr>
        <w:ind w:left="1060" w:right="1139"/>
        <w:spacing w:after="0" w:line="244" w:lineRule="auto"/>
        <w:rPr>
          <w:sz w:val="20"/>
          <w:szCs w:val="20"/>
          <w:color w:val="auto"/>
        </w:rPr>
      </w:pPr>
      <w:r>
        <w:rPr>
          <w:rFonts w:ascii="Arial" w:cs="Arial" w:eastAsia="Arial" w:hAnsi="Arial"/>
          <w:sz w:val="15"/>
          <w:szCs w:val="15"/>
          <w:color w:val="auto"/>
        </w:rPr>
        <w:t>The market price of our common stock immediately following the implementation of the Share Consolidation is expected to be approximately equal to the market price of the shares prior to the implementation of such consolidation multiplied by 8 but there is no assurance that the anticipated market price immediately following the implementation of the Share Consolidation will be realized or, if realized, will be sustained. There is a risk that the total market capitalization of the shares (the market price of the shares multiplied by the number of shares outstanding) after the implementation of the Share Consolidation may be lower than the total market capitalization of the shares prior to the implementation of the Share Consolidation.</w:t>
      </w:r>
    </w:p>
    <w:p>
      <w:pPr>
        <w:spacing w:after="0" w:line="271" w:lineRule="exact"/>
        <w:rPr>
          <w:sz w:val="20"/>
          <w:szCs w:val="20"/>
          <w:color w:val="auto"/>
        </w:rPr>
      </w:pPr>
    </w:p>
    <w:p>
      <w:pPr>
        <w:ind w:left="1060" w:right="1239"/>
        <w:spacing w:after="0" w:line="249" w:lineRule="auto"/>
        <w:rPr>
          <w:sz w:val="20"/>
          <w:szCs w:val="20"/>
          <w:color w:val="auto"/>
        </w:rPr>
      </w:pPr>
      <w:r>
        <w:rPr>
          <w:rFonts w:ascii="Arial" w:cs="Arial" w:eastAsia="Arial" w:hAnsi="Arial"/>
          <w:sz w:val="15"/>
          <w:szCs w:val="15"/>
          <w:color w:val="auto"/>
        </w:rPr>
        <w:t>Although we believe that establishing a higher market price for the shares could also enhance the marketability of the shares by potentially broadening the pool of investors that may consider investing in us, including institutional and other investors whose internal investment policies prohibit or discourage them from purchasing shares trading below a certain minimum price, and reduce volatility, there is no assurance that implementing the Share Consolidation will achieve any of these results.</w:t>
      </w:r>
    </w:p>
    <w:p>
      <w:pPr>
        <w:spacing w:after="0" w:line="91" w:lineRule="exact"/>
        <w:rPr>
          <w:sz w:val="20"/>
          <w:szCs w:val="20"/>
          <w:color w:val="auto"/>
        </w:rPr>
      </w:pPr>
    </w:p>
    <w:p>
      <w:pPr>
        <w:ind w:left="1060" w:right="1199"/>
        <w:spacing w:after="0" w:line="249" w:lineRule="auto"/>
        <w:rPr>
          <w:sz w:val="20"/>
          <w:szCs w:val="20"/>
          <w:color w:val="auto"/>
        </w:rPr>
      </w:pPr>
      <w:r>
        <w:rPr>
          <w:rFonts w:ascii="Arial" w:cs="Arial" w:eastAsia="Arial" w:hAnsi="Arial"/>
          <w:sz w:val="15"/>
          <w:szCs w:val="15"/>
          <w:color w:val="auto"/>
        </w:rPr>
        <w:t>If the Share Consolidation is implemented and the market price of the shares (adjusted to reflect the Share Consolidation ratio) declines, the percentage decline as an absolute number and as a percentage of our overall market capitalization may be greater than would have occurred if the Share Consolidation had not been implemented. Both our total market capitalization and the adjusted market price of our shares following the</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6" w:name="page57"/>
    <w:bookmarkEnd w:id="56"/>
    <w:p>
      <w:pPr>
        <w:ind w:left="20"/>
        <w:spacing w:after="0"/>
        <w:rPr>
          <w:sz w:val="20"/>
          <w:szCs w:val="20"/>
          <w:color w:val="auto"/>
        </w:rPr>
      </w:pPr>
      <w:r>
        <w:rPr>
          <w:rFonts w:ascii="Calibri" w:cs="Calibri" w:eastAsia="Calibri" w:hAnsi="Calibri"/>
          <w:sz w:val="12"/>
          <w:szCs w:val="12"/>
          <w:color w:val="003366"/>
        </w:rPr>
        <w:t>TABLE OF CONTENTS</w:t>
      </w:r>
    </w:p>
    <w:p>
      <w:pPr>
        <w:spacing w:after="0" w:line="229" w:lineRule="exact"/>
        <w:rPr>
          <w:sz w:val="20"/>
          <w:szCs w:val="20"/>
          <w:color w:val="auto"/>
        </w:rPr>
      </w:pPr>
    </w:p>
    <w:p>
      <w:pPr>
        <w:ind w:left="2340" w:right="1039" w:hanging="10"/>
        <w:spacing w:after="0" w:line="274" w:lineRule="auto"/>
        <w:rPr>
          <w:sz w:val="20"/>
          <w:szCs w:val="20"/>
          <w:color w:val="auto"/>
        </w:rPr>
      </w:pPr>
      <w:r>
        <w:rPr>
          <w:rFonts w:ascii="Arial" w:cs="Arial" w:eastAsia="Arial" w:hAnsi="Arial"/>
          <w:sz w:val="14"/>
          <w:szCs w:val="14"/>
          <w:b w:val="1"/>
          <w:bCs w:val="1"/>
          <w:color w:val="314F60"/>
        </w:rPr>
        <w:t>​PROPOSALS TO BE CONSIDERED AT THE EXTRAORDINARY GENERAL MEETING OF ​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-217805</wp:posOffset>
            </wp:positionV>
            <wp:extent cx="3577590" cy="2082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577590" cy="208280"/>
                    </a:xfrm>
                    <a:prstGeom prst="rect">
                      <a:avLst/>
                    </a:prstGeom>
                    <a:noFill/>
                  </pic:spPr>
                </pic:pic>
              </a:graphicData>
            </a:graphic>
          </wp:anchor>
        </w:drawing>
      </w:r>
    </w:p>
    <w:p>
      <w:pPr>
        <w:spacing w:after="0" w:line="210" w:lineRule="exact"/>
        <w:rPr>
          <w:sz w:val="20"/>
          <w:szCs w:val="20"/>
          <w:color w:val="auto"/>
        </w:rPr>
      </w:pPr>
    </w:p>
    <w:p>
      <w:pPr>
        <w:ind w:left="1060" w:right="1559"/>
        <w:spacing w:after="0" w:line="269" w:lineRule="auto"/>
        <w:rPr>
          <w:sz w:val="20"/>
          <w:szCs w:val="20"/>
          <w:color w:val="auto"/>
        </w:rPr>
      </w:pPr>
      <w:r>
        <w:rPr>
          <w:rFonts w:ascii="Arial" w:cs="Arial" w:eastAsia="Arial" w:hAnsi="Arial"/>
          <w:sz w:val="15"/>
          <w:szCs w:val="15"/>
          <w:color w:val="auto"/>
        </w:rPr>
        <w:t>Share Consolidation may be lower than they were before the Share Consolidation took effect. The reduced number of shares that would be outstanding after the Share Consolidation is implemented could adversely affect the liquidity of the shares.</w:t>
      </w:r>
    </w:p>
    <w:p>
      <w:pPr>
        <w:spacing w:after="0" w:line="76" w:lineRule="exact"/>
        <w:rPr>
          <w:sz w:val="20"/>
          <w:szCs w:val="20"/>
          <w:color w:val="auto"/>
        </w:rPr>
      </w:pPr>
    </w:p>
    <w:p>
      <w:pPr>
        <w:ind w:left="1060" w:right="1099"/>
        <w:spacing w:after="0" w:line="259" w:lineRule="auto"/>
        <w:rPr>
          <w:sz w:val="20"/>
          <w:szCs w:val="20"/>
          <w:color w:val="auto"/>
        </w:rPr>
      </w:pPr>
      <w:r>
        <w:rPr>
          <w:rFonts w:ascii="Arial" w:cs="Arial" w:eastAsia="Arial" w:hAnsi="Arial"/>
          <w:sz w:val="15"/>
          <w:szCs w:val="15"/>
          <w:color w:val="auto"/>
        </w:rPr>
        <w:t>The Share Consolidation may result in some shareholders owning “odd lots” on a post-consolidation basis. Generally, an “odd lot” is an order amount for a security that is less than the normal unit of trading, which is typically 100 shares for stocks. Odd lot shares may be more difficult to sell or may attract greater transaction costs per share to sell, and brokerage commissions and other costs of transactions in odd lots may be higher than the costs of transactions in “round lots,” which are order amounts for a stock that can be divided by 100.</w:t>
      </w:r>
    </w:p>
    <w:p>
      <w:pPr>
        <w:spacing w:after="0" w:line="94" w:lineRule="exact"/>
        <w:rPr>
          <w:sz w:val="20"/>
          <w:szCs w:val="20"/>
          <w:color w:val="auto"/>
        </w:rPr>
      </w:pPr>
    </w:p>
    <w:p>
      <w:pPr>
        <w:ind w:left="1060" w:right="1099"/>
        <w:spacing w:after="0" w:line="256" w:lineRule="auto"/>
        <w:rPr>
          <w:sz w:val="20"/>
          <w:szCs w:val="20"/>
          <w:color w:val="auto"/>
        </w:rPr>
      </w:pPr>
      <w:r>
        <w:rPr>
          <w:rFonts w:ascii="Arial" w:cs="Arial" w:eastAsia="Arial" w:hAnsi="Arial"/>
          <w:sz w:val="15"/>
          <w:szCs w:val="15"/>
          <w:color w:val="auto"/>
        </w:rPr>
        <w:t>Shareholders who do not adjust their holdings during the trading window prior to the Share Consolidation Effective Date to a number divisible by 8 will receive proceeds from the sale of the fractional shares to which they otherwise would be entitled based on the market price at the time of sale or, if the fractional shares are purchased by the Company, the closing price of our common stock on the Nasdaq Global Select Market on the last trading day immediately preceding the Share Consolidation Effective Date, which could be lower than anticipated. Holders of fractional shares bear the risk of stock price volatility and will not receive interest on fractional shares to which they would otherwise be entitled or the proceeds from the sale of those fractional shares.</w:t>
      </w:r>
    </w:p>
    <w:p>
      <w:pPr>
        <w:spacing w:after="0" w:line="282" w:lineRule="exact"/>
        <w:rPr>
          <w:sz w:val="20"/>
          <w:szCs w:val="20"/>
          <w:color w:val="auto"/>
        </w:rPr>
      </w:pPr>
    </w:p>
    <w:p>
      <w:pPr>
        <w:ind w:left="1060" w:right="1219"/>
        <w:spacing w:after="0" w:line="269" w:lineRule="auto"/>
        <w:rPr>
          <w:sz w:val="20"/>
          <w:szCs w:val="20"/>
          <w:color w:val="auto"/>
        </w:rPr>
      </w:pPr>
      <w:r>
        <w:rPr>
          <w:rFonts w:ascii="Arial" w:cs="Arial" w:eastAsia="Arial" w:hAnsi="Arial"/>
          <w:sz w:val="15"/>
          <w:szCs w:val="15"/>
          <w:color w:val="auto"/>
        </w:rPr>
        <w:t>As noted above, if the Share Consolidation Proposal is approved, it will effectively increase the number of shares of our common stock our Board may issue without shareholder approval, and you may not agree with any such issuance of common stock.</w:t>
      </w:r>
    </w:p>
    <w:p>
      <w:pPr>
        <w:spacing w:after="0" w:line="76" w:lineRule="exact"/>
        <w:rPr>
          <w:sz w:val="20"/>
          <w:szCs w:val="20"/>
          <w:color w:val="auto"/>
        </w:rPr>
      </w:pPr>
    </w:p>
    <w:p>
      <w:pPr>
        <w:jc w:val="both"/>
        <w:ind w:left="1060" w:right="1339"/>
        <w:spacing w:after="0" w:line="269" w:lineRule="auto"/>
        <w:rPr>
          <w:sz w:val="20"/>
          <w:szCs w:val="20"/>
          <w:color w:val="auto"/>
        </w:rPr>
      </w:pPr>
      <w:r>
        <w:rPr>
          <w:rFonts w:ascii="Arial" w:cs="Arial" w:eastAsia="Arial" w:hAnsi="Arial"/>
          <w:sz w:val="15"/>
          <w:szCs w:val="15"/>
          <w:color w:val="auto"/>
        </w:rPr>
        <w:t>The risks outlined above are not exhaustive. Additional risks and uncertainties, including those not currently known to us or considered immaterial, could also impact the Company the price of our common stock.</w:t>
      </w:r>
    </w:p>
    <w:p>
      <w:pPr>
        <w:spacing w:after="0" w:line="87" w:lineRule="exact"/>
        <w:rPr>
          <w:sz w:val="20"/>
          <w:szCs w:val="20"/>
          <w:color w:val="auto"/>
        </w:rPr>
      </w:pPr>
    </w:p>
    <w:p>
      <w:pPr>
        <w:ind w:left="1060" w:right="1099"/>
        <w:spacing w:after="0" w:line="269" w:lineRule="auto"/>
        <w:rPr>
          <w:sz w:val="20"/>
          <w:szCs w:val="20"/>
          <w:color w:val="auto"/>
        </w:rPr>
      </w:pPr>
      <w:r>
        <w:rPr>
          <w:rFonts w:ascii="Arial" w:cs="Arial" w:eastAsia="Arial" w:hAnsi="Arial"/>
          <w:sz w:val="15"/>
          <w:szCs w:val="15"/>
          <w:color w:val="auto"/>
        </w:rPr>
        <w:t>The foregoing description of the proposed amendment is qualified in its entirety by reference to the full text of the amendment to Article 5 of the Articles of Incorporation, which is attached hereto as Appendix A and incorporated herein by reference.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OUR BOARD OF DIRECTORS UNANIMOUSLY RECOMMENDS THAT YOU VOTE “FOR”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SHARE CONSOLIDATION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7" w:name="page58"/>
    <w:bookmarkEnd w:id="57"/>
    <w:p>
      <w:pPr>
        <w:ind w:left="20"/>
        <w:spacing w:after="0"/>
        <w:rPr>
          <w:sz w:val="20"/>
          <w:szCs w:val="20"/>
          <w:color w:val="auto"/>
        </w:rPr>
      </w:pPr>
      <w:r>
        <w:rPr>
          <w:rFonts w:ascii="Calibri" w:cs="Calibri" w:eastAsia="Calibri" w:hAnsi="Calibri"/>
          <w:sz w:val="12"/>
          <w:szCs w:val="12"/>
          <w:color w:val="003366"/>
        </w:rPr>
        <w:t>TABLE OF CONTENTS</w:t>
      </w:r>
    </w:p>
    <w:p>
      <w:pPr>
        <w:spacing w:after="0" w:line="229" w:lineRule="exact"/>
        <w:rPr>
          <w:sz w:val="20"/>
          <w:szCs w:val="20"/>
          <w:color w:val="auto"/>
        </w:rPr>
      </w:pPr>
    </w:p>
    <w:p>
      <w:pPr>
        <w:ind w:left="2340" w:right="1039" w:hanging="10"/>
        <w:spacing w:after="0" w:line="274" w:lineRule="auto"/>
        <w:rPr>
          <w:sz w:val="20"/>
          <w:szCs w:val="20"/>
          <w:color w:val="auto"/>
        </w:rPr>
      </w:pPr>
      <w:r>
        <w:rPr>
          <w:rFonts w:ascii="Arial" w:cs="Arial" w:eastAsia="Arial" w:hAnsi="Arial"/>
          <w:sz w:val="14"/>
          <w:szCs w:val="14"/>
          <w:b w:val="1"/>
          <w:bCs w:val="1"/>
          <w:color w:val="314F60"/>
        </w:rPr>
        <w:t>​PROPOSALS TO BE CONSIDERED AT THE EXTRAORDINARY GENERAL MEETING OF ​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-217805</wp:posOffset>
            </wp:positionV>
            <wp:extent cx="3577590" cy="2082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577590" cy="208280"/>
                    </a:xfrm>
                    <a:prstGeom prst="rect">
                      <a:avLst/>
                    </a:prstGeom>
                    <a:noFill/>
                  </pic:spPr>
                </pic:pic>
              </a:graphicData>
            </a:graphic>
          </wp:anchor>
        </w:drawing>
      </w:r>
    </w:p>
    <w:p>
      <w:pPr>
        <w:spacing w:after="0" w:line="20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Proposal Two: The Share Capital Decrease Proposal</w:t>
      </w:r>
    </w:p>
    <w:p>
      <w:pPr>
        <w:spacing w:after="0" w:line="92" w:lineRule="exact"/>
        <w:rPr>
          <w:sz w:val="20"/>
          <w:szCs w:val="20"/>
          <w:color w:val="auto"/>
        </w:rPr>
      </w:pPr>
    </w:p>
    <w:p>
      <w:pPr>
        <w:ind w:left="1060" w:right="1139"/>
        <w:spacing w:after="0" w:line="255" w:lineRule="auto"/>
        <w:rPr>
          <w:sz w:val="20"/>
          <w:szCs w:val="20"/>
          <w:color w:val="auto"/>
        </w:rPr>
      </w:pPr>
      <w:r>
        <w:rPr>
          <w:rFonts w:ascii="Arial" w:cs="Arial" w:eastAsia="Arial" w:hAnsi="Arial"/>
          <w:sz w:val="15"/>
          <w:szCs w:val="15"/>
          <w:color w:val="auto"/>
        </w:rPr>
        <w:t>On February 25, 2025, our Board approved, subject to shareholder approval, an amendment to Article 5 of the Articles of Incorporation to decrease the share capital of the Company by an amount of seven hundred seventy-eight thousand three hundred twenty-nine dollars and thirty-five cents (USD 778,329.35) without cancellation of the outstanding Company’s common stock post-Consolidation, by decreasing the par value of the existing shares of the Company’s common stock, in order to bring the share capital of the Company from its current amount of eight hundred eighty-nine thousand five hundred nineteen dollars and twenty-five cents (USD 889,519.25) to an amount of one hundred eleven thousand one hundred eighty-nine dollars and ninety cents (USD 111,189.90) represented by eleven million one hundred eighteen thousand nine hundred ninety (11,118,990) shares of the Company’s common stock without designation of nominal value, and by allocating such amount deriving from the share capital decrease to the share premium account of the Company.</w:t>
      </w:r>
    </w:p>
    <w:p>
      <w:pPr>
        <w:spacing w:after="0" w:line="200" w:lineRule="exact"/>
        <w:rPr>
          <w:sz w:val="20"/>
          <w:szCs w:val="20"/>
          <w:color w:val="auto"/>
        </w:rPr>
      </w:pPr>
    </w:p>
    <w:p>
      <w:pPr>
        <w:spacing w:after="0" w:line="261" w:lineRule="exact"/>
        <w:rPr>
          <w:sz w:val="20"/>
          <w:szCs w:val="20"/>
          <w:color w:val="auto"/>
        </w:rPr>
      </w:pPr>
    </w:p>
    <w:p>
      <w:pPr>
        <w:ind w:left="1060" w:right="1519"/>
        <w:spacing w:after="0" w:line="288" w:lineRule="auto"/>
        <w:rPr>
          <w:sz w:val="20"/>
          <w:szCs w:val="20"/>
          <w:color w:val="auto"/>
        </w:rPr>
      </w:pPr>
      <w:r>
        <w:rPr>
          <w:rFonts w:ascii="Arial" w:cs="Arial" w:eastAsia="Arial" w:hAnsi="Arial"/>
          <w:sz w:val="15"/>
          <w:szCs w:val="15"/>
          <w:color w:val="auto"/>
        </w:rPr>
        <w:t>This capital decrease aims to reduce the par value per share at USD 0.01 following the Share Consolidation (which will have the effect to increase the par value per share).</w:t>
      </w:r>
    </w:p>
    <w:p>
      <w:pPr>
        <w:spacing w:after="0" w:line="61" w:lineRule="exact"/>
        <w:rPr>
          <w:sz w:val="20"/>
          <w:szCs w:val="20"/>
          <w:color w:val="auto"/>
        </w:rPr>
      </w:pPr>
    </w:p>
    <w:p>
      <w:pPr>
        <w:ind w:left="1060" w:right="1099"/>
        <w:spacing w:after="0" w:line="279" w:lineRule="auto"/>
        <w:rPr>
          <w:sz w:val="20"/>
          <w:szCs w:val="20"/>
          <w:color w:val="auto"/>
        </w:rPr>
      </w:pPr>
      <w:r>
        <w:rPr>
          <w:rFonts w:ascii="Arial" w:cs="Arial" w:eastAsia="Arial" w:hAnsi="Arial"/>
          <w:sz w:val="15"/>
          <w:szCs w:val="15"/>
          <w:color w:val="auto"/>
        </w:rPr>
        <w:t>The foregoing description of the proposed amendment is qualified in its entirety by reference to the proposed amendment, which is attached hereto as Appendix A and incorporated herein by reference.</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OUR BOARD OF DIRECTORS UNANIMOUSLY RECOMMENDS THAT YOU VOTE “FOR”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SHARE CAPITAL DECREASE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8" w:name="page59"/>
    <w:bookmarkEnd w:id="58"/>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29" w:lineRule="exact"/>
        <w:rPr>
          <w:sz w:val="20"/>
          <w:szCs w:val="20"/>
          <w:color w:val="auto"/>
        </w:rPr>
      </w:pPr>
    </w:p>
    <w:p>
      <w:pPr>
        <w:ind w:left="2340" w:right="1039" w:hanging="10"/>
        <w:spacing w:after="0" w:line="274" w:lineRule="auto"/>
        <w:rPr>
          <w:sz w:val="20"/>
          <w:szCs w:val="20"/>
          <w:color w:val="auto"/>
        </w:rPr>
      </w:pPr>
      <w:r>
        <w:rPr>
          <w:rFonts w:ascii="Arial" w:cs="Arial" w:eastAsia="Arial" w:hAnsi="Arial"/>
          <w:sz w:val="14"/>
          <w:szCs w:val="14"/>
          <w:b w:val="1"/>
          <w:bCs w:val="1"/>
          <w:color w:val="314F60"/>
        </w:rPr>
        <w:t>​PROPOSALS TO BE CONSIDERED AT THE EXTRAORDINARY GENERAL MEETING OF ​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-217805</wp:posOffset>
            </wp:positionV>
            <wp:extent cx="3577590" cy="2082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577590" cy="208280"/>
                    </a:xfrm>
                    <a:prstGeom prst="rect">
                      <a:avLst/>
                    </a:prstGeom>
                    <a:noFill/>
                  </pic:spPr>
                </pic:pic>
              </a:graphicData>
            </a:graphic>
          </wp:anchor>
        </w:drawing>
      </w:r>
    </w:p>
    <w:p>
      <w:pPr>
        <w:spacing w:after="0" w:line="20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Proposal Three: The Quorum Proposal</w:t>
      </w:r>
    </w:p>
    <w:p>
      <w:pPr>
        <w:spacing w:after="0" w:line="92" w:lineRule="exact"/>
        <w:rPr>
          <w:sz w:val="20"/>
          <w:szCs w:val="20"/>
          <w:color w:val="auto"/>
        </w:rPr>
      </w:pPr>
    </w:p>
    <w:p>
      <w:pPr>
        <w:ind w:left="1060" w:right="1099"/>
        <w:spacing w:after="0" w:line="263" w:lineRule="auto"/>
        <w:rPr>
          <w:sz w:val="20"/>
          <w:szCs w:val="20"/>
          <w:color w:val="auto"/>
        </w:rPr>
      </w:pPr>
      <w:r>
        <w:rPr>
          <w:rFonts w:ascii="Arial" w:cs="Arial" w:eastAsia="Arial" w:hAnsi="Arial"/>
          <w:sz w:val="15"/>
          <w:szCs w:val="15"/>
          <w:color w:val="auto"/>
        </w:rPr>
        <w:t>On March 16, 2025, the Board approved, subject to shareholder approval, amendments to Articles 20 and 23 of the Company’s Articles of Incorporation to establish a minimum quorum requirement of at least thirty-three and one-third percent (33</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for all general meetings of shareholders (“Meetings of Shareholders”) and for all extraordinary meetings of shareholders at which no quorum requirement applies per Nasdaq Stock Market Rule 5620(c).</w:t>
      </w:r>
    </w:p>
    <w:p>
      <w:pPr>
        <w:spacing w:after="0" w:line="329"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Purpose of the Amendments</w:t>
      </w:r>
    </w:p>
    <w:p>
      <w:pPr>
        <w:spacing w:after="0" w:line="92" w:lineRule="exact"/>
        <w:rPr>
          <w:sz w:val="20"/>
          <w:szCs w:val="20"/>
          <w:color w:val="auto"/>
        </w:rPr>
      </w:pPr>
    </w:p>
    <w:p>
      <w:pPr>
        <w:ind w:left="1520" w:right="1399" w:hanging="153"/>
        <w:spacing w:after="0" w:line="277" w:lineRule="auto"/>
        <w:tabs>
          <w:tab w:leader="none" w:pos="1520" w:val="left"/>
        </w:tabs>
        <w:numPr>
          <w:ilvl w:val="0"/>
          <w:numId w:val="47"/>
        </w:numPr>
        <w:rPr>
          <w:rFonts w:ascii="Arial" w:cs="Arial" w:eastAsia="Arial" w:hAnsi="Arial"/>
          <w:sz w:val="15"/>
          <w:szCs w:val="15"/>
          <w:color w:val="auto"/>
        </w:rPr>
      </w:pPr>
      <w:r>
        <w:rPr>
          <w:rFonts w:ascii="Arial" w:cs="Arial" w:eastAsia="Arial" w:hAnsi="Arial"/>
          <w:sz w:val="15"/>
          <w:szCs w:val="15"/>
          <w:b w:val="1"/>
          <w:bCs w:val="1"/>
          <w:color w:val="auto"/>
        </w:rPr>
        <w:t xml:space="preserve">Nasdaq Quorum Requirement: </w:t>
      </w:r>
      <w:r>
        <w:rPr>
          <w:rFonts w:ascii="Arial" w:cs="Arial" w:eastAsia="Arial" w:hAnsi="Arial"/>
          <w:sz w:val="15"/>
          <w:szCs w:val="15"/>
          <w:color w:val="auto"/>
        </w:rPr>
        <w:t>Nasdaq requires that the presence, in person or by</w:t>
      </w:r>
      <w:r>
        <w:rPr>
          <w:rFonts w:ascii="Arial" w:cs="Arial" w:eastAsia="Arial" w:hAnsi="Arial"/>
          <w:sz w:val="15"/>
          <w:szCs w:val="15"/>
          <w:b w:val="1"/>
          <w:bCs w:val="1"/>
          <w:color w:val="auto"/>
        </w:rPr>
        <w:t xml:space="preserve"> </w:t>
      </w:r>
      <w:r>
        <w:rPr>
          <w:rFonts w:ascii="Arial" w:cs="Arial" w:eastAsia="Arial" w:hAnsi="Arial"/>
          <w:sz w:val="15"/>
          <w:szCs w:val="15"/>
          <w:color w:val="auto"/>
        </w:rPr>
        <w:t>proxy, of at least 33</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the outstanding common stock constitutes a quorum at Meetings of Shareholders (the “Minimum Quorum”).</w:t>
      </w:r>
    </w:p>
    <w:p>
      <w:pPr>
        <w:spacing w:after="0" w:line="47" w:lineRule="exact"/>
        <w:rPr>
          <w:rFonts w:ascii="Arial" w:cs="Arial" w:eastAsia="Arial" w:hAnsi="Arial"/>
          <w:sz w:val="15"/>
          <w:szCs w:val="15"/>
          <w:color w:val="auto"/>
        </w:rPr>
      </w:pPr>
    </w:p>
    <w:p>
      <w:pPr>
        <w:ind w:left="1520" w:right="1219" w:hanging="153"/>
        <w:spacing w:after="0" w:line="261" w:lineRule="auto"/>
        <w:tabs>
          <w:tab w:leader="none" w:pos="1520" w:val="left"/>
        </w:tabs>
        <w:numPr>
          <w:ilvl w:val="0"/>
          <w:numId w:val="47"/>
        </w:numPr>
        <w:rPr>
          <w:rFonts w:ascii="Arial" w:cs="Arial" w:eastAsia="Arial" w:hAnsi="Arial"/>
          <w:sz w:val="15"/>
          <w:szCs w:val="15"/>
          <w:color w:val="auto"/>
        </w:rPr>
      </w:pPr>
      <w:r>
        <w:rPr>
          <w:rFonts w:ascii="Arial" w:cs="Arial" w:eastAsia="Arial" w:hAnsi="Arial"/>
          <w:sz w:val="15"/>
          <w:szCs w:val="15"/>
          <w:b w:val="1"/>
          <w:bCs w:val="1"/>
          <w:color w:val="auto"/>
        </w:rPr>
        <w:t xml:space="preserve">Codification of Existing Practice: </w:t>
      </w:r>
      <w:r>
        <w:rPr>
          <w:rFonts w:ascii="Arial" w:cs="Arial" w:eastAsia="Arial" w:hAnsi="Arial"/>
          <w:sz w:val="15"/>
          <w:szCs w:val="15"/>
          <w:color w:val="auto"/>
        </w:rPr>
        <w:t>The Company has historically required a 33</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quorum for Meetings of Shareholders in its proxies and has consistently met this requirement, except in the case of extraordinary Meetings of Shareholders where the 50% statutory quorum requirement was applied. However, the Company’s current Articles of Incorporation do not specify a quorum requirement. This amendment formalizes the existing practice to enhance clarity, align with Nasdaq rules, and reinforce corporate governance best practices.</w:t>
      </w:r>
    </w:p>
    <w:p>
      <w:pPr>
        <w:spacing w:after="0" w:line="243" w:lineRule="exact"/>
        <w:rPr>
          <w:rFonts w:ascii="Arial" w:cs="Arial" w:eastAsia="Arial" w:hAnsi="Arial"/>
          <w:sz w:val="15"/>
          <w:szCs w:val="15"/>
          <w:color w:val="auto"/>
        </w:rPr>
      </w:pPr>
    </w:p>
    <w:p>
      <w:pPr>
        <w:ind w:left="1520" w:right="1199" w:hanging="153"/>
        <w:spacing w:after="0" w:line="260" w:lineRule="auto"/>
        <w:tabs>
          <w:tab w:leader="none" w:pos="1520" w:val="left"/>
        </w:tabs>
        <w:numPr>
          <w:ilvl w:val="0"/>
          <w:numId w:val="47"/>
        </w:numPr>
        <w:rPr>
          <w:rFonts w:ascii="Arial" w:cs="Arial" w:eastAsia="Arial" w:hAnsi="Arial"/>
          <w:sz w:val="15"/>
          <w:szCs w:val="15"/>
          <w:color w:val="auto"/>
        </w:rPr>
      </w:pPr>
      <w:r>
        <w:rPr>
          <w:rFonts w:ascii="Arial" w:cs="Arial" w:eastAsia="Arial" w:hAnsi="Arial"/>
          <w:sz w:val="15"/>
          <w:szCs w:val="15"/>
          <w:b w:val="1"/>
          <w:bCs w:val="1"/>
          <w:color w:val="auto"/>
        </w:rPr>
        <w:t xml:space="preserve">Alignment with Luxembourg Law for Extraordinary General Meetings: </w:t>
      </w:r>
      <w:r>
        <w:rPr>
          <w:rFonts w:ascii="Arial" w:cs="Arial" w:eastAsia="Arial" w:hAnsi="Arial"/>
          <w:sz w:val="15"/>
          <w:szCs w:val="15"/>
          <w:color w:val="auto"/>
        </w:rPr>
        <w:t>Under</w:t>
      </w:r>
      <w:r>
        <w:rPr>
          <w:rFonts w:ascii="Arial" w:cs="Arial" w:eastAsia="Arial" w:hAnsi="Arial"/>
          <w:sz w:val="15"/>
          <w:szCs w:val="15"/>
          <w:b w:val="1"/>
          <w:bCs w:val="1"/>
          <w:color w:val="auto"/>
        </w:rPr>
        <w:t xml:space="preserve"> </w:t>
      </w:r>
      <w:r>
        <w:rPr>
          <w:rFonts w:ascii="Arial" w:cs="Arial" w:eastAsia="Arial" w:hAnsi="Arial"/>
          <w:sz w:val="15"/>
          <w:szCs w:val="15"/>
          <w:color w:val="auto"/>
        </w:rPr>
        <w:t>Luxembourg law, extraordinary Meetings of Shareholders require a 50% quorum for the transaction of business. If the quorum is not met, a second extraordinary meeting may be held with no quorum requirement. The amendment modifies this framework to require the Minimum Quorum for these second extraordinary meetings.</w:t>
      </w:r>
    </w:p>
    <w:p>
      <w:pPr>
        <w:spacing w:after="0" w:line="147"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Proposed Amendments</w:t>
      </w:r>
    </w:p>
    <w:p>
      <w:pPr>
        <w:spacing w:after="0" w:line="103" w:lineRule="exact"/>
        <w:rPr>
          <w:sz w:val="20"/>
          <w:szCs w:val="20"/>
          <w:color w:val="auto"/>
        </w:rPr>
      </w:pPr>
    </w:p>
    <w:p>
      <w:pPr>
        <w:ind w:left="1060" w:right="1099"/>
        <w:spacing w:after="0" w:line="269" w:lineRule="auto"/>
        <w:rPr>
          <w:sz w:val="20"/>
          <w:szCs w:val="20"/>
          <w:color w:val="auto"/>
        </w:rPr>
      </w:pPr>
      <w:r>
        <w:rPr>
          <w:rFonts w:ascii="Arial" w:cs="Arial" w:eastAsia="Arial" w:hAnsi="Arial"/>
          <w:sz w:val="15"/>
          <w:szCs w:val="15"/>
          <w:color w:val="auto"/>
        </w:rPr>
        <w:t>The above descriptions of the proposed amendments are qualified in their entirety by reference to the actual proposed amendments, which are attached hereto as Appendix A and incorporated herein by reference.</w:t>
      </w:r>
    </w:p>
    <w:p>
      <w:pPr>
        <w:spacing w:after="0" w:line="140"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Applicability and Effective Date</w:t>
      </w:r>
    </w:p>
    <w:p>
      <w:pPr>
        <w:spacing w:after="0" w:line="92" w:lineRule="exact"/>
        <w:rPr>
          <w:sz w:val="20"/>
          <w:szCs w:val="20"/>
          <w:color w:val="auto"/>
        </w:rPr>
      </w:pPr>
    </w:p>
    <w:p>
      <w:pPr>
        <w:ind w:left="1060" w:right="1539"/>
        <w:spacing w:after="0" w:line="287" w:lineRule="auto"/>
        <w:rPr>
          <w:sz w:val="20"/>
          <w:szCs w:val="20"/>
          <w:color w:val="auto"/>
        </w:rPr>
      </w:pPr>
      <w:r>
        <w:rPr>
          <w:rFonts w:ascii="Arial" w:cs="Arial" w:eastAsia="Arial" w:hAnsi="Arial"/>
          <w:sz w:val="15"/>
          <w:szCs w:val="15"/>
          <w:color w:val="auto"/>
        </w:rPr>
        <w:t>The amendments apply to all Meetings of Shareholders and will become effective upon shareholder approval at the Extraordinary General Meeting.</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OUR BOARD OF DIRECTORS UNANIMOUSLY RECOMMENDS THAT YOU VOTE “FOR”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QUORUM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59" w:name="page60"/>
    <w:bookmarkEnd w:id="59"/>
    <w:p>
      <w:pPr>
        <w:ind w:left="20"/>
        <w:spacing w:after="0"/>
        <w:rPr>
          <w:sz w:val="20"/>
          <w:szCs w:val="20"/>
          <w:color w:val="auto"/>
        </w:rPr>
      </w:pPr>
      <w:r>
        <w:rPr>
          <w:rFonts w:ascii="Calibri" w:cs="Calibri" w:eastAsia="Calibri" w:hAnsi="Calibri"/>
          <w:sz w:val="12"/>
          <w:szCs w:val="12"/>
          <w:color w:val="003366"/>
        </w:rPr>
        <w:t>TABLE OF CONTENTS</w:t>
      </w:r>
    </w:p>
    <w:p>
      <w:pPr>
        <w:spacing w:after="0" w:line="229" w:lineRule="exact"/>
        <w:rPr>
          <w:sz w:val="20"/>
          <w:szCs w:val="20"/>
          <w:color w:val="auto"/>
        </w:rPr>
      </w:pPr>
    </w:p>
    <w:p>
      <w:pPr>
        <w:ind w:left="2340" w:right="1039" w:hanging="10"/>
        <w:spacing w:after="0" w:line="274" w:lineRule="auto"/>
        <w:rPr>
          <w:sz w:val="20"/>
          <w:szCs w:val="20"/>
          <w:color w:val="auto"/>
        </w:rPr>
      </w:pPr>
      <w:r>
        <w:rPr>
          <w:rFonts w:ascii="Arial" w:cs="Arial" w:eastAsia="Arial" w:hAnsi="Arial"/>
          <w:sz w:val="14"/>
          <w:szCs w:val="14"/>
          <w:b w:val="1"/>
          <w:bCs w:val="1"/>
          <w:color w:val="314F60"/>
        </w:rPr>
        <w:t>​PROPOSALS TO BE CONSIDERED AT THE EXTRAORDINARY GENERAL MEETING OF ​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-217805</wp:posOffset>
            </wp:positionV>
            <wp:extent cx="3577590" cy="2082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577590" cy="208280"/>
                    </a:xfrm>
                    <a:prstGeom prst="rect">
                      <a:avLst/>
                    </a:prstGeom>
                    <a:noFill/>
                  </pic:spPr>
                </pic:pic>
              </a:graphicData>
            </a:graphic>
          </wp:anchor>
        </w:drawing>
      </w:r>
    </w:p>
    <w:p>
      <w:pPr>
        <w:spacing w:after="0" w:line="205"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Proposal Four: The Amendments to the Articles of Incorporation Proposal</w:t>
      </w:r>
    </w:p>
    <w:p>
      <w:pPr>
        <w:spacing w:after="0" w:line="92" w:lineRule="exact"/>
        <w:rPr>
          <w:sz w:val="20"/>
          <w:szCs w:val="20"/>
          <w:color w:val="auto"/>
        </w:rPr>
      </w:pPr>
    </w:p>
    <w:p>
      <w:pPr>
        <w:ind w:left="1060" w:right="1259"/>
        <w:spacing w:after="0" w:line="266" w:lineRule="auto"/>
        <w:rPr>
          <w:sz w:val="20"/>
          <w:szCs w:val="20"/>
          <w:color w:val="auto"/>
        </w:rPr>
      </w:pPr>
      <w:r>
        <w:rPr>
          <w:rFonts w:ascii="Arial" w:cs="Arial" w:eastAsia="Arial" w:hAnsi="Arial"/>
          <w:sz w:val="15"/>
          <w:szCs w:val="15"/>
          <w:color w:val="auto"/>
        </w:rPr>
        <w:t>Our Board of Directors has approved certain amendments to the Articles to update and streamline internal governance processes. These amendments are primarily administrative in nature and do not materially alter shareholder rights or the corporate governance structure.</w:t>
      </w:r>
    </w:p>
    <w:p>
      <w:pPr>
        <w:spacing w:after="0" w:line="275"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The key amendments include:</w:t>
      </w:r>
    </w:p>
    <w:p>
      <w:pPr>
        <w:spacing w:after="0" w:line="99" w:lineRule="exact"/>
        <w:rPr>
          <w:sz w:val="20"/>
          <w:szCs w:val="20"/>
          <w:color w:val="auto"/>
        </w:rPr>
      </w:pPr>
    </w:p>
    <w:p>
      <w:pPr>
        <w:ind w:left="1520" w:right="1139" w:hanging="153"/>
        <w:spacing w:after="0" w:line="288" w:lineRule="auto"/>
        <w:tabs>
          <w:tab w:leader="none" w:pos="1520" w:val="left"/>
        </w:tabs>
        <w:numPr>
          <w:ilvl w:val="0"/>
          <w:numId w:val="48"/>
        </w:numPr>
        <w:rPr>
          <w:rFonts w:ascii="Arial" w:cs="Arial" w:eastAsia="Arial" w:hAnsi="Arial"/>
          <w:sz w:val="15"/>
          <w:szCs w:val="15"/>
          <w:color w:val="auto"/>
        </w:rPr>
      </w:pPr>
      <w:r>
        <w:rPr>
          <w:rFonts w:ascii="Arial" w:cs="Arial" w:eastAsia="Arial" w:hAnsi="Arial"/>
          <w:sz w:val="15"/>
          <w:szCs w:val="15"/>
          <w:b w:val="1"/>
          <w:bCs w:val="1"/>
          <w:color w:val="auto"/>
        </w:rPr>
        <w:t>Terminology Updates</w:t>
      </w:r>
      <w:r>
        <w:rPr>
          <w:rFonts w:ascii="Arial" w:cs="Arial" w:eastAsia="Arial" w:hAnsi="Arial"/>
          <w:sz w:val="15"/>
          <w:szCs w:val="15"/>
          <w:color w:val="auto"/>
        </w:rPr>
        <w:t>: Replacing outdated terms for consistency and clarity, including</w:t>
      </w:r>
      <w:r>
        <w:rPr>
          <w:rFonts w:ascii="Arial" w:cs="Arial" w:eastAsia="Arial" w:hAnsi="Arial"/>
          <w:sz w:val="15"/>
          <w:szCs w:val="15"/>
          <w:b w:val="1"/>
          <w:bCs w:val="1"/>
          <w:color w:val="auto"/>
        </w:rPr>
        <w:t xml:space="preserve"> </w:t>
      </w:r>
      <w:r>
        <w:rPr>
          <w:rFonts w:ascii="Arial" w:cs="Arial" w:eastAsia="Arial" w:hAnsi="Arial"/>
          <w:sz w:val="15"/>
          <w:szCs w:val="15"/>
          <w:color w:val="auto"/>
        </w:rPr>
        <w:t>changing “Chairman” to “Chair” throughout the document.</w:t>
      </w:r>
    </w:p>
    <w:p>
      <w:pPr>
        <w:spacing w:after="0" w:line="38" w:lineRule="exact"/>
        <w:rPr>
          <w:rFonts w:ascii="Arial" w:cs="Arial" w:eastAsia="Arial" w:hAnsi="Arial"/>
          <w:sz w:val="15"/>
          <w:szCs w:val="15"/>
          <w:color w:val="auto"/>
        </w:rPr>
      </w:pPr>
    </w:p>
    <w:p>
      <w:pPr>
        <w:jc w:val="both"/>
        <w:ind w:left="1520" w:right="1179" w:hanging="153"/>
        <w:spacing w:after="0" w:line="288" w:lineRule="auto"/>
        <w:tabs>
          <w:tab w:leader="none" w:pos="1520" w:val="left"/>
        </w:tabs>
        <w:numPr>
          <w:ilvl w:val="0"/>
          <w:numId w:val="48"/>
        </w:numPr>
        <w:rPr>
          <w:rFonts w:ascii="Arial" w:cs="Arial" w:eastAsia="Arial" w:hAnsi="Arial"/>
          <w:sz w:val="15"/>
          <w:szCs w:val="15"/>
          <w:color w:val="auto"/>
        </w:rPr>
      </w:pPr>
      <w:r>
        <w:rPr>
          <w:rFonts w:ascii="Arial" w:cs="Arial" w:eastAsia="Arial" w:hAnsi="Arial"/>
          <w:sz w:val="15"/>
          <w:szCs w:val="15"/>
          <w:b w:val="1"/>
          <w:bCs w:val="1"/>
          <w:color w:val="auto"/>
        </w:rPr>
        <w:t>Clarification of Board Meeting Procedures</w:t>
      </w:r>
      <w:r>
        <w:rPr>
          <w:rFonts w:ascii="Arial" w:cs="Arial" w:eastAsia="Arial" w:hAnsi="Arial"/>
          <w:sz w:val="15"/>
          <w:szCs w:val="15"/>
          <w:color w:val="auto"/>
        </w:rPr>
        <w:t>: Refining procedural aspects related to the</w:t>
      </w:r>
      <w:r>
        <w:rPr>
          <w:rFonts w:ascii="Arial" w:cs="Arial" w:eastAsia="Arial" w:hAnsi="Arial"/>
          <w:sz w:val="15"/>
          <w:szCs w:val="15"/>
          <w:b w:val="1"/>
          <w:bCs w:val="1"/>
          <w:color w:val="auto"/>
        </w:rPr>
        <w:t xml:space="preserve"> </w:t>
      </w:r>
      <w:r>
        <w:rPr>
          <w:rFonts w:ascii="Arial" w:cs="Arial" w:eastAsia="Arial" w:hAnsi="Arial"/>
          <w:sz w:val="15"/>
          <w:szCs w:val="15"/>
          <w:color w:val="auto"/>
        </w:rPr>
        <w:t>Chair’s role in presiding over meetings and casting the deciding vote in case of a tie.</w:t>
      </w:r>
    </w:p>
    <w:p>
      <w:pPr>
        <w:spacing w:after="0" w:line="38" w:lineRule="exact"/>
        <w:rPr>
          <w:rFonts w:ascii="Arial" w:cs="Arial" w:eastAsia="Arial" w:hAnsi="Arial"/>
          <w:sz w:val="15"/>
          <w:szCs w:val="15"/>
          <w:color w:val="auto"/>
        </w:rPr>
      </w:pPr>
    </w:p>
    <w:p>
      <w:pPr>
        <w:ind w:left="1520" w:right="1219" w:hanging="153"/>
        <w:spacing w:after="0" w:line="287" w:lineRule="auto"/>
        <w:tabs>
          <w:tab w:leader="none" w:pos="1520" w:val="left"/>
        </w:tabs>
        <w:numPr>
          <w:ilvl w:val="0"/>
          <w:numId w:val="48"/>
        </w:numPr>
        <w:rPr>
          <w:rFonts w:ascii="Arial" w:cs="Arial" w:eastAsia="Arial" w:hAnsi="Arial"/>
          <w:sz w:val="15"/>
          <w:szCs w:val="15"/>
          <w:color w:val="auto"/>
        </w:rPr>
      </w:pPr>
      <w:r>
        <w:rPr>
          <w:rFonts w:ascii="Arial" w:cs="Arial" w:eastAsia="Arial" w:hAnsi="Arial"/>
          <w:sz w:val="15"/>
          <w:szCs w:val="15"/>
          <w:b w:val="1"/>
          <w:bCs w:val="1"/>
          <w:color w:val="auto"/>
        </w:rPr>
        <w:t>Written resolutions of the Board</w:t>
      </w:r>
      <w:r>
        <w:rPr>
          <w:rFonts w:ascii="Arial" w:cs="Arial" w:eastAsia="Arial" w:hAnsi="Arial"/>
          <w:sz w:val="15"/>
          <w:szCs w:val="15"/>
          <w:color w:val="auto"/>
        </w:rPr>
        <w:t>: Ease the process by removing the requirement that</w:t>
      </w:r>
      <w:r>
        <w:rPr>
          <w:rFonts w:ascii="Arial" w:cs="Arial" w:eastAsia="Arial" w:hAnsi="Arial"/>
          <w:sz w:val="15"/>
          <w:szCs w:val="15"/>
          <w:b w:val="1"/>
          <w:bCs w:val="1"/>
          <w:color w:val="auto"/>
        </w:rPr>
        <w:t xml:space="preserve"> </w:t>
      </w:r>
      <w:r>
        <w:rPr>
          <w:rFonts w:ascii="Arial" w:cs="Arial" w:eastAsia="Arial" w:hAnsi="Arial"/>
          <w:sz w:val="15"/>
          <w:szCs w:val="15"/>
          <w:color w:val="auto"/>
        </w:rPr>
        <w:t>written decisions can only be passed “where time is of the essence.”</w:t>
      </w:r>
    </w:p>
    <w:p>
      <w:pPr>
        <w:spacing w:after="0" w:line="39" w:lineRule="exact"/>
        <w:rPr>
          <w:rFonts w:ascii="Arial" w:cs="Arial" w:eastAsia="Arial" w:hAnsi="Arial"/>
          <w:sz w:val="15"/>
          <w:szCs w:val="15"/>
          <w:color w:val="auto"/>
        </w:rPr>
      </w:pPr>
    </w:p>
    <w:p>
      <w:pPr>
        <w:ind w:left="1520" w:right="1599" w:hanging="153"/>
        <w:spacing w:after="0" w:line="287" w:lineRule="auto"/>
        <w:tabs>
          <w:tab w:leader="none" w:pos="1520" w:val="left"/>
        </w:tabs>
        <w:numPr>
          <w:ilvl w:val="0"/>
          <w:numId w:val="48"/>
        </w:numPr>
        <w:rPr>
          <w:rFonts w:ascii="Arial" w:cs="Arial" w:eastAsia="Arial" w:hAnsi="Arial"/>
          <w:sz w:val="15"/>
          <w:szCs w:val="15"/>
          <w:color w:val="auto"/>
        </w:rPr>
      </w:pPr>
      <w:r>
        <w:rPr>
          <w:rFonts w:ascii="Arial" w:cs="Arial" w:eastAsia="Arial" w:hAnsi="Arial"/>
          <w:sz w:val="15"/>
          <w:szCs w:val="15"/>
          <w:b w:val="1"/>
          <w:bCs w:val="1"/>
          <w:color w:val="auto"/>
        </w:rPr>
        <w:t>Delegation of Management Authority</w:t>
      </w:r>
      <w:r>
        <w:rPr>
          <w:rFonts w:ascii="Arial" w:cs="Arial" w:eastAsia="Arial" w:hAnsi="Arial"/>
          <w:sz w:val="15"/>
          <w:szCs w:val="15"/>
          <w:color w:val="auto"/>
        </w:rPr>
        <w:t>: Enhancing clarity on the Board’s ability to</w:t>
      </w:r>
      <w:r>
        <w:rPr>
          <w:rFonts w:ascii="Arial" w:cs="Arial" w:eastAsia="Arial" w:hAnsi="Arial"/>
          <w:sz w:val="15"/>
          <w:szCs w:val="15"/>
          <w:b w:val="1"/>
          <w:bCs w:val="1"/>
          <w:color w:val="auto"/>
        </w:rPr>
        <w:t xml:space="preserve"> </w:t>
      </w:r>
      <w:r>
        <w:rPr>
          <w:rFonts w:ascii="Arial" w:cs="Arial" w:eastAsia="Arial" w:hAnsi="Arial"/>
          <w:sz w:val="15"/>
          <w:szCs w:val="15"/>
          <w:color w:val="auto"/>
        </w:rPr>
        <w:t>delegate responsibilities to committees or executives.</w:t>
      </w:r>
    </w:p>
    <w:p>
      <w:pPr>
        <w:spacing w:after="0" w:line="39" w:lineRule="exact"/>
        <w:rPr>
          <w:rFonts w:ascii="Arial" w:cs="Arial" w:eastAsia="Arial" w:hAnsi="Arial"/>
          <w:sz w:val="15"/>
          <w:szCs w:val="15"/>
          <w:color w:val="auto"/>
        </w:rPr>
      </w:pPr>
    </w:p>
    <w:p>
      <w:pPr>
        <w:ind w:left="1520" w:right="1299" w:hanging="153"/>
        <w:spacing w:after="0" w:line="288" w:lineRule="auto"/>
        <w:tabs>
          <w:tab w:leader="none" w:pos="1520" w:val="left"/>
        </w:tabs>
        <w:numPr>
          <w:ilvl w:val="0"/>
          <w:numId w:val="48"/>
        </w:numPr>
        <w:rPr>
          <w:rFonts w:ascii="Arial" w:cs="Arial" w:eastAsia="Arial" w:hAnsi="Arial"/>
          <w:sz w:val="15"/>
          <w:szCs w:val="15"/>
          <w:color w:val="auto"/>
        </w:rPr>
      </w:pPr>
      <w:r>
        <w:rPr>
          <w:rFonts w:ascii="Arial" w:cs="Arial" w:eastAsia="Arial" w:hAnsi="Arial"/>
          <w:sz w:val="15"/>
          <w:szCs w:val="15"/>
          <w:b w:val="1"/>
          <w:bCs w:val="1"/>
          <w:color w:val="auto"/>
        </w:rPr>
        <w:t>Company Representation</w:t>
      </w:r>
      <w:r>
        <w:rPr>
          <w:rFonts w:ascii="Arial" w:cs="Arial" w:eastAsia="Arial" w:hAnsi="Arial"/>
          <w:sz w:val="15"/>
          <w:szCs w:val="15"/>
          <w:color w:val="auto"/>
        </w:rPr>
        <w:t>: Updating the list of authorized signatories empowered to</w:t>
      </w:r>
      <w:r>
        <w:rPr>
          <w:rFonts w:ascii="Arial" w:cs="Arial" w:eastAsia="Arial" w:hAnsi="Arial"/>
          <w:sz w:val="15"/>
          <w:szCs w:val="15"/>
          <w:b w:val="1"/>
          <w:bCs w:val="1"/>
          <w:color w:val="auto"/>
        </w:rPr>
        <w:t xml:space="preserve"> </w:t>
      </w:r>
      <w:r>
        <w:rPr>
          <w:rFonts w:ascii="Arial" w:cs="Arial" w:eastAsia="Arial" w:hAnsi="Arial"/>
          <w:sz w:val="15"/>
          <w:szCs w:val="15"/>
          <w:color w:val="auto"/>
        </w:rPr>
        <w:t>act on behalf of the Company.</w:t>
      </w:r>
    </w:p>
    <w:p>
      <w:pPr>
        <w:spacing w:after="0" w:line="38" w:lineRule="exact"/>
        <w:rPr>
          <w:rFonts w:ascii="Arial" w:cs="Arial" w:eastAsia="Arial" w:hAnsi="Arial"/>
          <w:sz w:val="15"/>
          <w:szCs w:val="15"/>
          <w:color w:val="auto"/>
        </w:rPr>
      </w:pPr>
    </w:p>
    <w:p>
      <w:pPr>
        <w:ind w:left="1520" w:right="1239" w:hanging="153"/>
        <w:spacing w:after="0" w:line="288" w:lineRule="auto"/>
        <w:tabs>
          <w:tab w:leader="none" w:pos="1520" w:val="left"/>
        </w:tabs>
        <w:numPr>
          <w:ilvl w:val="0"/>
          <w:numId w:val="48"/>
        </w:numPr>
        <w:rPr>
          <w:rFonts w:ascii="Arial" w:cs="Arial" w:eastAsia="Arial" w:hAnsi="Arial"/>
          <w:sz w:val="15"/>
          <w:szCs w:val="15"/>
          <w:color w:val="auto"/>
        </w:rPr>
      </w:pPr>
      <w:r>
        <w:rPr>
          <w:rFonts w:ascii="Arial" w:cs="Arial" w:eastAsia="Arial" w:hAnsi="Arial"/>
          <w:sz w:val="15"/>
          <w:szCs w:val="15"/>
          <w:b w:val="1"/>
          <w:bCs w:val="1"/>
          <w:color w:val="auto"/>
        </w:rPr>
        <w:t>Corrections and Formatting Adjustments</w:t>
      </w:r>
      <w:r>
        <w:rPr>
          <w:rFonts w:ascii="Arial" w:cs="Arial" w:eastAsia="Arial" w:hAnsi="Arial"/>
          <w:sz w:val="15"/>
          <w:szCs w:val="15"/>
          <w:color w:val="auto"/>
        </w:rPr>
        <w:t>: Addressing minor typographical errors and</w:t>
      </w:r>
      <w:r>
        <w:rPr>
          <w:rFonts w:ascii="Arial" w:cs="Arial" w:eastAsia="Arial" w:hAnsi="Arial"/>
          <w:sz w:val="15"/>
          <w:szCs w:val="15"/>
          <w:b w:val="1"/>
          <w:bCs w:val="1"/>
          <w:color w:val="auto"/>
        </w:rPr>
        <w:t xml:space="preserve"> </w:t>
      </w:r>
      <w:r>
        <w:rPr>
          <w:rFonts w:ascii="Arial" w:cs="Arial" w:eastAsia="Arial" w:hAnsi="Arial"/>
          <w:sz w:val="15"/>
          <w:szCs w:val="15"/>
          <w:color w:val="auto"/>
        </w:rPr>
        <w:t>refining language for consistency and clarity.</w:t>
      </w:r>
    </w:p>
    <w:p>
      <w:pPr>
        <w:spacing w:after="0" w:line="61" w:lineRule="exact"/>
        <w:rPr>
          <w:sz w:val="20"/>
          <w:szCs w:val="20"/>
          <w:color w:val="auto"/>
        </w:rPr>
      </w:pPr>
    </w:p>
    <w:p>
      <w:pPr>
        <w:ind w:left="1060" w:right="1639"/>
        <w:spacing w:after="0" w:line="288" w:lineRule="auto"/>
        <w:rPr>
          <w:sz w:val="20"/>
          <w:szCs w:val="20"/>
          <w:color w:val="auto"/>
        </w:rPr>
      </w:pPr>
      <w:r>
        <w:rPr>
          <w:rFonts w:ascii="Arial" w:cs="Arial" w:eastAsia="Arial" w:hAnsi="Arial"/>
          <w:sz w:val="15"/>
          <w:szCs w:val="15"/>
          <w:color w:val="auto"/>
        </w:rPr>
        <w:t xml:space="preserve">The specific </w:t>
      </w:r>
      <w:r>
        <w:rPr>
          <w:rFonts w:ascii="Arial" w:cs="Arial" w:eastAsia="Arial" w:hAnsi="Arial"/>
          <w:sz w:val="15"/>
          <w:szCs w:val="15"/>
          <w:b w:val="1"/>
          <w:bCs w:val="1"/>
          <w:color w:val="auto"/>
        </w:rPr>
        <w:t>Articles of Incorporation</w:t>
      </w:r>
      <w:r>
        <w:rPr>
          <w:rFonts w:ascii="Arial" w:cs="Arial" w:eastAsia="Arial" w:hAnsi="Arial"/>
          <w:sz w:val="15"/>
          <w:szCs w:val="15"/>
          <w:color w:val="auto"/>
        </w:rPr>
        <w:t xml:space="preserve"> amendments covered under this proposal are as follows:</w:t>
      </w:r>
    </w:p>
    <w:p>
      <w:pPr>
        <w:spacing w:after="0" w:line="39" w:lineRule="exact"/>
        <w:rPr>
          <w:sz w:val="20"/>
          <w:szCs w:val="20"/>
          <w:color w:val="auto"/>
        </w:rPr>
      </w:pPr>
    </w:p>
    <w:p>
      <w:pPr>
        <w:ind w:left="1520" w:right="1339" w:hanging="153"/>
        <w:spacing w:after="0" w:line="269" w:lineRule="auto"/>
        <w:tabs>
          <w:tab w:leader="none" w:pos="1520" w:val="left"/>
        </w:tabs>
        <w:numPr>
          <w:ilvl w:val="0"/>
          <w:numId w:val="49"/>
        </w:numPr>
        <w:rPr>
          <w:rFonts w:ascii="Arial" w:cs="Arial" w:eastAsia="Arial" w:hAnsi="Arial"/>
          <w:sz w:val="15"/>
          <w:szCs w:val="15"/>
          <w:color w:val="auto"/>
        </w:rPr>
      </w:pPr>
      <w:r>
        <w:rPr>
          <w:rFonts w:ascii="Arial" w:cs="Arial" w:eastAsia="Arial" w:hAnsi="Arial"/>
          <w:sz w:val="15"/>
          <w:szCs w:val="15"/>
          <w:b w:val="1"/>
          <w:bCs w:val="1"/>
          <w:color w:val="auto"/>
        </w:rPr>
        <w:t>Article 12</w:t>
      </w:r>
      <w:r>
        <w:rPr>
          <w:rFonts w:ascii="Arial" w:cs="Arial" w:eastAsia="Arial" w:hAnsi="Arial"/>
          <w:sz w:val="15"/>
          <w:szCs w:val="15"/>
          <w:color w:val="auto"/>
        </w:rPr>
        <w:t>: Replaces “Chairman” with “Chair” and clarifies the appointment of a pro</w:t>
      </w:r>
      <w:r>
        <w:rPr>
          <w:rFonts w:ascii="Arial" w:cs="Arial" w:eastAsia="Arial" w:hAnsi="Arial"/>
          <w:sz w:val="15"/>
          <w:szCs w:val="15"/>
          <w:b w:val="1"/>
          <w:bCs w:val="1"/>
          <w:color w:val="auto"/>
        </w:rPr>
        <w:t xml:space="preserve"> </w:t>
      </w:r>
      <w:r>
        <w:rPr>
          <w:rFonts w:ascii="Arial" w:cs="Arial" w:eastAsia="Arial" w:hAnsi="Arial"/>
          <w:sz w:val="15"/>
          <w:szCs w:val="15"/>
          <w:color w:val="auto"/>
        </w:rPr>
        <w:t>tempore chair in the Chair’s absence. Ease the process to proceed with written decisions of the Board.</w:t>
      </w:r>
    </w:p>
    <w:p>
      <w:pPr>
        <w:spacing w:after="0" w:line="53" w:lineRule="exact"/>
        <w:rPr>
          <w:rFonts w:ascii="Arial" w:cs="Arial" w:eastAsia="Arial" w:hAnsi="Arial"/>
          <w:sz w:val="15"/>
          <w:szCs w:val="15"/>
          <w:color w:val="auto"/>
        </w:rPr>
      </w:pPr>
    </w:p>
    <w:p>
      <w:pPr>
        <w:ind w:left="1520" w:hanging="153"/>
        <w:spacing w:after="0"/>
        <w:tabs>
          <w:tab w:leader="none" w:pos="1520" w:val="left"/>
        </w:tabs>
        <w:numPr>
          <w:ilvl w:val="0"/>
          <w:numId w:val="49"/>
        </w:numPr>
        <w:rPr>
          <w:rFonts w:ascii="Arial" w:cs="Arial" w:eastAsia="Arial" w:hAnsi="Arial"/>
          <w:sz w:val="15"/>
          <w:szCs w:val="15"/>
          <w:color w:val="auto"/>
        </w:rPr>
      </w:pPr>
      <w:r>
        <w:rPr>
          <w:rFonts w:ascii="Arial" w:cs="Arial" w:eastAsia="Arial" w:hAnsi="Arial"/>
          <w:sz w:val="15"/>
          <w:szCs w:val="15"/>
          <w:b w:val="1"/>
          <w:bCs w:val="1"/>
          <w:color w:val="auto"/>
        </w:rPr>
        <w:t>Article 13</w:t>
      </w:r>
      <w:r>
        <w:rPr>
          <w:rFonts w:ascii="Arial" w:cs="Arial" w:eastAsia="Arial" w:hAnsi="Arial"/>
          <w:sz w:val="15"/>
          <w:szCs w:val="15"/>
          <w:color w:val="auto"/>
        </w:rPr>
        <w:t>:  Specifies that the Chair or Secretary may sign Board meeting minutes.</w:t>
      </w:r>
    </w:p>
    <w:p>
      <w:pPr>
        <w:spacing w:after="0" w:line="99" w:lineRule="exact"/>
        <w:rPr>
          <w:rFonts w:ascii="Arial" w:cs="Arial" w:eastAsia="Arial" w:hAnsi="Arial"/>
          <w:sz w:val="15"/>
          <w:szCs w:val="15"/>
          <w:color w:val="auto"/>
        </w:rPr>
      </w:pPr>
    </w:p>
    <w:p>
      <w:pPr>
        <w:ind w:left="1520" w:hanging="153"/>
        <w:spacing w:after="0"/>
        <w:tabs>
          <w:tab w:leader="none" w:pos="1520" w:val="left"/>
        </w:tabs>
        <w:numPr>
          <w:ilvl w:val="0"/>
          <w:numId w:val="49"/>
        </w:numPr>
        <w:rPr>
          <w:rFonts w:ascii="Arial" w:cs="Arial" w:eastAsia="Arial" w:hAnsi="Arial"/>
          <w:sz w:val="15"/>
          <w:szCs w:val="15"/>
          <w:color w:val="auto"/>
        </w:rPr>
      </w:pPr>
      <w:r>
        <w:rPr>
          <w:rFonts w:ascii="Arial" w:cs="Arial" w:eastAsia="Arial" w:hAnsi="Arial"/>
          <w:sz w:val="15"/>
          <w:szCs w:val="15"/>
          <w:b w:val="1"/>
          <w:bCs w:val="1"/>
          <w:color w:val="auto"/>
        </w:rPr>
        <w:t>Article 14</w:t>
      </w:r>
      <w:r>
        <w:rPr>
          <w:rFonts w:ascii="Arial" w:cs="Arial" w:eastAsia="Arial" w:hAnsi="Arial"/>
          <w:sz w:val="15"/>
          <w:szCs w:val="15"/>
          <w:color w:val="auto"/>
        </w:rPr>
        <w:t>:  Corrects minor typographical errors in descriptions of Board authority.</w:t>
      </w:r>
    </w:p>
    <w:p>
      <w:pPr>
        <w:spacing w:after="0" w:line="99" w:lineRule="exact"/>
        <w:rPr>
          <w:rFonts w:ascii="Arial" w:cs="Arial" w:eastAsia="Arial" w:hAnsi="Arial"/>
          <w:sz w:val="15"/>
          <w:szCs w:val="15"/>
          <w:color w:val="auto"/>
        </w:rPr>
      </w:pPr>
    </w:p>
    <w:p>
      <w:pPr>
        <w:ind w:left="1520" w:hanging="153"/>
        <w:spacing w:after="0"/>
        <w:tabs>
          <w:tab w:leader="none" w:pos="1520" w:val="left"/>
        </w:tabs>
        <w:numPr>
          <w:ilvl w:val="0"/>
          <w:numId w:val="49"/>
        </w:numPr>
        <w:rPr>
          <w:rFonts w:ascii="Arial" w:cs="Arial" w:eastAsia="Arial" w:hAnsi="Arial"/>
          <w:sz w:val="15"/>
          <w:szCs w:val="15"/>
          <w:color w:val="auto"/>
        </w:rPr>
      </w:pPr>
      <w:r>
        <w:rPr>
          <w:rFonts w:ascii="Arial" w:cs="Arial" w:eastAsia="Arial" w:hAnsi="Arial"/>
          <w:sz w:val="15"/>
          <w:szCs w:val="15"/>
          <w:b w:val="1"/>
          <w:bCs w:val="1"/>
          <w:color w:val="auto"/>
        </w:rPr>
        <w:t>Article 16</w:t>
      </w:r>
      <w:r>
        <w:rPr>
          <w:rFonts w:ascii="Arial" w:cs="Arial" w:eastAsia="Arial" w:hAnsi="Arial"/>
          <w:sz w:val="15"/>
          <w:szCs w:val="15"/>
          <w:color w:val="auto"/>
        </w:rPr>
        <w:t>:  Clarifies the Board’s power to delegate daily management responsibilities.</w:t>
      </w:r>
    </w:p>
    <w:p>
      <w:pPr>
        <w:spacing w:after="0" w:line="99" w:lineRule="exact"/>
        <w:rPr>
          <w:rFonts w:ascii="Arial" w:cs="Arial" w:eastAsia="Arial" w:hAnsi="Arial"/>
          <w:sz w:val="15"/>
          <w:szCs w:val="15"/>
          <w:color w:val="auto"/>
        </w:rPr>
      </w:pPr>
    </w:p>
    <w:p>
      <w:pPr>
        <w:ind w:left="1520" w:hanging="153"/>
        <w:spacing w:after="0"/>
        <w:tabs>
          <w:tab w:leader="none" w:pos="1520" w:val="left"/>
        </w:tabs>
        <w:numPr>
          <w:ilvl w:val="0"/>
          <w:numId w:val="49"/>
        </w:numPr>
        <w:rPr>
          <w:rFonts w:ascii="Arial" w:cs="Arial" w:eastAsia="Arial" w:hAnsi="Arial"/>
          <w:sz w:val="15"/>
          <w:szCs w:val="15"/>
          <w:color w:val="auto"/>
        </w:rPr>
      </w:pPr>
      <w:r>
        <w:rPr>
          <w:rFonts w:ascii="Arial" w:cs="Arial" w:eastAsia="Arial" w:hAnsi="Arial"/>
          <w:sz w:val="15"/>
          <w:szCs w:val="15"/>
          <w:b w:val="1"/>
          <w:bCs w:val="1"/>
          <w:color w:val="auto"/>
        </w:rPr>
        <w:t>Article 17</w:t>
      </w:r>
      <w:r>
        <w:rPr>
          <w:rFonts w:ascii="Arial" w:cs="Arial" w:eastAsia="Arial" w:hAnsi="Arial"/>
          <w:sz w:val="15"/>
          <w:szCs w:val="15"/>
          <w:color w:val="auto"/>
        </w:rPr>
        <w:t>:  Updates the list of authorized signatories for company representation.</w:t>
      </w:r>
    </w:p>
    <w:p>
      <w:pPr>
        <w:spacing w:after="0" w:line="99" w:lineRule="exact"/>
        <w:rPr>
          <w:rFonts w:ascii="Arial" w:cs="Arial" w:eastAsia="Arial" w:hAnsi="Arial"/>
          <w:sz w:val="15"/>
          <w:szCs w:val="15"/>
          <w:color w:val="auto"/>
        </w:rPr>
      </w:pPr>
    </w:p>
    <w:p>
      <w:pPr>
        <w:ind w:left="1520" w:right="1299" w:hanging="153"/>
        <w:spacing w:after="0" w:line="288" w:lineRule="auto"/>
        <w:tabs>
          <w:tab w:leader="none" w:pos="1520" w:val="left"/>
        </w:tabs>
        <w:numPr>
          <w:ilvl w:val="0"/>
          <w:numId w:val="49"/>
        </w:numPr>
        <w:rPr>
          <w:rFonts w:ascii="Arial" w:cs="Arial" w:eastAsia="Arial" w:hAnsi="Arial"/>
          <w:sz w:val="15"/>
          <w:szCs w:val="15"/>
          <w:color w:val="auto"/>
        </w:rPr>
      </w:pPr>
      <w:r>
        <w:rPr>
          <w:rFonts w:ascii="Arial" w:cs="Arial" w:eastAsia="Arial" w:hAnsi="Arial"/>
          <w:sz w:val="15"/>
          <w:szCs w:val="15"/>
          <w:b w:val="1"/>
          <w:bCs w:val="1"/>
          <w:color w:val="auto"/>
        </w:rPr>
        <w:t>Various Articles</w:t>
      </w:r>
      <w:r>
        <w:rPr>
          <w:rFonts w:ascii="Arial" w:cs="Arial" w:eastAsia="Arial" w:hAnsi="Arial"/>
          <w:sz w:val="15"/>
          <w:szCs w:val="15"/>
          <w:color w:val="auto"/>
        </w:rPr>
        <w:t>: Standardizes references to corporate governance procedures and</w:t>
      </w:r>
      <w:r>
        <w:rPr>
          <w:rFonts w:ascii="Arial" w:cs="Arial" w:eastAsia="Arial" w:hAnsi="Arial"/>
          <w:sz w:val="15"/>
          <w:szCs w:val="15"/>
          <w:b w:val="1"/>
          <w:bCs w:val="1"/>
          <w:color w:val="auto"/>
        </w:rPr>
        <w:t xml:space="preserve"> </w:t>
      </w:r>
      <w:r>
        <w:rPr>
          <w:rFonts w:ascii="Arial" w:cs="Arial" w:eastAsia="Arial" w:hAnsi="Arial"/>
          <w:sz w:val="15"/>
          <w:szCs w:val="15"/>
          <w:color w:val="auto"/>
        </w:rPr>
        <w:t>refines formatting for consistency.</w:t>
      </w:r>
    </w:p>
    <w:p>
      <w:pPr>
        <w:spacing w:after="0" w:line="72" w:lineRule="exact"/>
        <w:rPr>
          <w:sz w:val="20"/>
          <w:szCs w:val="20"/>
          <w:color w:val="auto"/>
        </w:rPr>
      </w:pPr>
    </w:p>
    <w:p>
      <w:pPr>
        <w:ind w:left="1060" w:right="1099"/>
        <w:spacing w:after="0" w:line="269" w:lineRule="auto"/>
        <w:rPr>
          <w:sz w:val="20"/>
          <w:szCs w:val="20"/>
          <w:color w:val="auto"/>
        </w:rPr>
      </w:pPr>
      <w:r>
        <w:rPr>
          <w:rFonts w:ascii="Arial" w:cs="Arial" w:eastAsia="Arial" w:hAnsi="Arial"/>
          <w:sz w:val="15"/>
          <w:szCs w:val="15"/>
          <w:color w:val="auto"/>
        </w:rPr>
        <w:t>The above descriptions of the proposed amendments are qualified in their entirety by reference to the actual proposed amendments, which are attached hereto as Appendix A and incorporated herein by reference.</w:t>
      </w:r>
    </w:p>
    <w:p>
      <w:pPr>
        <w:spacing w:after="0" w:line="144" w:lineRule="exact"/>
        <w:rPr>
          <w:sz w:val="20"/>
          <w:szCs w:val="20"/>
          <w:color w:val="auto"/>
        </w:rPr>
      </w:pPr>
    </w:p>
    <w:p>
      <w:pPr>
        <w:ind w:left="1480" w:right="1279" w:hanging="257"/>
        <w:spacing w:after="0" w:line="299" w:lineRule="auto"/>
        <w:rPr>
          <w:sz w:val="20"/>
          <w:szCs w:val="20"/>
          <w:color w:val="auto"/>
        </w:rPr>
      </w:pPr>
      <w:r>
        <w:rPr>
          <w:rFonts w:ascii="Arial" w:cs="Arial" w:eastAsia="Arial" w:hAnsi="Arial"/>
          <w:sz w:val="15"/>
          <w:szCs w:val="15"/>
          <w:b w:val="1"/>
          <w:bCs w:val="1"/>
          <w:color w:val="auto"/>
        </w:rPr>
        <w:t>OUR BOARD OF DIRECTORS UNANIMOUSLY RECOMMENDS THAT YOU VOTE “FOR” THE APPROVAL OF AMENDMENTS TO THE ARTICLES OF INCORPORATION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0" w:name="page61"/>
    <w:bookmarkEnd w:id="60"/>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Business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41275</wp:posOffset>
            </wp:positionV>
            <wp:extent cx="436753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367530" cy="6985"/>
                    </a:xfrm>
                    <a:prstGeom prst="rect">
                      <a:avLst/>
                    </a:prstGeom>
                    <a:noFill/>
                  </pic:spPr>
                </pic:pic>
              </a:graphicData>
            </a:graphic>
          </wp:anchor>
        </w:drawing>
      </w:r>
    </w:p>
    <w:p>
      <w:pPr>
        <w:spacing w:after="0" w:line="178" w:lineRule="exact"/>
        <w:rPr>
          <w:sz w:val="20"/>
          <w:szCs w:val="20"/>
          <w:color w:val="auto"/>
        </w:rPr>
      </w:pPr>
    </w:p>
    <w:p>
      <w:pPr>
        <w:ind w:left="1060" w:right="1099"/>
        <w:spacing w:after="0" w:line="257" w:lineRule="auto"/>
        <w:rPr>
          <w:sz w:val="20"/>
          <w:szCs w:val="20"/>
          <w:color w:val="auto"/>
        </w:rPr>
      </w:pPr>
      <w:r>
        <w:rPr>
          <w:rFonts w:ascii="Arial" w:cs="Arial" w:eastAsia="Arial" w:hAnsi="Arial"/>
          <w:sz w:val="15"/>
          <w:szCs w:val="15"/>
          <w:color w:val="auto"/>
        </w:rPr>
        <w:t xml:space="preserve">Our Board has adopted, as set forth within our written Code of Business Conduct and Ethics, certain policies and procedures for the review and approval of transactions in which a conflict of interest may arise. The Code of Business Conduct and Ethics is available at </w:t>
      </w:r>
      <w:r>
        <w:rPr>
          <w:rFonts w:ascii="Arial" w:cs="Arial" w:eastAsia="Arial" w:hAnsi="Arial"/>
          <w:sz w:val="15"/>
          <w:szCs w:val="15"/>
          <w:u w:val="single" w:color="auto"/>
          <w:color w:val="auto"/>
        </w:rPr>
        <w:t>https://ir.altisource.com/corporate-governance</w:t>
      </w:r>
      <w:r>
        <w:rPr>
          <w:rFonts w:ascii="Arial" w:cs="Arial" w:eastAsia="Arial" w:hAnsi="Arial"/>
          <w:sz w:val="15"/>
          <w:szCs w:val="15"/>
          <w:color w:val="auto"/>
        </w:rPr>
        <w:t>. Any situation that potentially qualifies as a conflict of interest is to be disclosed to the Chief Legal and Compliance Officer to assess the nature and extent of any concern as well as the appropriate next steps. If any such situation requires our Board’s or Audit Committee’s review, the Chief Legal and Compliance Officer will notify the Chairman of our Board or the Audit Committee Chair, as appropriate.</w:t>
      </w:r>
    </w:p>
    <w:p>
      <w:pPr>
        <w:spacing w:after="0" w:line="83" w:lineRule="exact"/>
        <w:rPr>
          <w:sz w:val="20"/>
          <w:szCs w:val="20"/>
          <w:color w:val="auto"/>
        </w:rPr>
      </w:pPr>
    </w:p>
    <w:p>
      <w:pPr>
        <w:ind w:left="1060" w:right="1359"/>
        <w:spacing w:after="0" w:line="269" w:lineRule="auto"/>
        <w:rPr>
          <w:sz w:val="20"/>
          <w:szCs w:val="20"/>
          <w:color w:val="auto"/>
        </w:rPr>
      </w:pPr>
      <w:r>
        <w:rPr>
          <w:rFonts w:ascii="Arial" w:cs="Arial" w:eastAsia="Arial" w:hAnsi="Arial"/>
          <w:sz w:val="15"/>
          <w:szCs w:val="15"/>
          <w:color w:val="auto"/>
        </w:rPr>
        <w:t>The Audit Committee of our Board has adopted written policies and procedures to govern the review and approval of transactions involving Altisource and a Related Person (as defined by SEC Regulation S-K).</w:t>
      </w:r>
    </w:p>
    <w:p>
      <w:pPr>
        <w:spacing w:after="0" w:line="87" w:lineRule="exact"/>
        <w:rPr>
          <w:sz w:val="20"/>
          <w:szCs w:val="20"/>
          <w:color w:val="auto"/>
        </w:rPr>
      </w:pPr>
    </w:p>
    <w:p>
      <w:pPr>
        <w:ind w:left="1060" w:right="1159"/>
        <w:spacing w:after="0" w:line="279" w:lineRule="auto"/>
        <w:rPr>
          <w:sz w:val="20"/>
          <w:szCs w:val="20"/>
          <w:color w:val="auto"/>
        </w:rPr>
      </w:pPr>
      <w:r>
        <w:rPr>
          <w:rFonts w:ascii="Arial" w:cs="Arial" w:eastAsia="Arial" w:hAnsi="Arial"/>
          <w:sz w:val="15"/>
          <w:szCs w:val="15"/>
          <w:color w:val="auto"/>
        </w:rPr>
        <w:t>We received certain services from Aldridge|Pite, LLP (“Aldridge Pite”); John G. Aldridge, Jr., the founder and managing partner of Aldridge Pite, was appointed to our Board on May 17, 2022.</w:t>
      </w:r>
    </w:p>
    <w:p>
      <w:pPr>
        <w:spacing w:after="0" w:line="319"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ALDRIDGE|PITE, LLP</w:t>
      </w:r>
    </w:p>
    <w:p>
      <w:pPr>
        <w:spacing w:after="0" w:line="92" w:lineRule="exact"/>
        <w:rPr>
          <w:sz w:val="20"/>
          <w:szCs w:val="20"/>
          <w:color w:val="auto"/>
        </w:rPr>
      </w:pPr>
    </w:p>
    <w:p>
      <w:pPr>
        <w:ind w:left="1060" w:right="1139"/>
        <w:spacing w:after="0" w:line="256" w:lineRule="auto"/>
        <w:rPr>
          <w:sz w:val="20"/>
          <w:szCs w:val="20"/>
          <w:color w:val="auto"/>
        </w:rPr>
      </w:pPr>
      <w:r>
        <w:rPr>
          <w:rFonts w:ascii="Arial" w:cs="Arial" w:eastAsia="Arial" w:hAnsi="Arial"/>
          <w:sz w:val="15"/>
          <w:szCs w:val="15"/>
          <w:color w:val="auto"/>
        </w:rPr>
        <w:t>We engage Aldridge Pite, LLP (“Aldridge Pite”), a law firm, for legal services, including eviction services. John G. Aldridge, Jr., its founder and managing partner, currently serves on our Board. In 2024, Aldridge Pite received $932,875.57 from the Company for these services. Aldridge Pite informed us that it recorded $334,324 in revenue on these services, with the remainder constituting reimbursed third-party costs paid by the firm. As managing partner, Mr. Aldridge has a material interest in this transaction through his ownership and leadership role in the firm. The Audit Committee reviewed and approved this arrangement in accordance with our policies, determining it to be at arm’s length and consistent with market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217805</wp:posOffset>
            </wp:positionV>
            <wp:extent cx="5728970" cy="400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1" w:name="page62"/>
    <w:bookmarkEnd w:id="61"/>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41275</wp:posOffset>
            </wp:positionV>
            <wp:extent cx="436753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67530" cy="6985"/>
                    </a:xfrm>
                    <a:prstGeom prst="rect">
                      <a:avLst/>
                    </a:prstGeom>
                    <a:noFill/>
                  </pic:spPr>
                </pic:pic>
              </a:graphicData>
            </a:graphic>
          </wp:anchor>
        </w:drawing>
      </w:r>
    </w:p>
    <w:p>
      <w:pPr>
        <w:spacing w:after="0" w:line="178" w:lineRule="exact"/>
        <w:rPr>
          <w:sz w:val="20"/>
          <w:szCs w:val="20"/>
          <w:color w:val="auto"/>
        </w:rPr>
      </w:pPr>
    </w:p>
    <w:p>
      <w:pPr>
        <w:ind w:left="1060" w:right="1219"/>
        <w:spacing w:after="0" w:line="254" w:lineRule="auto"/>
        <w:rPr>
          <w:sz w:val="20"/>
          <w:szCs w:val="20"/>
          <w:color w:val="auto"/>
        </w:rPr>
      </w:pPr>
      <w:r>
        <w:rPr>
          <w:rFonts w:ascii="Arial" w:cs="Arial" w:eastAsia="Arial" w:hAnsi="Arial"/>
          <w:sz w:val="15"/>
          <w:szCs w:val="15"/>
          <w:color w:val="auto"/>
        </w:rPr>
        <w:t>Pursuant to SEC rules, any proposal that a shareholder desires to have included in our proxy materials relating to our 2026 annual general meeting of shareholders must be received at our registered office no later than December 1, 2025. In addition to any shareholders’ rights under the Luxembourg Company Law and the Company’s Articles of Incorporation, for any proposal that is not submitted for inclusion in the proxy statement for the 2026 annual general meeting of shareholders, but is instead sought to be presented directly at the 2026 annual general meeting of shareholders, SEC rules permit the persons appointed as proxies to vote shares represented by valid proxies in their discretion if we:</w:t>
      </w:r>
    </w:p>
    <w:p>
      <w:pPr>
        <w:spacing w:after="0" w:line="2" w:lineRule="exact"/>
        <w:rPr>
          <w:sz w:val="20"/>
          <w:szCs w:val="20"/>
          <w:color w:val="auto"/>
        </w:rPr>
      </w:pPr>
    </w:p>
    <w:p>
      <w:pPr>
        <w:ind w:left="1060" w:right="1099" w:firstLine="5"/>
        <w:spacing w:after="0" w:line="260" w:lineRule="auto"/>
        <w:tabs>
          <w:tab w:leader="none" w:pos="1266"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receive the proposal no later than February 14, 2026 and advise shareholders in the 2026 proxy statement about the nature of the matter and how the persons appointed as proxies intend to vote on such matter; or (ii) receive notice of the proposal after February 14, 2026.</w:t>
      </w:r>
    </w:p>
    <w:p>
      <w:pPr>
        <w:spacing w:after="0" w:line="82" w:lineRule="exact"/>
        <w:rPr>
          <w:sz w:val="20"/>
          <w:szCs w:val="20"/>
          <w:color w:val="auto"/>
        </w:rPr>
      </w:pPr>
    </w:p>
    <w:p>
      <w:pPr>
        <w:ind w:left="1060" w:right="1339"/>
        <w:spacing w:after="0" w:line="263" w:lineRule="auto"/>
        <w:rPr>
          <w:sz w:val="20"/>
          <w:szCs w:val="20"/>
          <w:color w:val="auto"/>
        </w:rPr>
      </w:pPr>
      <w:r>
        <w:rPr>
          <w:rFonts w:ascii="Arial" w:cs="Arial" w:eastAsia="Arial" w:hAnsi="Arial"/>
          <w:sz w:val="15"/>
          <w:szCs w:val="15"/>
          <w:color w:val="auto"/>
        </w:rPr>
        <w:t>Notice of intent to present a proposal at the 2026 annual general meeting of shareholders should be directed to our Corporate Secretary at Altisource Portfolio Solutions S.A., 33, Boulevard Prince Henri, L-1724 Luxembourg City, Grand Duchy of Luxembourg. Any shareholder proposal must be sent by certified mail, return-receipt requested.</w:t>
      </w:r>
    </w:p>
    <w:p>
      <w:pPr>
        <w:spacing w:after="0" w:line="140"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41275</wp:posOffset>
            </wp:positionV>
            <wp:extent cx="436753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367530" cy="6985"/>
                    </a:xfrm>
                    <a:prstGeom prst="rect">
                      <a:avLst/>
                    </a:prstGeom>
                    <a:noFill/>
                  </pic:spPr>
                </pic:pic>
              </a:graphicData>
            </a:graphic>
          </wp:anchor>
        </w:drawing>
      </w:r>
    </w:p>
    <w:p>
      <w:pPr>
        <w:spacing w:after="0" w:line="178" w:lineRule="exact"/>
        <w:rPr>
          <w:sz w:val="20"/>
          <w:szCs w:val="20"/>
          <w:color w:val="auto"/>
        </w:rPr>
      </w:pPr>
    </w:p>
    <w:p>
      <w:pPr>
        <w:ind w:left="1060" w:right="1179"/>
        <w:spacing w:after="0" w:line="261" w:lineRule="auto"/>
        <w:rPr>
          <w:sz w:val="20"/>
          <w:szCs w:val="20"/>
          <w:color w:val="auto"/>
        </w:rPr>
      </w:pPr>
      <w:r>
        <w:rPr>
          <w:rFonts w:ascii="Arial" w:cs="Arial" w:eastAsia="Arial" w:hAnsi="Arial"/>
          <w:sz w:val="15"/>
          <w:szCs w:val="15"/>
          <w:color w:val="auto"/>
        </w:rPr>
        <w:t xml:space="preserve">A copy of our 2024 Form 10-K was made available to shareholders on [                     ]. The 2024 Form 10-K can be found on our website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under Investor Relations.</w:t>
      </w:r>
    </w:p>
    <w:p>
      <w:pPr>
        <w:spacing w:after="0" w:line="1" w:lineRule="exact"/>
        <w:rPr>
          <w:sz w:val="20"/>
          <w:szCs w:val="20"/>
          <w:color w:val="auto"/>
        </w:rPr>
      </w:pPr>
    </w:p>
    <w:p>
      <w:pPr>
        <w:ind w:left="1060" w:right="1159"/>
        <w:spacing w:after="0" w:line="258" w:lineRule="auto"/>
        <w:rPr>
          <w:sz w:val="20"/>
          <w:szCs w:val="20"/>
          <w:color w:val="auto"/>
        </w:rPr>
      </w:pPr>
      <w:r>
        <w:rPr>
          <w:rFonts w:ascii="Arial" w:cs="Arial" w:eastAsia="Arial" w:hAnsi="Arial"/>
          <w:sz w:val="15"/>
          <w:szCs w:val="15"/>
          <w:b w:val="1"/>
          <w:bCs w:val="1"/>
          <w:color w:val="auto"/>
        </w:rPr>
        <w:t>We will furnish without charge to each person whose proxy is solicited and to any beneficial owner entitled to vote at the Annual Meeting, on written request, a copy of our 2024 Form 10-K, that we are required to file with the SEC under the Exchange Act. Such requests should be directed to Investor Relations, Altisource Portfolio Solutions S.A., 33, Boulevard Prince Henri, L-1724 Luxembourg City, Grand Duchy of Luxembourg.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217805</wp:posOffset>
            </wp:positionV>
            <wp:extent cx="5728970" cy="400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2" w:name="page63"/>
    <w:bookmarkEnd w:id="62"/>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41275</wp:posOffset>
            </wp:positionV>
            <wp:extent cx="436753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367530" cy="6985"/>
                    </a:xfrm>
                    <a:prstGeom prst="rect">
                      <a:avLst/>
                    </a:prstGeom>
                    <a:noFill/>
                  </pic:spPr>
                </pic:pic>
              </a:graphicData>
            </a:graphic>
          </wp:anchor>
        </w:drawing>
      </w:r>
    </w:p>
    <w:p>
      <w:pPr>
        <w:spacing w:after="0" w:line="178" w:lineRule="exact"/>
        <w:rPr>
          <w:sz w:val="20"/>
          <w:szCs w:val="20"/>
          <w:color w:val="auto"/>
        </w:rPr>
      </w:pPr>
    </w:p>
    <w:p>
      <w:pPr>
        <w:ind w:left="1060" w:right="1199"/>
        <w:spacing w:after="0" w:line="260" w:lineRule="auto"/>
        <w:rPr>
          <w:sz w:val="20"/>
          <w:szCs w:val="20"/>
          <w:color w:val="auto"/>
        </w:rPr>
      </w:pPr>
      <w:r>
        <w:rPr>
          <w:rFonts w:ascii="Arial" w:cs="Arial" w:eastAsia="Arial" w:hAnsi="Arial"/>
          <w:sz w:val="15"/>
          <w:szCs w:val="15"/>
          <w:color w:val="auto"/>
        </w:rPr>
        <w:t>Proxies will be solicited on behalf of our Board by mail or electronic means, and we will pay the solicitation costs. Copies of the annual report for 2024 and this proxy statement will be made available to banks or brokers, for the purpose of soliciting proxies from beneficial owners. In addition to solicitations by mail or electronic means, our Directors, officers and other employees may solicit proxies personally or by telephone without additional cost.</w:t>
      </w:r>
    </w:p>
    <w:p>
      <w:pPr>
        <w:spacing w:after="0" w:line="84" w:lineRule="exact"/>
        <w:rPr>
          <w:sz w:val="20"/>
          <w:szCs w:val="20"/>
          <w:color w:val="auto"/>
        </w:rPr>
      </w:pPr>
    </w:p>
    <w:p>
      <w:pPr>
        <w:ind w:left="1060" w:right="1139"/>
        <w:spacing w:after="0" w:line="257" w:lineRule="auto"/>
        <w:rPr>
          <w:sz w:val="20"/>
          <w:szCs w:val="20"/>
          <w:color w:val="auto"/>
        </w:rPr>
      </w:pPr>
      <w:r>
        <w:rPr>
          <w:rFonts w:ascii="Arial" w:cs="Arial" w:eastAsia="Arial" w:hAnsi="Arial"/>
          <w:sz w:val="15"/>
          <w:szCs w:val="15"/>
          <w:color w:val="auto"/>
        </w:rPr>
        <w:t>The shares represented by all valid proxies will be voted in the manner specified. Where specific choices are not indicated, except with respect to “broker non-votes,” each proxy received for the Annual Meeting will be voted “FOR” each of the nominees for Director named in this proxy statement and “FOR” Proposal Two through Proposal Seven, inclusive; and each proxy received for the Extraordinary Meeting will be voted “FOR” the proposals identified in the agenda for the Extraordinary Meeting. Should any matter or other business not described above properly come before the Annual Meeting or Extraordinary Meeting, the persons appointed as proxies will vote according to their discretion.</w:t>
      </w:r>
    </w:p>
    <w:p>
      <w:pPr>
        <w:spacing w:after="0" w:line="95" w:lineRule="exact"/>
        <w:rPr>
          <w:sz w:val="20"/>
          <w:szCs w:val="20"/>
          <w:color w:val="auto"/>
        </w:rPr>
      </w:pPr>
    </w:p>
    <w:p>
      <w:pPr>
        <w:ind w:left="1060" w:right="1139"/>
        <w:spacing w:after="0" w:line="261" w:lineRule="auto"/>
        <w:rPr>
          <w:sz w:val="20"/>
          <w:szCs w:val="20"/>
          <w:color w:val="auto"/>
        </w:rPr>
      </w:pPr>
      <w:r>
        <w:rPr>
          <w:rFonts w:ascii="Arial" w:cs="Arial" w:eastAsia="Arial" w:hAnsi="Arial"/>
          <w:sz w:val="15"/>
          <w:szCs w:val="15"/>
          <w:color w:val="auto"/>
        </w:rPr>
        <w:t>If you are the beneficial owner, but not the record holder of shares of our common stock and have requested a copy of this proxy statement, your bank or broker may only deliver one</w:t>
      </w:r>
    </w:p>
    <w:p>
      <w:pPr>
        <w:spacing w:after="0" w:line="1" w:lineRule="exact"/>
        <w:rPr>
          <w:sz w:val="20"/>
          <w:szCs w:val="20"/>
          <w:color w:val="auto"/>
        </w:rPr>
      </w:pPr>
    </w:p>
    <w:p>
      <w:pPr>
        <w:ind w:left="1060" w:right="1379" w:firstLine="5"/>
        <w:spacing w:after="0" w:line="251" w:lineRule="auto"/>
        <w:tabs>
          <w:tab w:leader="none" w:pos="1316" w:val="left"/>
        </w:tabs>
        <w:numPr>
          <w:ilvl w:val="0"/>
          <w:numId w:val="51"/>
        </w:numPr>
        <w:rPr>
          <w:rFonts w:ascii="Arial" w:cs="Arial" w:eastAsia="Arial" w:hAnsi="Arial"/>
          <w:sz w:val="15"/>
          <w:szCs w:val="15"/>
          <w:color w:val="auto"/>
        </w:rPr>
      </w:pPr>
      <w:r>
        <w:rPr>
          <w:rFonts w:ascii="Arial" w:cs="Arial" w:eastAsia="Arial" w:hAnsi="Arial"/>
          <w:sz w:val="15"/>
          <w:szCs w:val="15"/>
          <w:color w:val="auto"/>
        </w:rPr>
        <w:t>copy of this proxy statement and our 2024 annual report to multiple shareholders who share an address unless the bank or broker has received contrary instructions from one</w:t>
      </w:r>
    </w:p>
    <w:p>
      <w:pPr>
        <w:spacing w:after="0" w:line="1" w:lineRule="exact"/>
        <w:rPr>
          <w:rFonts w:ascii="Arial" w:cs="Arial" w:eastAsia="Arial" w:hAnsi="Arial"/>
          <w:sz w:val="15"/>
          <w:szCs w:val="15"/>
          <w:color w:val="auto"/>
        </w:rPr>
      </w:pPr>
    </w:p>
    <w:p>
      <w:pPr>
        <w:ind w:left="1060" w:right="1179" w:firstLine="5"/>
        <w:spacing w:after="0" w:line="254" w:lineRule="auto"/>
        <w:tabs>
          <w:tab w:leader="none" w:pos="1316" w:val="left"/>
        </w:tabs>
        <w:numPr>
          <w:ilvl w:val="0"/>
          <w:numId w:val="52"/>
        </w:numPr>
        <w:rPr>
          <w:rFonts w:ascii="Arial" w:cs="Arial" w:eastAsia="Arial" w:hAnsi="Arial"/>
          <w:sz w:val="15"/>
          <w:szCs w:val="15"/>
          <w:color w:val="auto"/>
        </w:rPr>
      </w:pPr>
      <w:r>
        <w:rPr>
          <w:rFonts w:ascii="Arial" w:cs="Arial" w:eastAsia="Arial" w:hAnsi="Arial"/>
          <w:sz w:val="15"/>
          <w:szCs w:val="15"/>
          <w:color w:val="auto"/>
        </w:rPr>
        <w:t xml:space="preserve">or more of the shareholders. Shareholders at an address to which a single copy of this proxy statement and our 2024 annual report was sent may request a separate copy by contacting the Office of the Corporate Secretary by mail at Altisource Portfolio Solutions S.A., 33, Boulevard Prince Henri, L-1724 Luxembourg City, Grand Duchy of Luxembourg, or by email at </w:t>
      </w:r>
      <w:r>
        <w:rPr>
          <w:rFonts w:ascii="Arial" w:cs="Arial" w:eastAsia="Arial" w:hAnsi="Arial"/>
          <w:sz w:val="15"/>
          <w:szCs w:val="15"/>
          <w:u w:val="single" w:color="auto"/>
          <w:color w:val="auto"/>
        </w:rPr>
        <w:t>CorporateSecretary@altisource.com</w:t>
      </w:r>
      <w:r>
        <w:rPr>
          <w:rFonts w:ascii="Arial" w:cs="Arial" w:eastAsia="Arial" w:hAnsi="Arial"/>
          <w:sz w:val="15"/>
          <w:szCs w:val="15"/>
          <w:color w:val="auto"/>
        </w:rPr>
        <w:t>. Beneficial owners sharing an address who are receiving multiple copies and who wish to receive a single copy of the materials in the future will need to contact their bank or broker to request that only a single copy of each document be mailed to all shareholders at the shared address.</w:t>
      </w:r>
    </w:p>
    <w:p>
      <w:pPr>
        <w:spacing w:after="0" w:line="98" w:lineRule="exact"/>
        <w:rPr>
          <w:sz w:val="20"/>
          <w:szCs w:val="20"/>
          <w:color w:val="auto"/>
        </w:rPr>
      </w:pPr>
    </w:p>
    <w:p>
      <w:pPr>
        <w:ind w:left="1060" w:right="1139"/>
        <w:spacing w:after="0" w:line="256" w:lineRule="auto"/>
        <w:rPr>
          <w:sz w:val="20"/>
          <w:szCs w:val="20"/>
          <w:color w:val="auto"/>
        </w:rPr>
      </w:pPr>
      <w:r>
        <w:rPr>
          <w:rFonts w:ascii="Arial" w:cs="Arial" w:eastAsia="Arial" w:hAnsi="Arial"/>
          <w:sz w:val="15"/>
          <w:szCs w:val="15"/>
          <w:color w:val="auto"/>
        </w:rPr>
        <w:t xml:space="preserve">This proxy statement and our 2024 annual report will be available on our website under Investor Relations-Financial Information at </w:t>
      </w:r>
      <w:r>
        <w:rPr>
          <w:rFonts w:ascii="Arial" w:cs="Arial" w:eastAsia="Arial" w:hAnsi="Arial"/>
          <w:sz w:val="15"/>
          <w:szCs w:val="15"/>
          <w:u w:val="single" w:color="auto"/>
          <w:color w:val="auto"/>
        </w:rPr>
        <w:t>https://ir.altisource.com/financial-information</w:t>
      </w:r>
      <w:r>
        <w:rPr>
          <w:rFonts w:ascii="Arial" w:cs="Arial" w:eastAsia="Arial" w:hAnsi="Arial"/>
          <w:sz w:val="15"/>
          <w:szCs w:val="15"/>
          <w:color w:val="auto"/>
        </w:rPr>
        <w:t xml:space="preserve">. In addition, this proxy statement and our 2024 annual report will be available at </w:t>
      </w:r>
      <w:r>
        <w:rPr>
          <w:rFonts w:ascii="Arial" w:cs="Arial" w:eastAsia="Arial" w:hAnsi="Arial"/>
          <w:sz w:val="15"/>
          <w:szCs w:val="15"/>
          <w:u w:val="single" w:color="auto"/>
          <w:color w:val="auto"/>
        </w:rPr>
        <w:t>www.proxyvote.com</w:t>
      </w:r>
      <w:r>
        <w:rPr>
          <w:rFonts w:ascii="Arial" w:cs="Arial" w:eastAsia="Arial" w:hAnsi="Arial"/>
          <w:sz w:val="15"/>
          <w:szCs w:val="15"/>
          <w:color w:val="auto"/>
        </w:rPr>
        <w:t>. If you are a shareholder of record, you can elect to access future proxy statements and annual reports electronically by following the instructions on your proxy cards. If you choose this option, you will receive a notice by mail listing the website locations, and your choice will remain in effect until you notify us by mail that you no longer wish to receive materials electronically. If you hold your common stock through a bank or broker, please refer to the information provided by them for instructions on how to elect this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217805</wp:posOffset>
            </wp:positionV>
            <wp:extent cx="5728970" cy="400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3" w:name="page64"/>
    <w:bookmarkEnd w:id="63"/>
    <w:p>
      <w:pPr>
        <w:ind w:left="20"/>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ind w:right="1039"/>
        <w:spacing w:after="0"/>
        <w:rPr>
          <w:sz w:val="20"/>
          <w:szCs w:val="20"/>
          <w:color w:val="auto"/>
        </w:rPr>
      </w:pPr>
      <w:r>
        <w:rPr>
          <w:rFonts w:ascii="Arial" w:cs="Arial" w:eastAsia="Arial" w:hAnsi="Arial"/>
          <w:sz w:val="15"/>
          <w:szCs w:val="15"/>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wp:posOffset>
            </wp:positionH>
            <wp:positionV relativeFrom="paragraph">
              <wp:posOffset>115570</wp:posOffset>
            </wp:positionV>
            <wp:extent cx="4367530" cy="5676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367530" cy="567690"/>
                    </a:xfrm>
                    <a:prstGeom prst="rect">
                      <a:avLst/>
                    </a:prstGeom>
                    <a:noFill/>
                  </pic:spPr>
                </pic:pic>
              </a:graphicData>
            </a:graphic>
          </wp:anchor>
        </w:drawing>
      </w:r>
    </w:p>
    <w:p>
      <w:pPr>
        <w:spacing w:after="0" w:line="48" w:lineRule="exact"/>
        <w:rPr>
          <w:sz w:val="20"/>
          <w:szCs w:val="20"/>
          <w:color w:val="auto"/>
        </w:rPr>
      </w:pPr>
    </w:p>
    <w:p>
      <w:pPr>
        <w:ind w:left="1120"/>
        <w:spacing w:after="0"/>
        <w:tabs>
          <w:tab w:leader="none" w:pos="3360" w:val="left"/>
        </w:tabs>
        <w:rPr>
          <w:sz w:val="20"/>
          <w:szCs w:val="20"/>
          <w:color w:val="auto"/>
        </w:rPr>
      </w:pPr>
      <w:r>
        <w:rPr>
          <w:rFonts w:ascii="Arial" w:cs="Arial" w:eastAsia="Arial" w:hAnsi="Arial"/>
          <w:sz w:val="27"/>
          <w:szCs w:val="27"/>
          <w:b w:val="1"/>
          <w:bCs w:val="1"/>
          <w:color w:val="auto"/>
          <w:vertAlign w:val="superscript"/>
        </w:rPr>
        <w:t>​</w:t>
      </w:r>
      <w:r>
        <w:rPr>
          <w:sz w:val="20"/>
          <w:szCs w:val="20"/>
          <w:color w:val="auto"/>
        </w:rPr>
        <w:tab/>
      </w:r>
      <w:r>
        <w:rPr>
          <w:rFonts w:ascii="Arial" w:cs="Arial" w:eastAsia="Arial" w:hAnsi="Arial"/>
          <w:sz w:val="14"/>
          <w:szCs w:val="14"/>
          <w:b w:val="1"/>
          <w:bCs w:val="1"/>
          <w:color w:val="auto"/>
        </w:rPr>
        <w:t>Altisource Portfolio Solutions S.A.</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Société anonyme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Siège social: 33, Boulevard Prince Henri, L-1724 Luxembourg</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R.C.S. Luxembourg: B 72 391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Chapter I. Form, Corporate Name, Registered Office, Object, Duration</w:t>
      </w:r>
    </w:p>
    <w:p>
      <w:pPr>
        <w:spacing w:after="0" w:line="133" w:lineRule="exact"/>
        <w:rPr>
          <w:sz w:val="20"/>
          <w:szCs w:val="20"/>
          <w:color w:val="auto"/>
        </w:rPr>
      </w:pPr>
    </w:p>
    <w:p>
      <w:pPr>
        <w:ind w:left="1060" w:right="1139"/>
        <w:spacing w:after="0" w:line="251" w:lineRule="auto"/>
        <w:rPr>
          <w:sz w:val="20"/>
          <w:szCs w:val="20"/>
          <w:color w:val="auto"/>
        </w:rPr>
      </w:pPr>
      <w:r>
        <w:rPr>
          <w:rFonts w:ascii="Arial" w:cs="Arial" w:eastAsia="Arial" w:hAnsi="Arial"/>
          <w:sz w:val="15"/>
          <w:szCs w:val="15"/>
          <w:b w:val="1"/>
          <w:bCs w:val="1"/>
          <w:i w:val="1"/>
          <w:iCs w:val="1"/>
          <w:color w:val="auto"/>
        </w:rPr>
        <w:t xml:space="preserve">Art. 1. Form, Corporate Name. </w:t>
      </w:r>
      <w:r>
        <w:rPr>
          <w:rFonts w:ascii="Arial" w:cs="Arial" w:eastAsia="Arial" w:hAnsi="Arial"/>
          <w:sz w:val="15"/>
          <w:szCs w:val="15"/>
          <w:i w:val="1"/>
          <w:iCs w:val="1"/>
          <w:color w:val="auto"/>
        </w:rPr>
        <w:t>There is established among the subscriber(s), and all those who may</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become owners of the shares of the company hereafter issued, a company in the form of a public limited liability company (société anonyme) (the “</w:t>
      </w:r>
      <w:r>
        <w:rPr>
          <w:rFonts w:ascii="Arial" w:cs="Arial" w:eastAsia="Arial" w:hAnsi="Arial"/>
          <w:sz w:val="15"/>
          <w:szCs w:val="15"/>
          <w:b w:val="1"/>
          <w:bCs w:val="1"/>
          <w:i w:val="1"/>
          <w:iCs w:val="1"/>
          <w:color w:val="auto"/>
        </w:rPr>
        <w:t>Company</w:t>
      </w:r>
      <w:r>
        <w:rPr>
          <w:rFonts w:ascii="Arial" w:cs="Arial" w:eastAsia="Arial" w:hAnsi="Arial"/>
          <w:sz w:val="15"/>
          <w:szCs w:val="15"/>
          <w:i w:val="1"/>
          <w:iCs w:val="1"/>
          <w:color w:val="auto"/>
        </w:rPr>
        <w:t>”) which will be governed by the laws of the Grand Duchy of Luxembourg, in particular the law of 10 August 1915 on commercial companies, as amended (the “</w:t>
      </w:r>
      <w:r>
        <w:rPr>
          <w:rFonts w:ascii="Arial" w:cs="Arial" w:eastAsia="Arial" w:hAnsi="Arial"/>
          <w:sz w:val="15"/>
          <w:szCs w:val="15"/>
          <w:b w:val="1"/>
          <w:bCs w:val="1"/>
          <w:i w:val="1"/>
          <w:iCs w:val="1"/>
          <w:color w:val="auto"/>
        </w:rPr>
        <w:t>Law</w:t>
      </w:r>
      <w:r>
        <w:rPr>
          <w:rFonts w:ascii="Arial" w:cs="Arial" w:eastAsia="Arial" w:hAnsi="Arial"/>
          <w:sz w:val="15"/>
          <w:szCs w:val="15"/>
          <w:i w:val="1"/>
          <w:iCs w:val="1"/>
          <w:color w:val="auto"/>
        </w:rPr>
        <w:t xml:space="preserve">”), Article 1832 of the Luxembourg Civil Code, as amended (the </w:t>
      </w:r>
      <w:r>
        <w:rPr>
          <w:rFonts w:ascii="Arial" w:cs="Arial" w:eastAsia="Arial" w:hAnsi="Arial"/>
          <w:sz w:val="15"/>
          <w:szCs w:val="15"/>
          <w:color w:val="FF0000"/>
          <w:strike w:val="1"/>
        </w:rPr>
        <w:t>“</w:t>
      </w:r>
      <w:r>
        <w:rPr>
          <w:rFonts w:ascii="Arial" w:cs="Arial" w:eastAsia="Arial" w:hAnsi="Arial"/>
          <w:sz w:val="15"/>
          <w:szCs w:val="15"/>
          <w:i w:val="1"/>
          <w:iCs w:val="1"/>
          <w:u w:val="single" w:color="auto"/>
          <w:color w:val="0000FF"/>
        </w:rPr>
        <w:t>“</w:t>
      </w:r>
      <w:r>
        <w:rPr>
          <w:rFonts w:ascii="Arial" w:cs="Arial" w:eastAsia="Arial" w:hAnsi="Arial"/>
          <w:sz w:val="15"/>
          <w:szCs w:val="15"/>
          <w:b w:val="1"/>
          <w:bCs w:val="1"/>
          <w:i w:val="1"/>
          <w:iCs w:val="1"/>
          <w:color w:val="auto"/>
        </w:rPr>
        <w:t>Civil Code</w:t>
      </w:r>
      <w:r>
        <w:rPr>
          <w:rFonts w:ascii="Arial" w:cs="Arial" w:eastAsia="Arial" w:hAnsi="Arial"/>
          <w:sz w:val="15"/>
          <w:szCs w:val="15"/>
          <w:color w:val="FF0000"/>
          <w:strike w:val="1"/>
        </w:rPr>
        <w:t>”),</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auto"/>
        </w:rPr>
        <w:t xml:space="preserve"> and by the present articles of incorporation (the “</w:t>
      </w:r>
      <w:r>
        <w:rPr>
          <w:rFonts w:ascii="Arial" w:cs="Arial" w:eastAsia="Arial" w:hAnsi="Arial"/>
          <w:sz w:val="15"/>
          <w:szCs w:val="15"/>
          <w:b w:val="1"/>
          <w:bCs w:val="1"/>
          <w:i w:val="1"/>
          <w:iCs w:val="1"/>
          <w:color w:val="auto"/>
        </w:rPr>
        <w:t>Articles</w:t>
      </w:r>
      <w:r>
        <w:rPr>
          <w:rFonts w:ascii="Arial" w:cs="Arial" w:eastAsia="Arial" w:hAnsi="Arial"/>
          <w:sz w:val="15"/>
          <w:szCs w:val="15"/>
          <w:i w:val="1"/>
          <w:iCs w:val="1"/>
          <w:color w:val="auto"/>
        </w:rPr>
        <w:t>”).</w:t>
      </w:r>
    </w:p>
    <w:p>
      <w:pPr>
        <w:spacing w:after="0" w:line="83"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The Company will exist under the name of  “</w:t>
      </w:r>
      <w:r>
        <w:rPr>
          <w:rFonts w:ascii="Arial" w:cs="Arial" w:eastAsia="Arial" w:hAnsi="Arial"/>
          <w:sz w:val="15"/>
          <w:szCs w:val="15"/>
          <w:b w:val="1"/>
          <w:bCs w:val="1"/>
          <w:i w:val="1"/>
          <w:iCs w:val="1"/>
          <w:color w:val="auto"/>
        </w:rPr>
        <w:t>Altisource Portfolio Solutions S.A</w:t>
      </w:r>
      <w:r>
        <w:rPr>
          <w:rFonts w:ascii="Arial" w:cs="Arial" w:eastAsia="Arial" w:hAnsi="Arial"/>
          <w:sz w:val="15"/>
          <w:szCs w:val="15"/>
          <w:b w:val="1"/>
          <w:bCs w:val="1"/>
          <w:color w:val="FF0000"/>
          <w:strike w:val="1"/>
        </w:rPr>
        <w:t>.</w:t>
      </w:r>
      <w:r>
        <w:rPr>
          <w:rFonts w:ascii="Arial" w:cs="Arial" w:eastAsia="Arial" w:hAnsi="Arial"/>
          <w:sz w:val="15"/>
          <w:szCs w:val="15"/>
          <w:color w:val="FF0000"/>
          <w:strike w:val="1"/>
        </w:rPr>
        <w:t>”</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w:t>
      </w:r>
    </w:p>
    <w:p>
      <w:pPr>
        <w:spacing w:after="0" w:line="122" w:lineRule="exact"/>
        <w:rPr>
          <w:sz w:val="20"/>
          <w:szCs w:val="20"/>
          <w:color w:val="auto"/>
        </w:rPr>
      </w:pPr>
    </w:p>
    <w:p>
      <w:pPr>
        <w:jc w:val="both"/>
        <w:ind w:left="1060" w:right="1439"/>
        <w:spacing w:after="0" w:line="262" w:lineRule="auto"/>
        <w:rPr>
          <w:sz w:val="20"/>
          <w:szCs w:val="20"/>
          <w:color w:val="auto"/>
        </w:rPr>
      </w:pPr>
      <w:r>
        <w:rPr>
          <w:rFonts w:ascii="Arial" w:cs="Arial" w:eastAsia="Arial" w:hAnsi="Arial"/>
          <w:sz w:val="15"/>
          <w:szCs w:val="15"/>
          <w:b w:val="1"/>
          <w:bCs w:val="1"/>
          <w:i w:val="1"/>
          <w:iCs w:val="1"/>
          <w:color w:val="auto"/>
        </w:rPr>
        <w:t xml:space="preserve">Art. 2. Registered Office. </w:t>
      </w:r>
      <w:r>
        <w:rPr>
          <w:rFonts w:ascii="Arial" w:cs="Arial" w:eastAsia="Arial" w:hAnsi="Arial"/>
          <w:sz w:val="15"/>
          <w:szCs w:val="15"/>
          <w:i w:val="1"/>
          <w:iCs w:val="1"/>
          <w:color w:val="auto"/>
        </w:rPr>
        <w:t>The Company has its registered office in the city of Luxembourg. The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Board of Directors (as defined in Article 11) is authorized to change the address of the Company’s registered office within the Grand</w:t>
      </w:r>
      <w:r>
        <w:rPr>
          <w:rFonts w:ascii="Arial" w:cs="Arial" w:eastAsia="Arial" w:hAnsi="Arial"/>
          <w:sz w:val="15"/>
          <w:szCs w:val="15"/>
          <w:color w:val="FF0000"/>
          <w:strike w:val="1"/>
        </w:rPr>
        <w:t>-</w:t>
      </w:r>
      <w:r>
        <w:rPr>
          <w:rFonts w:ascii="Arial" w:cs="Arial" w:eastAsia="Arial" w:hAnsi="Arial"/>
          <w:sz w:val="15"/>
          <w:szCs w:val="15"/>
          <w:i w:val="1"/>
          <w:iCs w:val="1"/>
          <w:color w:val="auto"/>
        </w:rPr>
        <w:t xml:space="preserve"> Duchy of Luxembourg and amend these Articles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2113280</wp:posOffset>
            </wp:positionH>
            <wp:positionV relativeFrom="paragraph">
              <wp:posOffset>-32385</wp:posOffset>
            </wp:positionV>
            <wp:extent cx="2667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6670" cy="6985"/>
                    </a:xfrm>
                    <a:prstGeom prst="rect">
                      <a:avLst/>
                    </a:prstGeom>
                    <a:noFill/>
                  </pic:spPr>
                </pic:pic>
              </a:graphicData>
            </a:graphic>
          </wp:anchor>
        </w:drawing>
      </w:r>
    </w:p>
    <w:p>
      <w:pPr>
        <w:spacing w:after="0" w:line="60" w:lineRule="exact"/>
        <w:rPr>
          <w:sz w:val="20"/>
          <w:szCs w:val="20"/>
          <w:color w:val="auto"/>
        </w:rPr>
      </w:pPr>
    </w:p>
    <w:p>
      <w:pPr>
        <w:ind w:left="1060" w:right="1099"/>
        <w:spacing w:after="0" w:line="245" w:lineRule="auto"/>
        <w:rPr>
          <w:sz w:val="20"/>
          <w:szCs w:val="20"/>
          <w:color w:val="auto"/>
        </w:rPr>
      </w:pPr>
      <w:r>
        <w:rPr>
          <w:rFonts w:ascii="Arial" w:cs="Arial" w:eastAsia="Arial" w:hAnsi="Arial"/>
          <w:sz w:val="15"/>
          <w:szCs w:val="15"/>
          <w:i w:val="1"/>
          <w:iCs w:val="1"/>
          <w:color w:val="auto"/>
        </w:rPr>
        <w:t>Branches or other offices may be established either in the Grand</w:t>
      </w:r>
      <w:r>
        <w:rPr>
          <w:rFonts w:ascii="Arial" w:cs="Arial" w:eastAsia="Arial" w:hAnsi="Arial"/>
          <w:sz w:val="15"/>
          <w:szCs w:val="15"/>
          <w:color w:val="FF0000"/>
          <w:strike w:val="1"/>
        </w:rPr>
        <w:t>-</w:t>
      </w:r>
      <w:r>
        <w:rPr>
          <w:rFonts w:ascii="Arial" w:cs="Arial" w:eastAsia="Arial" w:hAnsi="Arial"/>
          <w:sz w:val="15"/>
          <w:szCs w:val="15"/>
          <w:i w:val="1"/>
          <w:iCs w:val="1"/>
          <w:color w:val="auto"/>
        </w:rPr>
        <w:t xml:space="preserve"> Duchy of Luxembourg or abroad by resolution of the Board of Directors. If the Board of Directors determines that extraordinary political, economic or social developments occur or are imminent that would interfere with the normal activities of the Company at its registered office or with the ease of communications with such office or between such office and persons abroad, it may temporarily transfer the registered office abroad, until the complete cessation of these abnormal circumstances. Such temporary measures will have no effect on the nationality of the Company, which, notwithstanding the temporary transfer of the registered office, will remain a company governed by the laws of the Grand-Duchy of Luxembourg. Such temporary measures will be taken and notified to any interested parties by one of the bodies or persons entrusted with the daily management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-1014730</wp:posOffset>
            </wp:positionV>
            <wp:extent cx="2667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670" cy="6985"/>
                    </a:xfrm>
                    <a:prstGeom prst="rect">
                      <a:avLst/>
                    </a:prstGeom>
                    <a:noFill/>
                  </pic:spPr>
                </pic:pic>
              </a:graphicData>
            </a:graphic>
          </wp:anchor>
        </w:drawing>
      </w:r>
    </w:p>
    <w:p>
      <w:pPr>
        <w:spacing w:after="0" w:line="74" w:lineRule="exact"/>
        <w:rPr>
          <w:sz w:val="20"/>
          <w:szCs w:val="20"/>
          <w:color w:val="auto"/>
        </w:rPr>
      </w:pPr>
    </w:p>
    <w:p>
      <w:pPr>
        <w:ind w:left="1060" w:right="1179"/>
        <w:spacing w:after="0" w:line="249" w:lineRule="auto"/>
        <w:rPr>
          <w:sz w:val="20"/>
          <w:szCs w:val="20"/>
          <w:color w:val="auto"/>
        </w:rPr>
      </w:pPr>
      <w:r>
        <w:rPr>
          <w:rFonts w:ascii="Arial" w:cs="Arial" w:eastAsia="Arial" w:hAnsi="Arial"/>
          <w:sz w:val="15"/>
          <w:szCs w:val="15"/>
          <w:b w:val="1"/>
          <w:bCs w:val="1"/>
          <w:i w:val="1"/>
          <w:iCs w:val="1"/>
          <w:color w:val="auto"/>
        </w:rPr>
        <w:t xml:space="preserve">Art. 3. Corporate Object. </w:t>
      </w:r>
      <w:r>
        <w:rPr>
          <w:rFonts w:ascii="Arial" w:cs="Arial" w:eastAsia="Arial" w:hAnsi="Arial"/>
          <w:sz w:val="15"/>
          <w:szCs w:val="15"/>
          <w:i w:val="1"/>
          <w:iCs w:val="1"/>
          <w:color w:val="auto"/>
        </w:rPr>
        <w:t>The object of the Company is the acquisition, the continuing management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and the sale of participating interests, in any form whatsoever, in Luxembourg and in foreign undertakings, in particular in the areas of outsourcings, customer relationship management and technology services in the real estate, mortgage and consumer finance industries. The Company may also hold, manage and exploit intellectual property rights and render services to other group companies and third parties.</w:t>
      </w:r>
    </w:p>
    <w:p>
      <w:pPr>
        <w:spacing w:after="0" w:line="91" w:lineRule="exact"/>
        <w:rPr>
          <w:sz w:val="20"/>
          <w:szCs w:val="20"/>
          <w:color w:val="auto"/>
        </w:rPr>
      </w:pPr>
    </w:p>
    <w:p>
      <w:pPr>
        <w:ind w:left="1060" w:right="1099"/>
        <w:spacing w:after="0" w:line="244" w:lineRule="auto"/>
        <w:rPr>
          <w:sz w:val="20"/>
          <w:szCs w:val="20"/>
          <w:color w:val="auto"/>
        </w:rPr>
      </w:pPr>
      <w:r>
        <w:rPr>
          <w:rFonts w:ascii="Arial" w:cs="Arial" w:eastAsia="Arial" w:hAnsi="Arial"/>
          <w:sz w:val="15"/>
          <w:szCs w:val="15"/>
          <w:i w:val="1"/>
          <w:iCs w:val="1"/>
          <w:color w:val="auto"/>
        </w:rPr>
        <w:t>The Company may (i) invest in and acquire, dispose of, grant or retain, loans, bonds and other debt instruments, shares, warrants and other equity instruments or rights, including</w:t>
      </w:r>
      <w:r>
        <w:rPr>
          <w:rFonts w:ascii="Arial" w:cs="Arial" w:eastAsia="Arial" w:hAnsi="Arial"/>
          <w:sz w:val="15"/>
          <w:szCs w:val="15"/>
          <w:color w:val="FF0000"/>
          <w:strike w:val="1"/>
        </w:rPr>
        <w:t>,</w:t>
      </w:r>
      <w:r>
        <w:rPr>
          <w:rFonts w:ascii="Arial" w:cs="Arial" w:eastAsia="Arial" w:hAnsi="Arial"/>
          <w:sz w:val="15"/>
          <w:szCs w:val="15"/>
          <w:i w:val="1"/>
          <w:iCs w:val="1"/>
          <w:color w:val="auto"/>
        </w:rPr>
        <w:t xml:space="preserve"> but not limited to</w:t>
      </w:r>
      <w:r>
        <w:rPr>
          <w:rFonts w:ascii="Arial" w:cs="Arial" w:eastAsia="Arial" w:hAnsi="Arial"/>
          <w:sz w:val="15"/>
          <w:szCs w:val="15"/>
          <w:color w:val="FF0000"/>
          <w:strike w:val="1"/>
        </w:rPr>
        <w:t>,</w:t>
      </w:r>
      <w:r>
        <w:rPr>
          <w:rFonts w:ascii="Arial" w:cs="Arial" w:eastAsia="Arial" w:hAnsi="Arial"/>
          <w:sz w:val="15"/>
          <w:szCs w:val="15"/>
          <w:i w:val="1"/>
          <w:iCs w:val="1"/>
          <w:color w:val="auto"/>
        </w:rPr>
        <w:t xml:space="preserve"> shares of capital stock, limited partnership interests, limited liability company interests, notes, debentures, preferred stock, convertible securities and swaps, and any combination of the foregoing, in each case whether readily marketable or not, and obligations (including but not limited to synthetic securities obligations) in any type of company, entity or other legal person; (ii) engage in such other activities as the Company deems necessary, advisable, convenient, incidental to or not inconsistent with the foregoing; and (iii) grant pledges, guarantees and contracts of indemnity, of any kind, to Luxembourg or foreign entities in respect of its own or any other person’s obligations and debts.</w:t>
      </w:r>
    </w:p>
    <w:p>
      <w:pPr>
        <w:spacing w:after="0" w:line="96" w:lineRule="exact"/>
        <w:rPr>
          <w:sz w:val="20"/>
          <w:szCs w:val="20"/>
          <w:color w:val="auto"/>
        </w:rPr>
      </w:pPr>
    </w:p>
    <w:p>
      <w:pPr>
        <w:ind w:left="1060" w:right="1179"/>
        <w:spacing w:after="0" w:line="262" w:lineRule="auto"/>
        <w:rPr>
          <w:sz w:val="20"/>
          <w:szCs w:val="20"/>
          <w:color w:val="auto"/>
        </w:rPr>
      </w:pPr>
      <w:r>
        <w:rPr>
          <w:rFonts w:ascii="Arial" w:cs="Arial" w:eastAsia="Arial" w:hAnsi="Arial"/>
          <w:sz w:val="15"/>
          <w:szCs w:val="15"/>
          <w:i w:val="1"/>
          <w:iCs w:val="1"/>
          <w:color w:val="auto"/>
        </w:rPr>
        <w:t>The Company may also acquire, hold, manage and sell any movable or immovable assets of any kind or form. In a general fashion the Company may carry out any commercial, industrial or financial operation which it may deem useful in the accomplishment and development of its object.</w:t>
      </w:r>
    </w:p>
    <w:p>
      <w:pPr>
        <w:spacing w:after="0" w:line="80" w:lineRule="exact"/>
        <w:rPr>
          <w:sz w:val="20"/>
          <w:szCs w:val="20"/>
          <w:color w:val="auto"/>
        </w:rPr>
      </w:pPr>
    </w:p>
    <w:p>
      <w:pPr>
        <w:ind w:left="1060" w:right="1099"/>
        <w:spacing w:after="0" w:line="249" w:lineRule="auto"/>
        <w:rPr>
          <w:sz w:val="20"/>
          <w:szCs w:val="20"/>
          <w:color w:val="auto"/>
        </w:rPr>
      </w:pPr>
      <w:r>
        <w:rPr>
          <w:rFonts w:ascii="Arial" w:cs="Arial" w:eastAsia="Arial" w:hAnsi="Arial"/>
          <w:sz w:val="15"/>
          <w:szCs w:val="15"/>
          <w:i w:val="1"/>
          <w:iCs w:val="1"/>
          <w:color w:val="auto"/>
        </w:rPr>
        <w:t>The Company may also provide any financial assistance to the undertakings in which the Company has a participating interest or which form a part of the group of companies to which the Company belongs, including, but not limited to, the granting of loans and the providing of guarantees or securities in any form. The Company may pledge, transfer, encumber or otherwise create security over some or all of its assets.</w:t>
      </w:r>
    </w:p>
    <w:p>
      <w:pPr>
        <w:spacing w:after="0" w:line="89" w:lineRule="exact"/>
        <w:rPr>
          <w:sz w:val="20"/>
          <w:szCs w:val="20"/>
          <w:color w:val="auto"/>
        </w:rPr>
      </w:pPr>
    </w:p>
    <w:p>
      <w:pPr>
        <w:ind w:left="1060" w:right="1139"/>
        <w:spacing w:after="0" w:line="262" w:lineRule="auto"/>
        <w:rPr>
          <w:sz w:val="20"/>
          <w:szCs w:val="20"/>
          <w:color w:val="auto"/>
        </w:rPr>
      </w:pPr>
      <w:r>
        <w:rPr>
          <w:rFonts w:ascii="Arial" w:cs="Arial" w:eastAsia="Arial" w:hAnsi="Arial"/>
          <w:sz w:val="15"/>
          <w:szCs w:val="15"/>
          <w:i w:val="1"/>
          <w:iCs w:val="1"/>
          <w:color w:val="auto"/>
        </w:rPr>
        <w:t>In addition, the Company may render on an occasional basis assistance in any form (including, but not limited to, advances, loans, credits, guarantees or grants of security) to third parties other than the group of companies to</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4" w:name="page65"/>
    <w:bookmarkEnd w:id="64"/>
    <w:p>
      <w:pPr>
        <w:ind w:left="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60" w:right="1139"/>
        <w:spacing w:after="0" w:line="260" w:lineRule="auto"/>
        <w:rPr>
          <w:sz w:val="20"/>
          <w:szCs w:val="20"/>
          <w:color w:val="auto"/>
        </w:rPr>
      </w:pPr>
      <w:r>
        <w:rPr>
          <w:rFonts w:ascii="Arial" w:cs="Arial" w:eastAsia="Arial" w:hAnsi="Arial"/>
          <w:sz w:val="15"/>
          <w:szCs w:val="15"/>
          <w:i w:val="1"/>
          <w:iCs w:val="1"/>
          <w:color w:val="auto"/>
        </w:rPr>
        <w:t>which the Company belongs, subject to the condition that such assistance falls within the Company’s best interest and subject to the condition that such assistance would not trigger any license requirements on the part of the Company. The Company may participate in the creation, development, management and control of any companies or enterprises, either directly or indirectly, which have similar objects or whose objects are closely related to its own.</w:t>
      </w:r>
    </w:p>
    <w:p>
      <w:pPr>
        <w:spacing w:after="0" w:line="95" w:lineRule="exact"/>
        <w:rPr>
          <w:sz w:val="20"/>
          <w:szCs w:val="20"/>
          <w:color w:val="auto"/>
        </w:rPr>
      </w:pPr>
    </w:p>
    <w:p>
      <w:pPr>
        <w:jc w:val="both"/>
        <w:ind w:left="1060" w:right="1119"/>
        <w:spacing w:after="0" w:line="269" w:lineRule="auto"/>
        <w:rPr>
          <w:sz w:val="20"/>
          <w:szCs w:val="20"/>
          <w:color w:val="auto"/>
        </w:rPr>
      </w:pPr>
      <w:r>
        <w:rPr>
          <w:rFonts w:ascii="Arial" w:cs="Arial" w:eastAsia="Arial" w:hAnsi="Arial"/>
          <w:sz w:val="15"/>
          <w:szCs w:val="15"/>
          <w:i w:val="1"/>
          <w:iCs w:val="1"/>
          <w:color w:val="auto"/>
        </w:rPr>
        <w:t>In a general fashion, the Company may carry out any commercial, industrial or financial operation and engage in such other activities as the Company deems necessary, advisable, convenient, incidental to, or not inconsistent with, the accomplishment and development of the foregoing.</w:t>
      </w:r>
    </w:p>
    <w:p>
      <w:pPr>
        <w:spacing w:after="0" w:line="87"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Art. 4. Duration</w:t>
      </w:r>
      <w:r>
        <w:rPr>
          <w:rFonts w:ascii="Arial" w:cs="Arial" w:eastAsia="Arial" w:hAnsi="Arial"/>
          <w:sz w:val="15"/>
          <w:szCs w:val="15"/>
          <w:i w:val="1"/>
          <w:iCs w:val="1"/>
          <w:color w:val="auto"/>
        </w:rPr>
        <w:t>. The Company is formed for an unlimited duration.</w:t>
      </w:r>
    </w:p>
    <w:p>
      <w:pPr>
        <w:spacing w:after="0" w:line="122" w:lineRule="exact"/>
        <w:rPr>
          <w:sz w:val="20"/>
          <w:szCs w:val="20"/>
          <w:color w:val="auto"/>
        </w:rPr>
      </w:pPr>
    </w:p>
    <w:p>
      <w:pPr>
        <w:ind w:left="3340"/>
        <w:spacing w:after="0"/>
        <w:rPr>
          <w:sz w:val="20"/>
          <w:szCs w:val="20"/>
          <w:color w:val="auto"/>
        </w:rPr>
      </w:pPr>
      <w:r>
        <w:rPr>
          <w:rFonts w:ascii="Arial" w:cs="Arial" w:eastAsia="Arial" w:hAnsi="Arial"/>
          <w:sz w:val="15"/>
          <w:szCs w:val="15"/>
          <w:b w:val="1"/>
          <w:bCs w:val="1"/>
          <w:i w:val="1"/>
          <w:iCs w:val="1"/>
          <w:color w:val="auto"/>
        </w:rPr>
        <w:t>Chapter II. Share Capital, Shares</w:t>
      </w:r>
    </w:p>
    <w:p>
      <w:pPr>
        <w:spacing w:after="0" w:line="133" w:lineRule="exact"/>
        <w:rPr>
          <w:sz w:val="20"/>
          <w:szCs w:val="20"/>
          <w:color w:val="auto"/>
        </w:rPr>
      </w:pPr>
    </w:p>
    <w:p>
      <w:pPr>
        <w:ind w:left="1060" w:right="1119"/>
        <w:spacing w:after="0" w:line="259" w:lineRule="auto"/>
        <w:rPr>
          <w:sz w:val="20"/>
          <w:szCs w:val="20"/>
          <w:color w:val="auto"/>
        </w:rPr>
      </w:pPr>
      <w:r>
        <w:rPr>
          <w:rFonts w:ascii="Arial" w:cs="Arial" w:eastAsia="Arial" w:hAnsi="Arial"/>
          <w:sz w:val="15"/>
          <w:szCs w:val="15"/>
          <w:b w:val="1"/>
          <w:bCs w:val="1"/>
          <w:i w:val="1"/>
          <w:iCs w:val="1"/>
          <w:color w:val="auto"/>
        </w:rPr>
        <w:t xml:space="preserve">Art. 5. Share Capital. </w:t>
      </w:r>
      <w:r>
        <w:rPr>
          <w:rFonts w:ascii="Arial" w:cs="Arial" w:eastAsia="Arial" w:hAnsi="Arial"/>
          <w:sz w:val="15"/>
          <w:szCs w:val="15"/>
          <w:i w:val="1"/>
          <w:iCs w:val="1"/>
          <w:color w:val="auto"/>
        </w:rPr>
        <w:t>The share capital of the Company is set 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FF0000"/>
          <w:strike w:val="1"/>
        </w:rPr>
        <w:t>eight</w:t>
      </w:r>
      <w:r>
        <w:rPr>
          <w:rFonts w:ascii="Arial" w:cs="Arial" w:eastAsia="Arial" w:hAnsi="Arial"/>
          <w:sz w:val="15"/>
          <w:szCs w:val="15"/>
          <w:i w:val="1"/>
          <w:iCs w:val="1"/>
          <w:u w:val="single" w:color="auto"/>
          <w:color w:val="0000FF"/>
        </w:rPr>
        <w:t>one hundred eleven thousand</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u w:val="single" w:color="auto"/>
          <w:color w:val="0000FF"/>
        </w:rPr>
        <w:t>one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hundred and eighty-nine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FF0000"/>
          <w:strike w:val="1"/>
        </w:rPr>
        <w:t>thousand five hundred and nineteen</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United States Dollars and</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FF0000"/>
          <w:strike w:val="1"/>
        </w:rPr>
        <w:t>twenty-five</w:t>
      </w:r>
      <w:r>
        <w:rPr>
          <w:rFonts w:ascii="Arial" w:cs="Arial" w:eastAsia="Arial" w:hAnsi="Arial"/>
          <w:sz w:val="15"/>
          <w:szCs w:val="15"/>
          <w:i w:val="1"/>
          <w:iCs w:val="1"/>
          <w:u w:val="single" w:color="auto"/>
          <w:color w:val="0000FF"/>
        </w:rPr>
        <w:t>ninety</w:t>
      </w:r>
      <w:r>
        <w:rPr>
          <w:rFonts w:ascii="Arial" w:cs="Arial" w:eastAsia="Arial" w:hAnsi="Arial"/>
          <w:sz w:val="15"/>
          <w:szCs w:val="15"/>
          <w:i w:val="1"/>
          <w:iCs w:val="1"/>
          <w:color w:val="FF0000"/>
        </w:rPr>
        <w:t xml:space="preserve"> </w:t>
      </w:r>
      <w:r>
        <w:rPr>
          <w:rFonts w:ascii="Arial" w:cs="Arial" w:eastAsia="Arial" w:hAnsi="Arial"/>
          <w:sz w:val="15"/>
          <w:szCs w:val="15"/>
          <w:i w:val="1"/>
          <w:iCs w:val="1"/>
          <w:color w:val="000000"/>
        </w:rPr>
        <w:t>cents (USD</w:t>
      </w:r>
      <w:r>
        <w:rPr>
          <w:rFonts w:ascii="Arial" w:cs="Arial" w:eastAsia="Arial" w:hAnsi="Arial"/>
          <w:sz w:val="15"/>
          <w:szCs w:val="15"/>
          <w:i w:val="1"/>
          <w:iCs w:val="1"/>
          <w:color w:val="FF0000"/>
        </w:rPr>
        <w:t xml:space="preserve"> </w:t>
      </w:r>
      <w:r>
        <w:rPr>
          <w:rFonts w:ascii="Arial" w:cs="Arial" w:eastAsia="Arial" w:hAnsi="Arial"/>
          <w:sz w:val="15"/>
          <w:szCs w:val="15"/>
          <w:color w:val="FF0000"/>
          <w:strike w:val="1"/>
        </w:rPr>
        <w:t>889,519.25 )</w:t>
      </w:r>
      <w:r>
        <w:rPr>
          <w:rFonts w:ascii="Arial" w:cs="Arial" w:eastAsia="Arial" w:hAnsi="Arial"/>
          <w:sz w:val="15"/>
          <w:szCs w:val="15"/>
          <w:i w:val="1"/>
          <w:iCs w:val="1"/>
          <w:u w:val="single" w:color="auto"/>
          <w:color w:val="0000FF"/>
        </w:rPr>
        <w:t>111,189.90),</w:t>
      </w:r>
      <w:r>
        <w:rPr>
          <w:rFonts w:ascii="Arial" w:cs="Arial" w:eastAsia="Arial" w:hAnsi="Arial"/>
          <w:sz w:val="15"/>
          <w:szCs w:val="15"/>
          <w:i w:val="1"/>
          <w:iCs w:val="1"/>
          <w:color w:val="FF0000"/>
        </w:rPr>
        <w:t xml:space="preserve"> </w:t>
      </w:r>
      <w:r>
        <w:rPr>
          <w:rFonts w:ascii="Arial" w:cs="Arial" w:eastAsia="Arial" w:hAnsi="Arial"/>
          <w:sz w:val="15"/>
          <w:szCs w:val="15"/>
          <w:i w:val="1"/>
          <w:iCs w:val="1"/>
          <w:color w:val="000000"/>
        </w:rPr>
        <w:t>represented by</w:t>
      </w:r>
      <w:r>
        <w:rPr>
          <w:rFonts w:ascii="Arial" w:cs="Arial" w:eastAsia="Arial" w:hAnsi="Arial"/>
          <w:sz w:val="15"/>
          <w:szCs w:val="15"/>
          <w:i w:val="1"/>
          <w:iCs w:val="1"/>
          <w:color w:val="FF0000"/>
        </w:rPr>
        <w:t xml:space="preserve"> </w:t>
      </w:r>
      <w:r>
        <w:rPr>
          <w:rFonts w:ascii="Arial" w:cs="Arial" w:eastAsia="Arial" w:hAnsi="Arial"/>
          <w:sz w:val="15"/>
          <w:szCs w:val="15"/>
          <w:color w:val="FF0000"/>
          <w:strike w:val="1"/>
        </w:rPr>
        <w:t>eighty-eight</w:t>
      </w:r>
      <w:r>
        <w:rPr>
          <w:rFonts w:ascii="Arial" w:cs="Arial" w:eastAsia="Arial" w:hAnsi="Arial"/>
          <w:sz w:val="15"/>
          <w:szCs w:val="15"/>
          <w:i w:val="1"/>
          <w:iCs w:val="1"/>
          <w:u w:val="single" w:color="auto"/>
          <w:color w:val="0000FF"/>
        </w:rPr>
        <w:t>eleven</w:t>
      </w:r>
      <w:r>
        <w:rPr>
          <w:rFonts w:ascii="Arial" w:cs="Arial" w:eastAsia="Arial" w:hAnsi="Arial"/>
          <w:sz w:val="15"/>
          <w:szCs w:val="15"/>
          <w:i w:val="1"/>
          <w:iCs w:val="1"/>
          <w:color w:val="FF0000"/>
        </w:rPr>
        <w:t xml:space="preserve"> </w:t>
      </w:r>
      <w:r>
        <w:rPr>
          <w:rFonts w:ascii="Arial" w:cs="Arial" w:eastAsia="Arial" w:hAnsi="Arial"/>
          <w:sz w:val="15"/>
          <w:szCs w:val="15"/>
          <w:i w:val="1"/>
          <w:iCs w:val="1"/>
          <w:color w:val="000000"/>
        </w:rPr>
        <w:t>million</w:t>
      </w:r>
      <w:r>
        <w:rPr>
          <w:rFonts w:ascii="Arial" w:cs="Arial" w:eastAsia="Arial" w:hAnsi="Arial"/>
          <w:sz w:val="15"/>
          <w:szCs w:val="15"/>
          <w:i w:val="1"/>
          <w:iCs w:val="1"/>
          <w:color w:val="FF0000"/>
        </w:rPr>
        <w:t xml:space="preserve"> </w:t>
      </w:r>
      <w:r>
        <w:rPr>
          <w:rFonts w:ascii="Arial" w:cs="Arial" w:eastAsia="Arial" w:hAnsi="Arial"/>
          <w:sz w:val="15"/>
          <w:szCs w:val="15"/>
          <w:color w:val="FF0000"/>
          <w:strike w:val="1"/>
        </w:rPr>
        <w:t>nine</w:t>
      </w:r>
      <w:r>
        <w:rPr>
          <w:rFonts w:ascii="Arial" w:cs="Arial" w:eastAsia="Arial" w:hAnsi="Arial"/>
          <w:sz w:val="15"/>
          <w:szCs w:val="15"/>
          <w:i w:val="1"/>
          <w:iCs w:val="1"/>
          <w:u w:val="single" w:color="auto"/>
          <w:color w:val="0000FF"/>
        </w:rPr>
        <w:t>one</w:t>
      </w:r>
      <w:r>
        <w:rPr>
          <w:rFonts w:ascii="Arial" w:cs="Arial" w:eastAsia="Arial" w:hAnsi="Arial"/>
          <w:sz w:val="15"/>
          <w:szCs w:val="15"/>
          <w:i w:val="1"/>
          <w:iCs w:val="1"/>
          <w:color w:val="FF0000"/>
        </w:rPr>
        <w:t xml:space="preserve"> </w:t>
      </w:r>
      <w:r>
        <w:rPr>
          <w:rFonts w:ascii="Arial" w:cs="Arial" w:eastAsia="Arial" w:hAnsi="Arial"/>
          <w:sz w:val="15"/>
          <w:szCs w:val="15"/>
          <w:i w:val="1"/>
          <w:iCs w:val="1"/>
          <w:color w:val="000000"/>
        </w:rPr>
        <w:t xml:space="preserve">hundred and </w:t>
      </w:r>
      <w:r>
        <w:rPr>
          <w:rFonts w:ascii="Arial" w:cs="Arial" w:eastAsia="Arial" w:hAnsi="Arial"/>
          <w:sz w:val="15"/>
          <w:szCs w:val="15"/>
          <w:color w:val="FF0000"/>
          <w:strike w:val="1"/>
        </w:rPr>
        <w:t>fifty-one</w:t>
      </w:r>
      <w:r>
        <w:rPr>
          <w:rFonts w:ascii="Arial" w:cs="Arial" w:eastAsia="Arial" w:hAnsi="Arial"/>
          <w:sz w:val="15"/>
          <w:szCs w:val="15"/>
          <w:i w:val="1"/>
          <w:iCs w:val="1"/>
          <w:u w:val="single" w:color="auto"/>
          <w:color w:val="0000FF"/>
        </w:rPr>
        <w:t>eighteen</w:t>
      </w:r>
      <w:r>
        <w:rPr>
          <w:rFonts w:ascii="Arial" w:cs="Arial" w:eastAsia="Arial" w:hAnsi="Arial"/>
          <w:sz w:val="15"/>
          <w:szCs w:val="15"/>
          <w:i w:val="1"/>
          <w:iCs w:val="1"/>
          <w:color w:val="000000"/>
        </w:rPr>
        <w:t xml:space="preserve"> thousand nine hundred and </w:t>
      </w:r>
      <w:r>
        <w:rPr>
          <w:rFonts w:ascii="Arial" w:cs="Arial" w:eastAsia="Arial" w:hAnsi="Arial"/>
          <w:sz w:val="15"/>
          <w:szCs w:val="15"/>
          <w:color w:val="FF0000"/>
          <w:strike w:val="1"/>
        </w:rPr>
        <w:t>twenty-five (88,951,925</w:t>
      </w:r>
      <w:r>
        <w:rPr>
          <w:rFonts w:ascii="Arial" w:cs="Arial" w:eastAsia="Arial" w:hAnsi="Arial"/>
          <w:sz w:val="15"/>
          <w:szCs w:val="15"/>
          <w:i w:val="1"/>
          <w:iCs w:val="1"/>
          <w:u w:val="single" w:color="auto"/>
          <w:color w:val="0000FF"/>
        </w:rPr>
        <w:t>ninety</w:t>
      </w:r>
      <w:r>
        <w:rPr>
          <w:rFonts w:ascii="Arial" w:cs="Arial" w:eastAsia="Arial" w:hAnsi="Arial"/>
          <w:sz w:val="15"/>
          <w:szCs w:val="15"/>
          <w:i w:val="1"/>
          <w:iCs w:val="1"/>
          <w:color w:val="000000"/>
        </w:rPr>
        <w:t xml:space="preserve"> </w:t>
      </w:r>
      <w:r>
        <w:rPr>
          <w:rFonts w:ascii="Arial" w:cs="Arial" w:eastAsia="Arial" w:hAnsi="Arial"/>
          <w:sz w:val="15"/>
          <w:szCs w:val="15"/>
          <w:i w:val="1"/>
          <w:iCs w:val="1"/>
          <w:u w:val="single" w:color="auto"/>
          <w:color w:val="0000FF"/>
        </w:rPr>
        <w:t>(11,118,990</w:t>
      </w:r>
      <w:r>
        <w:rPr>
          <w:rFonts w:ascii="Arial" w:cs="Arial" w:eastAsia="Arial" w:hAnsi="Arial"/>
          <w:sz w:val="15"/>
          <w:szCs w:val="15"/>
          <w:i w:val="1"/>
          <w:iCs w:val="1"/>
          <w:color w:val="000000"/>
        </w:rPr>
        <w:t>) shares of the Company’s common stock without designation of nominal value. As used in</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 xml:space="preserve">the present Articles, </w:t>
      </w:r>
      <w:r>
        <w:rPr>
          <w:rFonts w:ascii="Arial" w:cs="Arial" w:eastAsia="Arial" w:hAnsi="Arial"/>
          <w:sz w:val="15"/>
          <w:szCs w:val="15"/>
          <w:color w:val="FF0000"/>
          <w:strike w:val="1"/>
        </w:rPr>
        <w:t>“</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000000"/>
        </w:rPr>
        <w:t>Shares</w:t>
      </w:r>
      <w:r>
        <w:rPr>
          <w:rFonts w:ascii="Arial" w:cs="Arial" w:eastAsia="Arial" w:hAnsi="Arial"/>
          <w:sz w:val="15"/>
          <w:szCs w:val="15"/>
          <w:color w:val="FF0000"/>
          <w:strike w:val="1"/>
        </w:rPr>
        <w:t>”</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000000"/>
        </w:rPr>
        <w:t xml:space="preserve"> means shares of the Company’s common stock without nominal value.</w:t>
      </w:r>
    </w:p>
    <w:p>
      <w:pPr>
        <w:spacing w:after="0" w:line="94" w:lineRule="exact"/>
        <w:rPr>
          <w:sz w:val="20"/>
          <w:szCs w:val="20"/>
          <w:color w:val="auto"/>
        </w:rPr>
      </w:pPr>
    </w:p>
    <w:p>
      <w:pPr>
        <w:ind w:left="1060" w:right="1119"/>
        <w:spacing w:after="0" w:line="259" w:lineRule="auto"/>
        <w:rPr>
          <w:sz w:val="20"/>
          <w:szCs w:val="20"/>
          <w:color w:val="auto"/>
        </w:rPr>
      </w:pPr>
      <w:r>
        <w:rPr>
          <w:rFonts w:ascii="Arial" w:cs="Arial" w:eastAsia="Arial" w:hAnsi="Arial"/>
          <w:sz w:val="15"/>
          <w:szCs w:val="15"/>
          <w:i w:val="1"/>
          <w:iCs w:val="1"/>
          <w:color w:val="auto"/>
        </w:rPr>
        <w:t>In addition to the share capital, share premium accounts into which any premium paid on any Share in addition to its par value may be transferred and capital contribution accounts (compte 115</w:t>
      </w:r>
      <w:r>
        <w:rPr>
          <w:rFonts w:ascii="Arial" w:cs="Arial" w:eastAsia="Arial" w:hAnsi="Arial"/>
          <w:sz w:val="15"/>
          <w:szCs w:val="15"/>
          <w:color w:val="FF0000"/>
          <w:strike w:val="1"/>
        </w:rPr>
        <w:t>, “</w:t>
      </w:r>
      <w:r>
        <w:rPr>
          <w:rFonts w:ascii="Arial" w:cs="Arial" w:eastAsia="Arial" w:hAnsi="Arial"/>
          <w:sz w:val="15"/>
          <w:szCs w:val="15"/>
          <w:i w:val="1"/>
          <w:iCs w:val="1"/>
          <w:color w:val="auto"/>
        </w:rPr>
        <w:t xml:space="preserve"> </w:t>
      </w:r>
      <w:r>
        <w:rPr>
          <w:rFonts w:ascii="Arial" w:cs="Arial" w:eastAsia="Arial" w:hAnsi="Arial"/>
          <w:sz w:val="15"/>
          <w:szCs w:val="15"/>
          <w:i w:val="1"/>
          <w:iCs w:val="1"/>
          <w:color w:val="0000FF"/>
        </w:rPr>
        <w:t>“</w:t>
      </w:r>
      <w:r>
        <w:rPr>
          <w:rFonts w:ascii="Arial" w:cs="Arial" w:eastAsia="Arial" w:hAnsi="Arial"/>
          <w:sz w:val="15"/>
          <w:szCs w:val="15"/>
          <w:i w:val="1"/>
          <w:iCs w:val="1"/>
          <w:color w:val="auto"/>
        </w:rPr>
        <w:t>Apport en capitaux propres non rémunéré par des titres</w:t>
      </w:r>
      <w:r>
        <w:rPr>
          <w:rFonts w:ascii="Arial" w:cs="Arial" w:eastAsia="Arial" w:hAnsi="Arial"/>
          <w:sz w:val="15"/>
          <w:szCs w:val="15"/>
          <w:color w:val="FF0000"/>
          <w:strike w:val="1"/>
        </w:rPr>
        <w:t>”)</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auto"/>
        </w:rPr>
        <w:t xml:space="preserve"> may be established. The Board of Directors is authorized to allocate all or part of the share premium accounts and capital contribution accounts paid in on the Shares issued by the Company to one or both of the following from time to time as it deems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-490855</wp:posOffset>
            </wp:positionV>
            <wp:extent cx="5842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8420" cy="6985"/>
                    </a:xfrm>
                    <a:prstGeom prst="rect">
                      <a:avLst/>
                    </a:prstGeom>
                    <a:noFill/>
                  </pic:spPr>
                </pic:pic>
              </a:graphicData>
            </a:graphic>
          </wp:anchor>
        </w:drawing>
      </w:r>
    </w:p>
    <w:p>
      <w:pPr>
        <w:spacing w:after="0" w:line="40" w:lineRule="exact"/>
        <w:rPr>
          <w:sz w:val="20"/>
          <w:szCs w:val="20"/>
          <w:color w:val="auto"/>
        </w:rPr>
      </w:pPr>
    </w:p>
    <w:p>
      <w:pPr>
        <w:ind w:left="1520" w:hanging="153"/>
        <w:spacing w:after="0"/>
        <w:tabs>
          <w:tab w:leader="none" w:pos="1520" w:val="left"/>
        </w:tabs>
        <w:numPr>
          <w:ilvl w:val="0"/>
          <w:numId w:val="53"/>
        </w:numPr>
        <w:rPr>
          <w:rFonts w:ascii="Arial" w:cs="Arial" w:eastAsia="Arial" w:hAnsi="Arial"/>
          <w:sz w:val="15"/>
          <w:szCs w:val="15"/>
          <w:color w:val="auto"/>
        </w:rPr>
      </w:pPr>
      <w:r>
        <w:rPr>
          <w:rFonts w:ascii="Arial" w:cs="Arial" w:eastAsia="Arial" w:hAnsi="Arial"/>
          <w:sz w:val="15"/>
          <w:szCs w:val="15"/>
          <w:i w:val="1"/>
          <w:iCs w:val="1"/>
          <w:color w:val="auto"/>
        </w:rPr>
        <w:t>a distributable reserve to be used for distributions of any kind to be made by the Company;</w:t>
      </w:r>
    </w:p>
    <w:p>
      <w:pPr>
        <w:spacing w:after="0" w:line="99" w:lineRule="exact"/>
        <w:rPr>
          <w:rFonts w:ascii="Arial" w:cs="Arial" w:eastAsia="Arial" w:hAnsi="Arial"/>
          <w:sz w:val="15"/>
          <w:szCs w:val="15"/>
          <w:color w:val="auto"/>
        </w:rPr>
      </w:pPr>
    </w:p>
    <w:p>
      <w:pPr>
        <w:ind w:left="1520" w:hanging="153"/>
        <w:spacing w:after="0"/>
        <w:tabs>
          <w:tab w:leader="none" w:pos="1520" w:val="left"/>
        </w:tabs>
        <w:numPr>
          <w:ilvl w:val="0"/>
          <w:numId w:val="53"/>
        </w:numPr>
        <w:rPr>
          <w:rFonts w:ascii="Arial" w:cs="Arial" w:eastAsia="Arial" w:hAnsi="Arial"/>
          <w:sz w:val="15"/>
          <w:szCs w:val="15"/>
          <w:color w:val="auto"/>
        </w:rPr>
      </w:pPr>
      <w:r>
        <w:rPr>
          <w:rFonts w:ascii="Arial" w:cs="Arial" w:eastAsia="Arial" w:hAnsi="Arial"/>
          <w:sz w:val="15"/>
          <w:szCs w:val="15"/>
          <w:i w:val="1"/>
          <w:iCs w:val="1"/>
          <w:color w:val="auto"/>
        </w:rPr>
        <w:t>a special reserve as foreseen by Articles 430-18, 430-22 and 461-2 of the Law.</w:t>
      </w:r>
    </w:p>
    <w:p>
      <w:pPr>
        <w:spacing w:after="0" w:line="133" w:lineRule="exact"/>
        <w:rPr>
          <w:sz w:val="20"/>
          <w:szCs w:val="20"/>
          <w:color w:val="auto"/>
        </w:rPr>
      </w:pPr>
    </w:p>
    <w:p>
      <w:pPr>
        <w:ind w:left="1060" w:right="1079"/>
        <w:spacing w:after="0" w:line="257" w:lineRule="auto"/>
        <w:rPr>
          <w:sz w:val="20"/>
          <w:szCs w:val="20"/>
          <w:color w:val="auto"/>
        </w:rPr>
      </w:pPr>
      <w:r>
        <w:rPr>
          <w:rFonts w:ascii="Arial" w:cs="Arial" w:eastAsia="Arial" w:hAnsi="Arial"/>
          <w:sz w:val="15"/>
          <w:szCs w:val="15"/>
          <w:b w:val="1"/>
          <w:bCs w:val="1"/>
          <w:i w:val="1"/>
          <w:iCs w:val="1"/>
          <w:color w:val="auto"/>
        </w:rPr>
        <w:t xml:space="preserve">Art. 6. Authorized Share Capital. </w:t>
      </w:r>
      <w:r>
        <w:rPr>
          <w:rFonts w:ascii="Arial" w:cs="Arial" w:eastAsia="Arial" w:hAnsi="Arial"/>
          <w:sz w:val="15"/>
          <w:szCs w:val="15"/>
          <w:i w:val="1"/>
          <w:iCs w:val="1"/>
          <w:color w:val="auto"/>
        </w:rPr>
        <w:t>The authorized share capital is set at one million nine hundred and</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eighteen thousand three hundred and twenty-nine United States Dollars and eighty-two cents (USD 1,918,329.82) divided into one hundred and ninety-one million eight hundred and thirty-two thousand nine hundred and eighty-two (191,832,982) shares of the Company’s common stock without nominal value. The Board of Directors is authorized, during a period ending five (5) years after the date of publication of the minute of the extraordinary general meeting of 18 February 2025 in the electronic gazette RESA (Recueil Electronique des Sociétés et Associations) to:</w:t>
      </w:r>
    </w:p>
    <w:p>
      <w:pPr>
        <w:spacing w:after="0" w:line="65" w:lineRule="exact"/>
        <w:rPr>
          <w:sz w:val="20"/>
          <w:szCs w:val="20"/>
          <w:color w:val="auto"/>
        </w:rPr>
      </w:pPr>
    </w:p>
    <w:p>
      <w:pPr>
        <w:ind w:left="1520" w:right="1159" w:hanging="153"/>
        <w:spacing w:after="0" w:line="257" w:lineRule="auto"/>
        <w:tabs>
          <w:tab w:leader="none" w:pos="1520" w:val="left"/>
        </w:tabs>
        <w:numPr>
          <w:ilvl w:val="0"/>
          <w:numId w:val="54"/>
        </w:numPr>
        <w:rPr>
          <w:rFonts w:ascii="Arial" w:cs="Arial" w:eastAsia="Arial" w:hAnsi="Arial"/>
          <w:sz w:val="15"/>
          <w:szCs w:val="15"/>
          <w:color w:val="auto"/>
        </w:rPr>
      </w:pPr>
      <w:r>
        <w:rPr>
          <w:rFonts w:ascii="Arial" w:cs="Arial" w:eastAsia="Arial" w:hAnsi="Arial"/>
          <w:sz w:val="15"/>
          <w:szCs w:val="15"/>
          <w:i w:val="1"/>
          <w:iCs w:val="1"/>
          <w:color w:val="auto"/>
        </w:rPr>
        <w:t>Realize any increase of the issued share capital within the limits of the authorized share capital in one or several times, by the issuing of new Shares, grant of options, warrants or other similar instruments exercisable into Shares, rights to subscribe for Shares against payment in cash or in kind; by conversion of claims; by the increase of the par value of existing Shares; or in any other manner to be decided by the Board of Directors up to an amount of one million nine hundred and eighteen thousand three hundred and twenty-nine United States Dollars and eighty-two cents (USD 1,918,329.82).</w:t>
      </w:r>
    </w:p>
    <w:p>
      <w:pPr>
        <w:spacing w:after="0" w:line="75" w:lineRule="exact"/>
        <w:rPr>
          <w:rFonts w:ascii="Arial" w:cs="Arial" w:eastAsia="Arial" w:hAnsi="Arial"/>
          <w:sz w:val="15"/>
          <w:szCs w:val="15"/>
          <w:color w:val="auto"/>
        </w:rPr>
      </w:pPr>
    </w:p>
    <w:p>
      <w:pPr>
        <w:ind w:left="1520" w:right="1559" w:hanging="153"/>
        <w:spacing w:after="0" w:line="288" w:lineRule="auto"/>
        <w:tabs>
          <w:tab w:leader="none" w:pos="1520" w:val="left"/>
        </w:tabs>
        <w:numPr>
          <w:ilvl w:val="0"/>
          <w:numId w:val="54"/>
        </w:numPr>
        <w:rPr>
          <w:rFonts w:ascii="Arial" w:cs="Arial" w:eastAsia="Arial" w:hAnsi="Arial"/>
          <w:sz w:val="15"/>
          <w:szCs w:val="15"/>
          <w:color w:val="auto"/>
        </w:rPr>
      </w:pPr>
      <w:r>
        <w:rPr>
          <w:rFonts w:ascii="Arial" w:cs="Arial" w:eastAsia="Arial" w:hAnsi="Arial"/>
          <w:sz w:val="15"/>
          <w:szCs w:val="15"/>
          <w:i w:val="1"/>
          <w:iCs w:val="1"/>
          <w:color w:val="auto"/>
        </w:rPr>
        <w:t>Issue any warrants, options, or other similar instruments exercisable into shares, rights to subscribe for shares and set the terms and conditions of these instruments.</w:t>
      </w:r>
    </w:p>
    <w:p>
      <w:pPr>
        <w:spacing w:after="0" w:line="38" w:lineRule="exact"/>
        <w:rPr>
          <w:rFonts w:ascii="Arial" w:cs="Arial" w:eastAsia="Arial" w:hAnsi="Arial"/>
          <w:sz w:val="15"/>
          <w:szCs w:val="15"/>
          <w:color w:val="auto"/>
        </w:rPr>
      </w:pPr>
    </w:p>
    <w:p>
      <w:pPr>
        <w:ind w:left="1520" w:right="1119" w:hanging="153"/>
        <w:spacing w:after="0" w:line="256" w:lineRule="auto"/>
        <w:tabs>
          <w:tab w:leader="none" w:pos="1520" w:val="left"/>
        </w:tabs>
        <w:numPr>
          <w:ilvl w:val="0"/>
          <w:numId w:val="54"/>
        </w:numPr>
        <w:rPr>
          <w:rFonts w:ascii="Arial" w:cs="Arial" w:eastAsia="Arial" w:hAnsi="Arial"/>
          <w:sz w:val="15"/>
          <w:szCs w:val="15"/>
          <w:color w:val="auto"/>
        </w:rPr>
      </w:pPr>
      <w:r>
        <w:rPr>
          <w:rFonts w:ascii="Arial" w:cs="Arial" w:eastAsia="Arial" w:hAnsi="Arial"/>
          <w:sz w:val="15"/>
          <w:szCs w:val="15"/>
          <w:i w:val="1"/>
          <w:iCs w:val="1"/>
          <w:color w:val="auto"/>
        </w:rPr>
        <w:t>Determine the terms and conditions of any increase of the issued share capital, including, but not limited to, the place and date of the issue or the successive issues, the issue price, the amount of new Shares to be issued, whether the new Shares are to be issued and subscribed, with or without an issue premium and the terms and conditions of the subscription of and paying up of the new Shares (in cash or in kind or by incorporation of available reserves or funds available on the capital contribution account (compte 115 “Apport en capitaux propres non rémunéré par des titres”), share premium account or retained earnings). If the consideration payable to the Company for newly issued Shares exceeds the par value of those Shares, the excess is to be treated as share premium in respect of the Shares in the books of the Company.</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5" w:name="page66"/>
    <w:bookmarkEnd w:id="65"/>
    <w:p>
      <w:pPr>
        <w:ind w:left="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right="1139" w:hanging="153"/>
        <w:spacing w:after="0" w:line="260" w:lineRule="auto"/>
        <w:tabs>
          <w:tab w:leader="none" w:pos="1520"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Limit or waive the preferential subscription right reserved to the then existing shareholder(s) in case of issue of Shares against payment in cash, by the issue of Shares up to an amount not to exceed the authorized share capital and by cancelling or limiting the existing shareholders’ preferential right to subscribe to such Shares in relation to the employee share option scheme program of the Company.</w:t>
      </w:r>
    </w:p>
    <w:p>
      <w:pPr>
        <w:spacing w:after="0" w:line="72" w:lineRule="exact"/>
        <w:rPr>
          <w:rFonts w:ascii="Arial" w:cs="Arial" w:eastAsia="Arial" w:hAnsi="Arial"/>
          <w:sz w:val="15"/>
          <w:szCs w:val="15"/>
          <w:color w:val="auto"/>
        </w:rPr>
      </w:pPr>
    </w:p>
    <w:p>
      <w:pPr>
        <w:ind w:left="1520" w:right="1079" w:hanging="153"/>
        <w:spacing w:after="0" w:line="256" w:lineRule="auto"/>
        <w:tabs>
          <w:tab w:leader="none" w:pos="1520"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Do all things necessary to amend Articles 5 and 6 of the Articles in order to record the change of the issued share capital following any increase pursuant to the present Article. The Board of Directors is empowered to take or authorize the actions required for the execution and publication of such amendment in accordance with the Law. Furthermore, the Board of Directors may delegate to any duly authorized Director (as defined in Article 11) or officer of the Company, to an appointed committee thereof or to any other duly authorized person, the duties of accepting subscriptions and receiving payment for Shares or doing all things necessary to amend Articles 5 and 6 of the present Articles in order to record the change of share capital following any increase pursuant to the present Article.</w:t>
      </w:r>
    </w:p>
    <w:p>
      <w:pPr>
        <w:spacing w:after="0" w:line="98" w:lineRule="exact"/>
        <w:rPr>
          <w:sz w:val="20"/>
          <w:szCs w:val="20"/>
          <w:color w:val="auto"/>
        </w:rPr>
      </w:pPr>
    </w:p>
    <w:p>
      <w:pPr>
        <w:ind w:left="1060" w:right="1139"/>
        <w:spacing w:after="0" w:line="288" w:lineRule="auto"/>
        <w:rPr>
          <w:sz w:val="20"/>
          <w:szCs w:val="20"/>
          <w:color w:val="auto"/>
        </w:rPr>
      </w:pPr>
      <w:r>
        <w:rPr>
          <w:rFonts w:ascii="Arial" w:cs="Arial" w:eastAsia="Arial" w:hAnsi="Arial"/>
          <w:sz w:val="15"/>
          <w:szCs w:val="15"/>
          <w:i w:val="1"/>
          <w:iCs w:val="1"/>
          <w:color w:val="auto"/>
        </w:rPr>
        <w:t>After each increase of the issued share capital according to the above, the present Articles shall be amended to reflect such increase without requiring further approval from the Company’s shareholders.</w:t>
      </w:r>
    </w:p>
    <w:p>
      <w:pPr>
        <w:spacing w:after="0" w:line="61" w:lineRule="exact"/>
        <w:rPr>
          <w:sz w:val="20"/>
          <w:szCs w:val="20"/>
          <w:color w:val="auto"/>
        </w:rPr>
      </w:pPr>
    </w:p>
    <w:p>
      <w:pPr>
        <w:ind w:left="1060" w:right="1259"/>
        <w:spacing w:after="0" w:line="288" w:lineRule="auto"/>
        <w:rPr>
          <w:sz w:val="20"/>
          <w:szCs w:val="20"/>
          <w:color w:val="auto"/>
        </w:rPr>
      </w:pPr>
      <w:r>
        <w:rPr>
          <w:rFonts w:ascii="Arial" w:cs="Arial" w:eastAsia="Arial" w:hAnsi="Arial"/>
          <w:sz w:val="15"/>
          <w:szCs w:val="15"/>
          <w:b w:val="1"/>
          <w:bCs w:val="1"/>
          <w:i w:val="1"/>
          <w:iCs w:val="1"/>
          <w:color w:val="auto"/>
        </w:rPr>
        <w:t xml:space="preserve">Art. 7. Shares. </w:t>
      </w:r>
      <w:r>
        <w:rPr>
          <w:rFonts w:ascii="Arial" w:cs="Arial" w:eastAsia="Arial" w:hAnsi="Arial"/>
          <w:sz w:val="15"/>
          <w:szCs w:val="15"/>
          <w:i w:val="1"/>
          <w:iCs w:val="1"/>
          <w:color w:val="auto"/>
        </w:rPr>
        <w:t>The Shares will take the form of registered shares. The shareholders shall not have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the right to ask for the conversion of Shares into bearer shares.</w:t>
      </w:r>
    </w:p>
    <w:p>
      <w:pPr>
        <w:spacing w:after="0" w:line="72" w:lineRule="exact"/>
        <w:rPr>
          <w:sz w:val="20"/>
          <w:szCs w:val="20"/>
          <w:color w:val="auto"/>
        </w:rPr>
      </w:pPr>
    </w:p>
    <w:p>
      <w:pPr>
        <w:ind w:left="1060" w:right="1099"/>
        <w:spacing w:after="0" w:line="263" w:lineRule="auto"/>
        <w:rPr>
          <w:sz w:val="20"/>
          <w:szCs w:val="20"/>
          <w:color w:val="auto"/>
        </w:rPr>
      </w:pPr>
      <w:r>
        <w:rPr>
          <w:rFonts w:ascii="Arial" w:cs="Arial" w:eastAsia="Arial" w:hAnsi="Arial"/>
          <w:sz w:val="15"/>
          <w:szCs w:val="15"/>
          <w:i w:val="1"/>
          <w:iCs w:val="1"/>
          <w:color w:val="auto"/>
        </w:rPr>
        <w:t xml:space="preserve">A shareholders’ register will be available for inspection by the Company’s shareholders at the Company’s registered office subject to the provisions of Article </w:t>
      </w:r>
      <w:r>
        <w:rPr>
          <w:rFonts w:ascii="Arial" w:cs="Arial" w:eastAsia="Arial" w:hAnsi="Arial"/>
          <w:sz w:val="15"/>
          <w:szCs w:val="15"/>
          <w:color w:val="FF0000"/>
          <w:strike w:val="1"/>
        </w:rPr>
        <w:t>4303</w:t>
      </w:r>
      <w:r>
        <w:rPr>
          <w:rFonts w:ascii="Arial" w:cs="Arial" w:eastAsia="Arial" w:hAnsi="Arial"/>
          <w:sz w:val="15"/>
          <w:szCs w:val="15"/>
          <w:i w:val="1"/>
          <w:iCs w:val="1"/>
          <w:u w:val="single" w:color="auto"/>
          <w:color w:val="0000FF"/>
        </w:rPr>
        <w:t>430-3</w:t>
      </w:r>
      <w:r>
        <w:rPr>
          <w:rFonts w:ascii="Arial" w:cs="Arial" w:eastAsia="Arial" w:hAnsi="Arial"/>
          <w:sz w:val="15"/>
          <w:szCs w:val="15"/>
          <w:i w:val="1"/>
          <w:iCs w:val="1"/>
          <w:color w:val="auto"/>
        </w:rPr>
        <w:t xml:space="preserve"> of the Law and upon reasonable notice. Each shareholder shall have the right to consult the register during normal business hours in accordance with the provisions of the Law.</w:t>
      </w:r>
    </w:p>
    <w:p>
      <w:pPr>
        <w:spacing w:after="0" w:line="81" w:lineRule="exact"/>
        <w:rPr>
          <w:sz w:val="20"/>
          <w:szCs w:val="20"/>
          <w:color w:val="auto"/>
        </w:rPr>
      </w:pPr>
    </w:p>
    <w:p>
      <w:pPr>
        <w:ind w:left="1060" w:right="1159"/>
        <w:spacing w:after="0" w:line="269" w:lineRule="auto"/>
        <w:rPr>
          <w:sz w:val="20"/>
          <w:szCs w:val="20"/>
          <w:color w:val="auto"/>
        </w:rPr>
      </w:pPr>
      <w:r>
        <w:rPr>
          <w:rFonts w:ascii="Arial" w:cs="Arial" w:eastAsia="Arial" w:hAnsi="Arial"/>
          <w:sz w:val="15"/>
          <w:szCs w:val="15"/>
          <w:i w:val="1"/>
          <w:iCs w:val="1"/>
          <w:color w:val="auto"/>
        </w:rPr>
        <w:t>Each shareholder will notify the Company of its address and any change thereto by registered letter. The Company will be entitled to rely on the last address thus communicated. Ownership of Shares will result from the recordings in said register.</w:t>
      </w:r>
    </w:p>
    <w:p>
      <w:pPr>
        <w:spacing w:after="0" w:line="87" w:lineRule="exact"/>
        <w:rPr>
          <w:sz w:val="20"/>
          <w:szCs w:val="20"/>
          <w:color w:val="auto"/>
        </w:rPr>
      </w:pPr>
    </w:p>
    <w:p>
      <w:pPr>
        <w:ind w:left="1060" w:right="1099"/>
        <w:spacing w:after="0" w:line="259" w:lineRule="auto"/>
        <w:rPr>
          <w:sz w:val="20"/>
          <w:szCs w:val="20"/>
          <w:color w:val="auto"/>
        </w:rPr>
      </w:pPr>
      <w:r>
        <w:rPr>
          <w:rFonts w:ascii="Arial" w:cs="Arial" w:eastAsia="Arial" w:hAnsi="Arial"/>
          <w:sz w:val="15"/>
          <w:szCs w:val="15"/>
          <w:i w:val="1"/>
          <w:iCs w:val="1"/>
          <w:color w:val="auto"/>
        </w:rPr>
        <w:t>Any person who is required to report ownership of Shares on Schedule 13D or 13G pursuant to Rule 13d-1 or changes in such ownership pursuant to Rule 13d-2, each as promulgated by the U.S. Securities and Exchange Commission under the Securities Exchange Act of 1934, as amended, must notify the Company’s Board of Directors promptly following any reportable acquisition or disposition, and in no event later than the filing date of such Schedule 13D or 13G, of the proportion of Shares held by the relevant person as a result of the acquisition or disposal.</w:t>
      </w:r>
    </w:p>
    <w:p>
      <w:pPr>
        <w:spacing w:after="0" w:line="94" w:lineRule="exact"/>
        <w:rPr>
          <w:sz w:val="20"/>
          <w:szCs w:val="20"/>
          <w:color w:val="auto"/>
        </w:rPr>
      </w:pPr>
    </w:p>
    <w:p>
      <w:pPr>
        <w:ind w:left="1060" w:right="1159"/>
        <w:spacing w:after="0" w:line="269" w:lineRule="auto"/>
        <w:rPr>
          <w:sz w:val="20"/>
          <w:szCs w:val="20"/>
          <w:color w:val="auto"/>
        </w:rPr>
      </w:pPr>
      <w:r>
        <w:rPr>
          <w:rFonts w:ascii="Arial" w:cs="Arial" w:eastAsia="Arial" w:hAnsi="Arial"/>
          <w:sz w:val="15"/>
          <w:szCs w:val="15"/>
          <w:i w:val="1"/>
          <w:iCs w:val="1"/>
          <w:color w:val="auto"/>
        </w:rPr>
        <w:t>Any transfer of Shares shall be recorded in the share register in accordance with applicable law. The Board of Directors may delegate its powers with respect to the recording of such transfers in the share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-193040</wp:posOffset>
            </wp:positionV>
            <wp:extent cx="2667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670" cy="6985"/>
                    </a:xfrm>
                    <a:prstGeom prst="rect">
                      <a:avLst/>
                    </a:prstGeom>
                    <a:noFill/>
                  </pic:spPr>
                </pic:pic>
              </a:graphicData>
            </a:graphic>
          </wp:anchor>
        </w:drawing>
      </w:r>
    </w:p>
    <w:p>
      <w:pPr>
        <w:spacing w:after="0" w:line="56" w:lineRule="exact"/>
        <w:rPr>
          <w:sz w:val="20"/>
          <w:szCs w:val="20"/>
          <w:color w:val="auto"/>
        </w:rPr>
      </w:pPr>
    </w:p>
    <w:p>
      <w:pPr>
        <w:ind w:left="1060" w:right="1079"/>
        <w:spacing w:after="0" w:line="261" w:lineRule="auto"/>
        <w:rPr>
          <w:sz w:val="20"/>
          <w:szCs w:val="20"/>
          <w:color w:val="auto"/>
        </w:rPr>
      </w:pPr>
      <w:r>
        <w:rPr>
          <w:rFonts w:ascii="Arial" w:cs="Arial" w:eastAsia="Arial" w:hAnsi="Arial"/>
          <w:sz w:val="15"/>
          <w:szCs w:val="15"/>
          <w:i w:val="1"/>
          <w:iCs w:val="1"/>
          <w:color w:val="auto"/>
        </w:rPr>
        <w:t>Each Share is indivisible. In case of holding of a Share by more than one person, the Company has the right to suspend the rights attaching thereto (except for the information rights provided for by</w:t>
      </w:r>
    </w:p>
    <w:p>
      <w:pPr>
        <w:spacing w:after="0" w:line="1" w:lineRule="exact"/>
        <w:rPr>
          <w:sz w:val="20"/>
          <w:szCs w:val="20"/>
          <w:color w:val="auto"/>
        </w:rPr>
      </w:pPr>
    </w:p>
    <w:p>
      <w:pPr>
        <w:ind w:left="1060" w:right="1599"/>
        <w:spacing w:after="0" w:line="268" w:lineRule="auto"/>
        <w:rPr>
          <w:sz w:val="20"/>
          <w:szCs w:val="20"/>
          <w:color w:val="auto"/>
        </w:rPr>
      </w:pPr>
      <w:r>
        <w:rPr>
          <w:rFonts w:ascii="Arial" w:cs="Arial" w:eastAsia="Arial" w:hAnsi="Arial"/>
          <w:sz w:val="15"/>
          <w:szCs w:val="15"/>
          <w:i w:val="1"/>
          <w:iCs w:val="1"/>
          <w:color w:val="auto"/>
        </w:rPr>
        <w:t>Article 461-6 of the Law) until one sole person has been designated as being the holder thereof towards the Company.</w:t>
      </w:r>
    </w:p>
    <w:p>
      <w:pPr>
        <w:spacing w:after="0" w:line="87" w:lineRule="exact"/>
        <w:rPr>
          <w:sz w:val="20"/>
          <w:szCs w:val="20"/>
          <w:color w:val="auto"/>
        </w:rPr>
      </w:pPr>
    </w:p>
    <w:p>
      <w:pPr>
        <w:ind w:left="1060" w:right="1199"/>
        <w:spacing w:after="0" w:line="255" w:lineRule="auto"/>
        <w:rPr>
          <w:sz w:val="20"/>
          <w:szCs w:val="20"/>
          <w:color w:val="auto"/>
        </w:rPr>
      </w:pPr>
      <w:r>
        <w:rPr>
          <w:rFonts w:ascii="Arial" w:cs="Arial" w:eastAsia="Arial" w:hAnsi="Arial"/>
          <w:sz w:val="15"/>
          <w:szCs w:val="15"/>
          <w:i w:val="1"/>
          <w:iCs w:val="1"/>
          <w:color w:val="auto"/>
        </w:rPr>
        <w:t>Where Shares are recorded in the register of shareholders on behalf of one or more persons in the name of a securities settlement system or the operator of such a system or in the name of a professional depository of securities or any other depository (such systems, professionals or other depositories being referred to hereinafter as “</w:t>
      </w:r>
      <w:r>
        <w:rPr>
          <w:rFonts w:ascii="Arial" w:cs="Arial" w:eastAsia="Arial" w:hAnsi="Arial"/>
          <w:sz w:val="15"/>
          <w:szCs w:val="15"/>
          <w:b w:val="1"/>
          <w:bCs w:val="1"/>
          <w:i w:val="1"/>
          <w:iCs w:val="1"/>
          <w:color w:val="auto"/>
        </w:rPr>
        <w:t>Depositories</w:t>
      </w:r>
      <w:r>
        <w:rPr>
          <w:rFonts w:ascii="Arial" w:cs="Arial" w:eastAsia="Arial" w:hAnsi="Arial"/>
          <w:sz w:val="15"/>
          <w:szCs w:val="15"/>
          <w:i w:val="1"/>
          <w:iCs w:val="1"/>
          <w:color w:val="auto"/>
        </w:rPr>
        <w:t>” and each a “</w:t>
      </w:r>
      <w:r>
        <w:rPr>
          <w:rFonts w:ascii="Arial" w:cs="Arial" w:eastAsia="Arial" w:hAnsi="Arial"/>
          <w:sz w:val="15"/>
          <w:szCs w:val="15"/>
          <w:b w:val="1"/>
          <w:bCs w:val="1"/>
          <w:i w:val="1"/>
          <w:iCs w:val="1"/>
          <w:color w:val="auto"/>
        </w:rPr>
        <w:t>Depository</w:t>
      </w:r>
      <w:r>
        <w:rPr>
          <w:rFonts w:ascii="Arial" w:cs="Arial" w:eastAsia="Arial" w:hAnsi="Arial"/>
          <w:sz w:val="15"/>
          <w:szCs w:val="15"/>
          <w:i w:val="1"/>
          <w:iCs w:val="1"/>
          <w:color w:val="auto"/>
        </w:rPr>
        <w:t>”) or of a sub-depository designated by one or more Depositories (the “</w:t>
      </w:r>
      <w:r>
        <w:rPr>
          <w:rFonts w:ascii="Arial" w:cs="Arial" w:eastAsia="Arial" w:hAnsi="Arial"/>
          <w:sz w:val="15"/>
          <w:szCs w:val="15"/>
          <w:b w:val="1"/>
          <w:bCs w:val="1"/>
          <w:i w:val="1"/>
          <w:iCs w:val="1"/>
          <w:color w:val="auto"/>
        </w:rPr>
        <w:t>Indirect Holders</w:t>
      </w:r>
      <w:r>
        <w:rPr>
          <w:rFonts w:ascii="Arial" w:cs="Arial" w:eastAsia="Arial" w:hAnsi="Arial"/>
          <w:sz w:val="15"/>
          <w:szCs w:val="15"/>
          <w:i w:val="1"/>
          <w:iCs w:val="1"/>
          <w:color w:val="auto"/>
        </w:rPr>
        <w:t>”), the Company, subject to its having received from the Depository with which those Shares are kept in account a certificate in proper form, will permit the Indirect Holders to exercise the rights attaching to those Shares, including admission to and voting at shareholders’ meetings, and shall consider those persons to be the shareholders for the purposes of Article 9. The Board of Directors may determine the formal requirements with which such certificates must comply.</w:t>
      </w:r>
    </w:p>
    <w:p>
      <w:pPr>
        <w:spacing w:after="0" w:line="102" w:lineRule="exact"/>
        <w:rPr>
          <w:sz w:val="20"/>
          <w:szCs w:val="20"/>
          <w:color w:val="auto"/>
        </w:rPr>
      </w:pPr>
    </w:p>
    <w:p>
      <w:pPr>
        <w:ind w:left="1060" w:right="1159"/>
        <w:spacing w:after="0" w:line="263" w:lineRule="auto"/>
        <w:rPr>
          <w:sz w:val="20"/>
          <w:szCs w:val="20"/>
          <w:color w:val="auto"/>
        </w:rPr>
      </w:pPr>
      <w:r>
        <w:rPr>
          <w:rFonts w:ascii="Arial" w:cs="Arial" w:eastAsia="Arial" w:hAnsi="Arial"/>
          <w:sz w:val="15"/>
          <w:szCs w:val="15"/>
          <w:i w:val="1"/>
          <w:iCs w:val="1"/>
          <w:color w:val="auto"/>
        </w:rPr>
        <w:t>Notwithstanding the foregoing, the Company will make payments, by way of dividends or otherwise, in cash, Shares or other assets only into the hands of the Depository or sub-depository recorded in the share register of the Company or in accordance with their instructions, and that payment shall release the Company from any and all obligations for such payment.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6" w:name="page67"/>
    <w:bookmarkEnd w:id="66"/>
    <w:p>
      <w:pPr>
        <w:ind w:left="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60" w:right="1159"/>
        <w:spacing w:after="0" w:line="253" w:lineRule="auto"/>
        <w:rPr>
          <w:sz w:val="20"/>
          <w:szCs w:val="20"/>
          <w:color w:val="auto"/>
        </w:rPr>
      </w:pPr>
      <w:r>
        <w:rPr>
          <w:rFonts w:ascii="Arial" w:cs="Arial" w:eastAsia="Arial" w:hAnsi="Arial"/>
          <w:sz w:val="15"/>
          <w:szCs w:val="15"/>
          <w:b w:val="1"/>
          <w:bCs w:val="1"/>
          <w:i w:val="1"/>
          <w:iCs w:val="1"/>
          <w:color w:val="auto"/>
        </w:rPr>
        <w:t xml:space="preserve">Art. 8. Payment of Shares. </w:t>
      </w:r>
      <w:r>
        <w:rPr>
          <w:rFonts w:ascii="Arial" w:cs="Arial" w:eastAsia="Arial" w:hAnsi="Arial"/>
          <w:sz w:val="15"/>
          <w:szCs w:val="15"/>
          <w:i w:val="1"/>
          <w:iCs w:val="1"/>
          <w:color w:val="auto"/>
        </w:rPr>
        <w:t>Payments on Shares not fully paid up at the time of subscription may be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made at the time and upon conditions which the Board of Directors shall from time to time determine subject to the Law. Any amount called up on Shares will be charged equally on all outstanding Shares which are not fully paid up.</w:t>
      </w:r>
    </w:p>
    <w:p>
      <w:pPr>
        <w:spacing w:after="0" w:line="87" w:lineRule="exact"/>
        <w:rPr>
          <w:sz w:val="20"/>
          <w:szCs w:val="20"/>
          <w:color w:val="auto"/>
        </w:rPr>
      </w:pPr>
    </w:p>
    <w:p>
      <w:pPr>
        <w:ind w:left="1060"/>
        <w:spacing w:after="0"/>
        <w:tabs>
          <w:tab w:leader="none" w:pos="4840" w:val="left"/>
        </w:tabs>
        <w:rPr>
          <w:sz w:val="20"/>
          <w:szCs w:val="20"/>
          <w:color w:val="auto"/>
        </w:rPr>
      </w:pPr>
      <w:r>
        <w:rPr>
          <w:rFonts w:ascii="Arial" w:cs="Arial" w:eastAsia="Arial" w:hAnsi="Arial"/>
          <w:sz w:val="15"/>
          <w:szCs w:val="15"/>
          <w:b w:val="1"/>
          <w:bCs w:val="1"/>
          <w:i w:val="1"/>
          <w:iCs w:val="1"/>
          <w:color w:val="auto"/>
        </w:rPr>
        <w:t>Art. 9. Increase and Reduction of the Share Capital.</w:t>
      </w:r>
      <w:r>
        <w:rPr>
          <w:sz w:val="20"/>
          <w:szCs w:val="20"/>
          <w:color w:val="auto"/>
        </w:rPr>
        <w:tab/>
      </w:r>
      <w:r>
        <w:rPr>
          <w:rFonts w:ascii="Arial" w:cs="Arial" w:eastAsia="Arial" w:hAnsi="Arial"/>
          <w:sz w:val="15"/>
          <w:szCs w:val="15"/>
          <w:i w:val="1"/>
          <w:iCs w:val="1"/>
          <w:color w:val="auto"/>
        </w:rPr>
        <w:t>The issued share capital and the authorized</w:t>
      </w:r>
    </w:p>
    <w:p>
      <w:pPr>
        <w:spacing w:after="0" w:line="23" w:lineRule="exact"/>
        <w:rPr>
          <w:sz w:val="20"/>
          <w:szCs w:val="20"/>
          <w:color w:val="auto"/>
        </w:rPr>
      </w:pPr>
    </w:p>
    <w:p>
      <w:pPr>
        <w:ind w:left="1060" w:right="1079"/>
        <w:spacing w:after="0" w:line="242" w:lineRule="auto"/>
        <w:rPr>
          <w:sz w:val="20"/>
          <w:szCs w:val="20"/>
          <w:color w:val="auto"/>
        </w:rPr>
      </w:pPr>
      <w:r>
        <w:rPr>
          <w:rFonts w:ascii="Arial" w:cs="Arial" w:eastAsia="Arial" w:hAnsi="Arial"/>
          <w:sz w:val="15"/>
          <w:szCs w:val="15"/>
          <w:i w:val="1"/>
          <w:iCs w:val="1"/>
          <w:color w:val="auto"/>
        </w:rPr>
        <w:t>share capital of the Company may be increased or reduced once or several times by a resolution of the general meeting of shareholders voting with the quorum and majority rules set out under these Articles or, as the case may be, by the Law for any amendment of these Articles. Unless issued pursuant to a decision of the Board of Directors or any duly authorized representative thereof, further to the powers granted to the Board of Directors, under Articles 5 and 6, the new Shares to be subscribed for by contribution in cash will be offered in preference to the existing shareholders in proportion to the part of the share capital held by these shareholders. The Board of Directors shall determine the period within which the preferred subscription right may be exercised. This period may not be less than thirty (30) days.</w:t>
      </w:r>
    </w:p>
    <w:p>
      <w:pPr>
        <w:spacing w:after="0" w:line="95" w:lineRule="exact"/>
        <w:rPr>
          <w:sz w:val="20"/>
          <w:szCs w:val="20"/>
          <w:color w:val="auto"/>
        </w:rPr>
      </w:pPr>
    </w:p>
    <w:p>
      <w:pPr>
        <w:ind w:left="1060" w:right="1099"/>
        <w:spacing w:after="0" w:line="253" w:lineRule="auto"/>
        <w:rPr>
          <w:sz w:val="20"/>
          <w:szCs w:val="20"/>
          <w:color w:val="auto"/>
        </w:rPr>
      </w:pPr>
      <w:r>
        <w:rPr>
          <w:rFonts w:ascii="Arial" w:cs="Arial" w:eastAsia="Arial" w:hAnsi="Arial"/>
          <w:sz w:val="15"/>
          <w:szCs w:val="15"/>
          <w:i w:val="1"/>
          <w:iCs w:val="1"/>
          <w:color w:val="auto"/>
        </w:rPr>
        <w:t>Notwithstanding the above, the general meeting, voting with the quorum and majority rules required for any amendment of the Articles, may limit or withdraw the preferential subscription right or authorize the Board of Directors to do so in the case of an increase of share capital within the authorized share capital.</w:t>
      </w:r>
    </w:p>
    <w:p>
      <w:pPr>
        <w:spacing w:after="0" w:line="87" w:lineRule="exact"/>
        <w:rPr>
          <w:sz w:val="20"/>
          <w:szCs w:val="20"/>
          <w:color w:val="auto"/>
        </w:rPr>
      </w:pPr>
    </w:p>
    <w:p>
      <w:pPr>
        <w:ind w:left="1060" w:right="1139"/>
        <w:spacing w:after="0" w:line="253" w:lineRule="auto"/>
        <w:rPr>
          <w:sz w:val="20"/>
          <w:szCs w:val="20"/>
          <w:color w:val="auto"/>
        </w:rPr>
      </w:pPr>
      <w:r>
        <w:rPr>
          <w:rFonts w:ascii="Arial" w:cs="Arial" w:eastAsia="Arial" w:hAnsi="Arial"/>
          <w:sz w:val="15"/>
          <w:szCs w:val="15"/>
          <w:i w:val="1"/>
          <w:iCs w:val="1"/>
          <w:color w:val="auto"/>
        </w:rPr>
        <w:t>The preferred subscription right may also be waived individually by the shareholders, or by the general meeting, voting with the same conditions of quorum and majority as for amendments of the Articles and provided that the suppression of the preferred subscription right is specifically referred to in the shareholders’ notice to attend.</w:t>
      </w:r>
    </w:p>
    <w:p>
      <w:pPr>
        <w:spacing w:after="0" w:line="87" w:lineRule="exact"/>
        <w:rPr>
          <w:sz w:val="20"/>
          <w:szCs w:val="20"/>
          <w:color w:val="auto"/>
        </w:rPr>
      </w:pPr>
    </w:p>
    <w:p>
      <w:pPr>
        <w:ind w:left="1060" w:right="1479"/>
        <w:spacing w:after="0" w:line="272" w:lineRule="auto"/>
        <w:rPr>
          <w:sz w:val="20"/>
          <w:szCs w:val="20"/>
          <w:color w:val="auto"/>
        </w:rPr>
      </w:pPr>
      <w:r>
        <w:rPr>
          <w:rFonts w:ascii="Arial" w:cs="Arial" w:eastAsia="Arial" w:hAnsi="Arial"/>
          <w:sz w:val="15"/>
          <w:szCs w:val="15"/>
          <w:i w:val="1"/>
          <w:iCs w:val="1"/>
          <w:color w:val="auto"/>
        </w:rPr>
        <w:t>The preferred subscription right is not applicable when the share capital is increased by means of contributions in kind.</w:t>
      </w:r>
    </w:p>
    <w:p>
      <w:pPr>
        <w:spacing w:after="0" w:line="73"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Art. 10. Acquisition or Redemption of Own Shares</w:t>
      </w:r>
      <w:r>
        <w:rPr>
          <w:rFonts w:ascii="Arial" w:cs="Arial" w:eastAsia="Arial" w:hAnsi="Arial"/>
          <w:sz w:val="15"/>
          <w:szCs w:val="15"/>
          <w:i w:val="1"/>
          <w:iCs w:val="1"/>
          <w:color w:val="auto"/>
        </w:rPr>
        <w:t>. The Company may acquire or redeem its own</w:t>
      </w:r>
    </w:p>
    <w:p>
      <w:pPr>
        <w:spacing w:after="0" w:line="23" w:lineRule="exact"/>
        <w:rPr>
          <w:sz w:val="20"/>
          <w:szCs w:val="20"/>
          <w:color w:val="auto"/>
        </w:rPr>
      </w:pPr>
    </w:p>
    <w:p>
      <w:pPr>
        <w:ind w:left="1060" w:right="1139"/>
        <w:spacing w:after="0" w:line="244" w:lineRule="auto"/>
        <w:rPr>
          <w:sz w:val="20"/>
          <w:szCs w:val="20"/>
          <w:color w:val="auto"/>
        </w:rPr>
      </w:pPr>
      <w:r>
        <w:rPr>
          <w:rFonts w:ascii="Arial" w:cs="Arial" w:eastAsia="Arial" w:hAnsi="Arial"/>
          <w:sz w:val="15"/>
          <w:szCs w:val="15"/>
          <w:i w:val="1"/>
          <w:iCs w:val="1"/>
          <w:color w:val="auto"/>
        </w:rPr>
        <w:t xml:space="preserve">Shares in accordance with the provisions of the Law. It may hold the Shares so acquired or redeemed. As used in this Article 10, </w:t>
      </w:r>
      <w:r>
        <w:rPr>
          <w:rFonts w:ascii="Arial" w:cs="Arial" w:eastAsia="Arial" w:hAnsi="Arial"/>
          <w:sz w:val="15"/>
          <w:szCs w:val="15"/>
          <w:color w:val="FF0000"/>
          <w:strike w:val="1"/>
        </w:rPr>
        <w:t>“</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auto"/>
        </w:rPr>
        <w:t>Own Shares</w:t>
      </w:r>
      <w:r>
        <w:rPr>
          <w:rFonts w:ascii="Arial" w:cs="Arial" w:eastAsia="Arial" w:hAnsi="Arial"/>
          <w:sz w:val="15"/>
          <w:szCs w:val="15"/>
          <w:color w:val="FF0000"/>
          <w:strike w:val="1"/>
        </w:rPr>
        <w:t>”</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auto"/>
        </w:rPr>
        <w:t xml:space="preserve"> means Shares acquired or redeemed and held by the Company.</w:t>
      </w:r>
    </w:p>
    <w:p>
      <w:pPr>
        <w:spacing w:after="0" w:line="93" w:lineRule="exact"/>
        <w:rPr>
          <w:sz w:val="20"/>
          <w:szCs w:val="20"/>
          <w:color w:val="auto"/>
        </w:rPr>
      </w:pPr>
    </w:p>
    <w:p>
      <w:pPr>
        <w:jc w:val="both"/>
        <w:ind w:left="1060" w:right="1159"/>
        <w:spacing w:after="0" w:line="253" w:lineRule="auto"/>
        <w:rPr>
          <w:sz w:val="20"/>
          <w:szCs w:val="20"/>
          <w:color w:val="auto"/>
        </w:rPr>
      </w:pPr>
      <w:r>
        <w:rPr>
          <w:rFonts w:ascii="Arial" w:cs="Arial" w:eastAsia="Arial" w:hAnsi="Arial"/>
          <w:sz w:val="15"/>
          <w:szCs w:val="15"/>
          <w:i w:val="1"/>
          <w:iCs w:val="1"/>
          <w:color w:val="auto"/>
        </w:rPr>
        <w:t>The voting rights of Own Shares are suspended and are not taken into account in the determination of the quorum and majority for shareholders’ meetings. The Board of Directors is authorized to suspend the dividend rights attached to Own Shares. In such case, the Board of Directors may freely decide on the distributable profits in accordance with Article 430-18 of the Law.</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Chapter III. Directors, Board of Directors, Statutory Auditors</w:t>
      </w:r>
    </w:p>
    <w:p>
      <w:pPr>
        <w:spacing w:after="0" w:line="133" w:lineRule="exact"/>
        <w:rPr>
          <w:sz w:val="20"/>
          <w:szCs w:val="20"/>
          <w:color w:val="auto"/>
        </w:rPr>
      </w:pPr>
    </w:p>
    <w:p>
      <w:pPr>
        <w:ind w:left="1060" w:right="1139"/>
        <w:spacing w:after="0" w:line="262" w:lineRule="auto"/>
        <w:rPr>
          <w:sz w:val="20"/>
          <w:szCs w:val="20"/>
          <w:color w:val="auto"/>
        </w:rPr>
      </w:pPr>
      <w:r>
        <w:rPr>
          <w:rFonts w:ascii="Arial" w:cs="Arial" w:eastAsia="Arial" w:hAnsi="Arial"/>
          <w:sz w:val="15"/>
          <w:szCs w:val="15"/>
          <w:b w:val="1"/>
          <w:bCs w:val="1"/>
          <w:i w:val="1"/>
          <w:iCs w:val="1"/>
          <w:color w:val="auto"/>
        </w:rPr>
        <w:t xml:space="preserve">Art. 11. Board of Directors. </w:t>
      </w:r>
      <w:r>
        <w:rPr>
          <w:rFonts w:ascii="Arial" w:cs="Arial" w:eastAsia="Arial" w:hAnsi="Arial"/>
          <w:sz w:val="15"/>
          <w:szCs w:val="15"/>
          <w:i w:val="1"/>
          <w:iCs w:val="1"/>
          <w:color w:val="auto"/>
        </w:rPr>
        <w:t>The Company is managed by a board of directors (the “</w:t>
      </w:r>
      <w:r>
        <w:rPr>
          <w:rFonts w:ascii="Arial" w:cs="Arial" w:eastAsia="Arial" w:hAnsi="Arial"/>
          <w:sz w:val="15"/>
          <w:szCs w:val="15"/>
          <w:b w:val="1"/>
          <w:bCs w:val="1"/>
          <w:i w:val="1"/>
          <w:iCs w:val="1"/>
          <w:color w:val="auto"/>
        </w:rPr>
        <w:t>Board of Directors</w:t>
      </w:r>
      <w:r>
        <w:rPr>
          <w:rFonts w:ascii="Arial" w:cs="Arial" w:eastAsia="Arial" w:hAnsi="Arial"/>
          <w:sz w:val="15"/>
          <w:szCs w:val="15"/>
          <w:i w:val="1"/>
          <w:iCs w:val="1"/>
          <w:color w:val="auto"/>
        </w:rPr>
        <w:t>”) composed of at least three (3) and of maximum seven (7) members (each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FF0000"/>
          <w:strike w:val="1"/>
        </w:rPr>
        <w:t>“</w:t>
      </w:r>
      <w:r>
        <w:rPr>
          <w:rFonts w:ascii="Arial" w:cs="Arial" w:eastAsia="Arial" w:hAnsi="Arial"/>
          <w:sz w:val="15"/>
          <w:szCs w:val="15"/>
          <w:i w:val="1"/>
          <w:iCs w:val="1"/>
          <w:u w:val="single" w:color="auto"/>
          <w:color w:val="0000FF"/>
        </w:rPr>
        <w:t>“</w:t>
      </w:r>
      <w:r>
        <w:rPr>
          <w:rFonts w:ascii="Arial" w:cs="Arial" w:eastAsia="Arial" w:hAnsi="Arial"/>
          <w:sz w:val="15"/>
          <w:szCs w:val="15"/>
          <w:b w:val="1"/>
          <w:bCs w:val="1"/>
          <w:i w:val="1"/>
          <w:iCs w:val="1"/>
          <w:color w:val="auto"/>
        </w:rPr>
        <w:t>Director</w:t>
      </w:r>
      <w:r>
        <w:rPr>
          <w:rFonts w:ascii="Arial" w:cs="Arial" w:eastAsia="Arial" w:hAnsi="Arial"/>
          <w:sz w:val="15"/>
          <w:szCs w:val="15"/>
          <w:color w:val="FF0000"/>
          <w:strike w:val="1"/>
        </w:rPr>
        <w:t>”)</w:t>
      </w:r>
      <w:r>
        <w:rPr>
          <w:rFonts w:ascii="Arial" w:cs="Arial" w:eastAsia="Arial" w:hAnsi="Arial"/>
          <w:sz w:val="15"/>
          <w:szCs w:val="15"/>
          <w:i w:val="1"/>
          <w:iCs w:val="1"/>
          <w:u w:val="single" w:color="auto"/>
          <w:color w:val="0000FF"/>
        </w:rPr>
        <w: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who need not be shareholders.</w:t>
      </w:r>
    </w:p>
    <w:p>
      <w:pPr>
        <w:spacing w:after="0" w:line="80" w:lineRule="exact"/>
        <w:rPr>
          <w:sz w:val="20"/>
          <w:szCs w:val="20"/>
          <w:color w:val="auto"/>
        </w:rPr>
      </w:pPr>
    </w:p>
    <w:p>
      <w:pPr>
        <w:ind w:left="1060" w:right="1219"/>
        <w:spacing w:after="0" w:line="249" w:lineRule="auto"/>
        <w:rPr>
          <w:sz w:val="20"/>
          <w:szCs w:val="20"/>
          <w:color w:val="auto"/>
        </w:rPr>
      </w:pPr>
      <w:r>
        <w:rPr>
          <w:rFonts w:ascii="Arial" w:cs="Arial" w:eastAsia="Arial" w:hAnsi="Arial"/>
          <w:sz w:val="15"/>
          <w:szCs w:val="15"/>
          <w:i w:val="1"/>
          <w:iCs w:val="1"/>
          <w:color w:val="auto"/>
        </w:rPr>
        <w:t>The Director(s) shall be appointed by the general meeting of shareholders. The general meeting of shareholders will determine their number and the duration of their mandate for a term not exceeding six (6) years, and they will hold office until their successors are elected. Director(s) may be re-elected for successive terms, and may be removed at any time, with or without cause, by a resolution of the general meeting of shareholders.</w:t>
      </w:r>
    </w:p>
    <w:p>
      <w:pPr>
        <w:spacing w:after="0" w:line="89" w:lineRule="exact"/>
        <w:rPr>
          <w:sz w:val="20"/>
          <w:szCs w:val="20"/>
          <w:color w:val="auto"/>
        </w:rPr>
      </w:pPr>
    </w:p>
    <w:p>
      <w:pPr>
        <w:jc w:val="both"/>
        <w:ind w:left="1060" w:right="1539"/>
        <w:spacing w:after="0" w:line="249" w:lineRule="auto"/>
        <w:rPr>
          <w:sz w:val="20"/>
          <w:szCs w:val="20"/>
          <w:color w:val="auto"/>
        </w:rPr>
      </w:pPr>
      <w:r>
        <w:rPr>
          <w:rFonts w:ascii="Arial" w:cs="Arial" w:eastAsia="Arial" w:hAnsi="Arial"/>
          <w:sz w:val="15"/>
          <w:szCs w:val="15"/>
          <w:i w:val="1"/>
          <w:iCs w:val="1"/>
          <w:color w:val="auto"/>
        </w:rPr>
        <w:t>If a corporate entity is appointed as Director, it shall designate a natural person as its permanent representative, who will represent the corporate entity as a member of the Board of Directors, in accordance with Article 441-3 of the Law. In the event of a vacancy on the Board of Directors, if applicable, the remaining Director(s) may meet and may elect a director to fill such vacancy on a provisional basis until the next meeting of shareholders.</w:t>
      </w:r>
    </w:p>
    <w:p>
      <w:pPr>
        <w:spacing w:after="0" w:line="89" w:lineRule="exact"/>
        <w:rPr>
          <w:sz w:val="20"/>
          <w:szCs w:val="20"/>
          <w:color w:val="auto"/>
        </w:rPr>
      </w:pPr>
    </w:p>
    <w:p>
      <w:pPr>
        <w:ind w:left="1060" w:right="1099"/>
        <w:spacing w:after="0" w:line="249" w:lineRule="auto"/>
        <w:rPr>
          <w:sz w:val="20"/>
          <w:szCs w:val="20"/>
          <w:color w:val="auto"/>
        </w:rPr>
      </w:pPr>
      <w:r>
        <w:rPr>
          <w:rFonts w:ascii="Arial" w:cs="Arial" w:eastAsia="Arial" w:hAnsi="Arial"/>
          <w:sz w:val="15"/>
          <w:szCs w:val="15"/>
          <w:b w:val="1"/>
          <w:bCs w:val="1"/>
          <w:i w:val="1"/>
          <w:iCs w:val="1"/>
          <w:color w:val="auto"/>
        </w:rPr>
        <w:t xml:space="preserve">Art. 12. Meetings of the Board of Directors. </w:t>
      </w:r>
      <w:r>
        <w:rPr>
          <w:rFonts w:ascii="Arial" w:cs="Arial" w:eastAsia="Arial" w:hAnsi="Arial"/>
          <w:sz w:val="15"/>
          <w:szCs w:val="15"/>
          <w:i w:val="1"/>
          <w:iCs w:val="1"/>
          <w:color w:val="auto"/>
        </w:rPr>
        <w:t>The Board of Directors will appoint from among its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 xml:space="preserve">members a </w:t>
      </w:r>
      <w:r>
        <w:rPr>
          <w:rFonts w:ascii="Arial" w:cs="Arial" w:eastAsia="Arial" w:hAnsi="Arial"/>
          <w:sz w:val="15"/>
          <w:szCs w:val="15"/>
          <w:color w:val="FF0000"/>
          <w:strike w:val="1"/>
        </w:rPr>
        <w:t>chairman</w:t>
      </w:r>
      <w:r>
        <w:rPr>
          <w:rFonts w:ascii="Arial" w:cs="Arial" w:eastAsia="Arial" w:hAnsi="Arial"/>
          <w:sz w:val="15"/>
          <w:szCs w:val="15"/>
          <w:i w:val="1"/>
          <w:iCs w:val="1"/>
          <w:u w:val="single" w:color="auto"/>
          <w:color w:val="0000FF"/>
        </w:rPr>
        <w:t>chairperson</w:t>
      </w:r>
      <w:r>
        <w:rPr>
          <w:rFonts w:ascii="Arial" w:cs="Arial" w:eastAsia="Arial" w:hAnsi="Arial"/>
          <w:sz w:val="15"/>
          <w:szCs w:val="15"/>
          <w:i w:val="1"/>
          <w:iCs w:val="1"/>
          <w:color w:val="auto"/>
        </w:rPr>
        <w:t xml:space="preserve"> (the “</w:t>
      </w:r>
      <w:r>
        <w:rPr>
          <w:rFonts w:ascii="Arial" w:cs="Arial" w:eastAsia="Arial" w:hAnsi="Arial"/>
          <w:sz w:val="15"/>
          <w:szCs w:val="15"/>
          <w:b w:val="1"/>
          <w:bCs w:val="1"/>
          <w:color w:val="FF0000"/>
          <w:strike w:val="1"/>
        </w:rPr>
        <w:t>Chairman</w:t>
      </w:r>
      <w:r>
        <w:rPr>
          <w:rFonts w:ascii="Arial" w:cs="Arial" w:eastAsia="Arial" w:hAnsi="Arial"/>
          <w:sz w:val="15"/>
          <w:szCs w:val="15"/>
          <w:i w:val="1"/>
          <w:iCs w:val="1"/>
          <w:u w:val="single" w:color="auto"/>
          <w:color w:val="0000FF"/>
        </w:rPr>
        <w:t>Chair</w:t>
      </w:r>
      <w:r>
        <w:rPr>
          <w:rFonts w:ascii="Arial" w:cs="Arial" w:eastAsia="Arial" w:hAnsi="Arial"/>
          <w:sz w:val="15"/>
          <w:szCs w:val="15"/>
          <w:i w:val="1"/>
          <w:iCs w:val="1"/>
          <w:color w:val="auto"/>
        </w:rPr>
        <w:t xml:space="preserve">”). It may also appoint a corporate secretary, who need not be a Director and who will be responsible for keeping the minutes of the meetings of the Board of Directors and </w:t>
      </w:r>
      <w:r>
        <w:rPr>
          <w:rFonts w:ascii="Arial" w:cs="Arial" w:eastAsia="Arial" w:hAnsi="Arial"/>
          <w:sz w:val="15"/>
          <w:szCs w:val="15"/>
          <w:color w:val="FF0000"/>
          <w:strike w:val="1"/>
        </w:rPr>
        <w:t>of</w:t>
      </w:r>
      <w:r>
        <w:rPr>
          <w:rFonts w:ascii="Arial" w:cs="Arial" w:eastAsia="Arial" w:hAnsi="Arial"/>
          <w:sz w:val="15"/>
          <w:szCs w:val="15"/>
          <w:i w:val="1"/>
          <w:iCs w:val="1"/>
          <w:color w:val="auto"/>
        </w:rPr>
        <w:t xml:space="preserve"> the </w:t>
      </w:r>
      <w:r>
        <w:rPr>
          <w:rFonts w:ascii="Arial" w:cs="Arial" w:eastAsia="Arial" w:hAnsi="Arial"/>
          <w:sz w:val="15"/>
          <w:szCs w:val="15"/>
          <w:i w:val="1"/>
          <w:iCs w:val="1"/>
          <w:u w:val="single" w:color="auto"/>
          <w:color w:val="0000FF"/>
        </w:rPr>
        <w:t>general meetings of</w:t>
      </w:r>
      <w:r>
        <w:rPr>
          <w:rFonts w:ascii="Arial" w:cs="Arial" w:eastAsia="Arial" w:hAnsi="Arial"/>
          <w:sz w:val="15"/>
          <w:szCs w:val="15"/>
          <w:i w:val="1"/>
          <w:iCs w:val="1"/>
          <w:color w:val="auto"/>
        </w:rPr>
        <w:t xml:space="preserve"> shareholder(s) (the “</w:t>
      </w:r>
      <w:r>
        <w:rPr>
          <w:rFonts w:ascii="Arial" w:cs="Arial" w:eastAsia="Arial" w:hAnsi="Arial"/>
          <w:sz w:val="15"/>
          <w:szCs w:val="15"/>
          <w:b w:val="1"/>
          <w:bCs w:val="1"/>
          <w:i w:val="1"/>
          <w:iCs w:val="1"/>
          <w:color w:val="auto"/>
        </w:rPr>
        <w:t>Secretary</w:t>
      </w:r>
      <w:r>
        <w:rPr>
          <w:rFonts w:ascii="Arial" w:cs="Arial" w:eastAsia="Arial" w:hAnsi="Arial"/>
          <w:sz w:val="15"/>
          <w:szCs w:val="15"/>
          <w:i w:val="1"/>
          <w:iCs w:val="1"/>
          <w:color w:val="auto"/>
        </w:rPr>
        <w:t xml:space="preserve">”). If the Secretary is not a Director, such person shall observe the confidentiality provisions as set forth in Article 15 </w:t>
      </w:r>
      <w:r>
        <w:rPr>
          <w:rFonts w:ascii="Arial" w:cs="Arial" w:eastAsia="Arial" w:hAnsi="Arial"/>
          <w:sz w:val="15"/>
          <w:szCs w:val="15"/>
          <w:i w:val="1"/>
          <w:iCs w:val="1"/>
          <w:u w:val="single" w:color="auto"/>
          <w:color w:val="0000FF"/>
        </w:rPr>
        <w:t>of these</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Articles,</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under the responsibility of the Board of Directors.</w:t>
      </w:r>
    </w:p>
    <w:p>
      <w:pPr>
        <w:spacing w:after="0" w:line="91" w:lineRule="exact"/>
        <w:rPr>
          <w:sz w:val="20"/>
          <w:szCs w:val="20"/>
          <w:color w:val="auto"/>
        </w:rPr>
      </w:pPr>
    </w:p>
    <w:p>
      <w:pPr>
        <w:ind w:left="1060" w:right="1159"/>
        <w:spacing w:after="0" w:line="272" w:lineRule="auto"/>
        <w:rPr>
          <w:sz w:val="20"/>
          <w:szCs w:val="20"/>
          <w:color w:val="auto"/>
        </w:rPr>
      </w:pPr>
      <w:r>
        <w:rPr>
          <w:rFonts w:ascii="Arial" w:cs="Arial" w:eastAsia="Arial" w:hAnsi="Arial"/>
          <w:sz w:val="15"/>
          <w:szCs w:val="15"/>
          <w:i w:val="1"/>
          <w:iCs w:val="1"/>
          <w:color w:val="auto"/>
        </w:rPr>
        <w:t xml:space="preserve">The Board of Directors will meet upon call by the </w:t>
      </w:r>
      <w:r>
        <w:rPr>
          <w:rFonts w:ascii="Arial" w:cs="Arial" w:eastAsia="Arial" w:hAnsi="Arial"/>
          <w:sz w:val="15"/>
          <w:szCs w:val="15"/>
          <w:color w:val="FF0000"/>
          <w:strike w:val="1"/>
        </w:rPr>
        <w:t>Chairman</w:t>
      </w:r>
      <w:r>
        <w:rPr>
          <w:rFonts w:ascii="Arial" w:cs="Arial" w:eastAsia="Arial" w:hAnsi="Arial"/>
          <w:sz w:val="15"/>
          <w:szCs w:val="15"/>
          <w:i w:val="1"/>
          <w:iCs w:val="1"/>
          <w:u w:val="single" w:color="auto"/>
          <w:color w:val="0000FF"/>
        </w:rPr>
        <w:t>Chair</w:t>
      </w:r>
      <w:r>
        <w:rPr>
          <w:rFonts w:ascii="Arial" w:cs="Arial" w:eastAsia="Arial" w:hAnsi="Arial"/>
          <w:sz w:val="15"/>
          <w:szCs w:val="15"/>
          <w:i w:val="1"/>
          <w:iCs w:val="1"/>
          <w:color w:val="auto"/>
        </w:rPr>
        <w:t>. A meeting of the Board of Directors must be convened if any two Directors so require.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7" w:name="page68"/>
    <w:bookmarkEnd w:id="67"/>
    <w:p>
      <w:pPr>
        <w:ind w:left="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 xml:space="preserve">The </w:t>
      </w:r>
      <w:r>
        <w:rPr>
          <w:rFonts w:ascii="Arial" w:cs="Arial" w:eastAsia="Arial" w:hAnsi="Arial"/>
          <w:sz w:val="15"/>
          <w:szCs w:val="15"/>
          <w:color w:val="FF0000"/>
          <w:strike w:val="1"/>
        </w:rPr>
        <w:t>Chairman</w:t>
      </w:r>
      <w:r>
        <w:rPr>
          <w:rFonts w:ascii="Arial" w:cs="Arial" w:eastAsia="Arial" w:hAnsi="Arial"/>
          <w:sz w:val="15"/>
          <w:szCs w:val="15"/>
          <w:i w:val="1"/>
          <w:iCs w:val="1"/>
          <w:u w:val="single" w:color="auto"/>
          <w:color w:val="0000FF"/>
        </w:rPr>
        <w:t>Chair</w:t>
      </w:r>
      <w:r>
        <w:rPr>
          <w:rFonts w:ascii="Arial" w:cs="Arial" w:eastAsia="Arial" w:hAnsi="Arial"/>
          <w:sz w:val="15"/>
          <w:szCs w:val="15"/>
          <w:i w:val="1"/>
          <w:iCs w:val="1"/>
          <w:color w:val="auto"/>
        </w:rPr>
        <w:t xml:space="preserve"> will preside at all meetings of the Board of Directors </w:t>
      </w:r>
      <w:r>
        <w:rPr>
          <w:rFonts w:ascii="Arial" w:cs="Arial" w:eastAsia="Arial" w:hAnsi="Arial"/>
          <w:sz w:val="15"/>
          <w:szCs w:val="15"/>
          <w:color w:val="FF0000"/>
        </w:rPr>
        <w:t>and of the shareholders,</w:t>
      </w:r>
      <w:r>
        <w:rPr>
          <w:rFonts w:ascii="Arial" w:cs="Arial" w:eastAsia="Arial" w:hAnsi="Arial"/>
          <w:sz w:val="15"/>
          <w:szCs w:val="15"/>
          <w:i w:val="1"/>
          <w:iCs w:val="1"/>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-49530</wp:posOffset>
            </wp:positionV>
            <wp:extent cx="117856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78560" cy="6985"/>
                    </a:xfrm>
                    <a:prstGeom prst="rect">
                      <a:avLst/>
                    </a:prstGeom>
                    <a:noFill/>
                  </pic:spPr>
                </pic:pic>
              </a:graphicData>
            </a:graphic>
          </wp:anchor>
        </w:drawing>
      </w:r>
    </w:p>
    <w:p>
      <w:pPr>
        <w:spacing w:after="0" w:line="3" w:lineRule="exact"/>
        <w:rPr>
          <w:sz w:val="20"/>
          <w:szCs w:val="20"/>
          <w:color w:val="auto"/>
        </w:rPr>
      </w:pPr>
    </w:p>
    <w:p>
      <w:pPr>
        <w:ind w:left="1060" w:right="1079"/>
        <w:spacing w:after="0" w:line="244" w:lineRule="auto"/>
        <w:rPr>
          <w:sz w:val="20"/>
          <w:szCs w:val="20"/>
          <w:color w:val="auto"/>
        </w:rPr>
      </w:pPr>
      <w:r>
        <w:rPr>
          <w:rFonts w:ascii="Arial" w:cs="Arial" w:eastAsia="Arial" w:hAnsi="Arial"/>
          <w:sz w:val="15"/>
          <w:szCs w:val="15"/>
          <w:i w:val="1"/>
          <w:iCs w:val="1"/>
          <w:color w:val="auto"/>
        </w:rPr>
        <w:t xml:space="preserve">except that in his or her absence the Board of Directors may appoint another Director </w:t>
      </w:r>
      <w:r>
        <w:rPr>
          <w:rFonts w:ascii="Arial" w:cs="Arial" w:eastAsia="Arial" w:hAnsi="Arial"/>
          <w:sz w:val="15"/>
          <w:szCs w:val="15"/>
          <w:color w:val="FF0000"/>
          <w:strike w:val="1"/>
        </w:rPr>
        <w:t>and the general</w:t>
      </w:r>
      <w:r>
        <w:rPr>
          <w:rFonts w:ascii="Arial" w:cs="Arial" w:eastAsia="Arial" w:hAnsi="Arial"/>
          <w:sz w:val="15"/>
          <w:szCs w:val="15"/>
          <w:i w:val="1"/>
          <w:iCs w:val="1"/>
          <w:color w:val="auto"/>
        </w:rPr>
        <w:t xml:space="preserve"> </w:t>
      </w:r>
      <w:r>
        <w:rPr>
          <w:rFonts w:ascii="Arial" w:cs="Arial" w:eastAsia="Arial" w:hAnsi="Arial"/>
          <w:sz w:val="15"/>
          <w:szCs w:val="15"/>
          <w:color w:val="FF0000"/>
          <w:strike w:val="1"/>
        </w:rPr>
        <w:t xml:space="preserve">meeting of shareholders may appoint any other person as chairman pro tempore by vote of the majority present or represented at such </w:t>
      </w:r>
      <w:r>
        <w:rPr>
          <w:rFonts w:ascii="Arial" w:cs="Arial" w:eastAsia="Arial" w:hAnsi="Arial"/>
          <w:sz w:val="15"/>
          <w:szCs w:val="15"/>
          <w:i w:val="1"/>
          <w:iCs w:val="1"/>
          <w:u w:val="single" w:color="auto"/>
          <w:color w:val="0000FF"/>
          <w:strike w:val="1"/>
        </w:rPr>
        <w:t>to preside the</w:t>
      </w:r>
      <w:r>
        <w:rPr>
          <w:rFonts w:ascii="Arial" w:cs="Arial" w:eastAsia="Arial" w:hAnsi="Arial"/>
          <w:sz w:val="15"/>
          <w:szCs w:val="15"/>
          <w:color w:val="FF0000"/>
          <w:strike w:val="1"/>
        </w:rPr>
        <w:t xml:space="preserve"> </w:t>
      </w:r>
      <w:r>
        <w:rPr>
          <w:rFonts w:ascii="Arial" w:cs="Arial" w:eastAsia="Arial" w:hAnsi="Arial"/>
          <w:sz w:val="15"/>
          <w:szCs w:val="15"/>
          <w:i w:val="1"/>
          <w:iCs w:val="1"/>
          <w:color w:val="000000"/>
          <w:strike w:val="1"/>
        </w:rPr>
        <w:t>meeting.</w:t>
      </w:r>
    </w:p>
    <w:p>
      <w:pPr>
        <w:spacing w:after="0" w:line="93"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Except in cases of urgency or with the prior consent of all those entitled to attend, at least twenty-four</w:t>
      </w:r>
    </w:p>
    <w:p>
      <w:pPr>
        <w:spacing w:after="0" w:line="23" w:lineRule="exact"/>
        <w:rPr>
          <w:sz w:val="20"/>
          <w:szCs w:val="20"/>
          <w:color w:val="auto"/>
        </w:rPr>
      </w:pPr>
    </w:p>
    <w:p>
      <w:pPr>
        <w:ind w:left="1060" w:right="1159" w:firstLine="5"/>
        <w:spacing w:after="0" w:line="252" w:lineRule="auto"/>
        <w:tabs>
          <w:tab w:leader="none" w:pos="1370" w:val="left"/>
        </w:tabs>
        <w:numPr>
          <w:ilvl w:val="0"/>
          <w:numId w:val="56"/>
        </w:numPr>
        <w:rPr>
          <w:rFonts w:ascii="Arial" w:cs="Arial" w:eastAsia="Arial" w:hAnsi="Arial"/>
          <w:sz w:val="15"/>
          <w:szCs w:val="15"/>
          <w:i w:val="1"/>
          <w:iCs w:val="1"/>
          <w:color w:val="auto"/>
        </w:rPr>
      </w:pPr>
      <w:r>
        <w:rPr>
          <w:rFonts w:ascii="Arial" w:cs="Arial" w:eastAsia="Arial" w:hAnsi="Arial"/>
          <w:sz w:val="15"/>
          <w:szCs w:val="15"/>
          <w:i w:val="1"/>
          <w:iCs w:val="1"/>
          <w:color w:val="auto"/>
        </w:rPr>
        <w:t>hours written notice of board meetings shall be given. Any such notice shall specify the place, the date and time of the meeting as well as the agenda and the nature of the business to be transacted.</w:t>
      </w:r>
    </w:p>
    <w:p>
      <w:pPr>
        <w:spacing w:after="0" w:line="88" w:lineRule="exact"/>
        <w:rPr>
          <w:sz w:val="20"/>
          <w:szCs w:val="20"/>
          <w:color w:val="auto"/>
        </w:rPr>
      </w:pPr>
    </w:p>
    <w:p>
      <w:pPr>
        <w:ind w:left="1060" w:right="1359"/>
        <w:spacing w:after="0" w:line="262" w:lineRule="auto"/>
        <w:rPr>
          <w:sz w:val="20"/>
          <w:szCs w:val="20"/>
          <w:color w:val="auto"/>
        </w:rPr>
      </w:pPr>
      <w:r>
        <w:rPr>
          <w:rFonts w:ascii="Arial" w:cs="Arial" w:eastAsia="Arial" w:hAnsi="Arial"/>
          <w:sz w:val="15"/>
          <w:szCs w:val="15"/>
          <w:i w:val="1"/>
          <w:iCs w:val="1"/>
          <w:color w:val="auto"/>
        </w:rPr>
        <w:t>The notice may be waived by unanimous written consent given at the meeting by all Directors. No separate notice is required for meetings held at times and places specified in a schedule previously adopted by resolution of the Board of Directors.</w:t>
      </w:r>
    </w:p>
    <w:p>
      <w:pPr>
        <w:spacing w:after="0" w:line="80"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Meetings of the Board of Directors shall be held in the location indicated in the notice of meeting.</w:t>
      </w:r>
    </w:p>
    <w:p>
      <w:pPr>
        <w:spacing w:after="0" w:line="122" w:lineRule="exact"/>
        <w:rPr>
          <w:sz w:val="20"/>
          <w:szCs w:val="20"/>
          <w:color w:val="auto"/>
        </w:rPr>
      </w:pPr>
    </w:p>
    <w:p>
      <w:pPr>
        <w:ind w:left="1060" w:right="1159"/>
        <w:spacing w:after="0" w:line="288" w:lineRule="auto"/>
        <w:rPr>
          <w:sz w:val="20"/>
          <w:szCs w:val="20"/>
          <w:color w:val="auto"/>
        </w:rPr>
      </w:pPr>
      <w:r>
        <w:rPr>
          <w:rFonts w:ascii="Arial" w:cs="Arial" w:eastAsia="Arial" w:hAnsi="Arial"/>
          <w:sz w:val="15"/>
          <w:szCs w:val="15"/>
          <w:i w:val="1"/>
          <w:iCs w:val="1"/>
          <w:color w:val="auto"/>
        </w:rPr>
        <w:t>Any Director may act at any meeting of the Board of Directors by appointing in writing another Director as his or her proxy.</w:t>
      </w:r>
    </w:p>
    <w:p>
      <w:pPr>
        <w:spacing w:after="0" w:line="61" w:lineRule="exact"/>
        <w:rPr>
          <w:sz w:val="20"/>
          <w:szCs w:val="20"/>
          <w:color w:val="auto"/>
        </w:rPr>
      </w:pPr>
    </w:p>
    <w:p>
      <w:pPr>
        <w:jc w:val="both"/>
        <w:ind w:left="1060" w:right="1219"/>
        <w:spacing w:after="0" w:line="247" w:lineRule="auto"/>
        <w:rPr>
          <w:sz w:val="20"/>
          <w:szCs w:val="20"/>
          <w:color w:val="auto"/>
        </w:rPr>
      </w:pPr>
      <w:r>
        <w:rPr>
          <w:rFonts w:ascii="Arial" w:cs="Arial" w:eastAsia="Arial" w:hAnsi="Arial"/>
          <w:sz w:val="15"/>
          <w:szCs w:val="15"/>
          <w:i w:val="1"/>
          <w:iCs w:val="1"/>
          <w:color w:val="auto"/>
        </w:rPr>
        <w:t>A quorum of the Board of Directors or any of its Committees (as defined in Article 16) shall mean the presence or the representation of at least fifty percent (50%) of the Directors or Committee members, as applicable, holding office (provided that the presence or the representation of at least two</w:t>
      </w:r>
    </w:p>
    <w:p>
      <w:pPr>
        <w:spacing w:after="0" w:line="2"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(2) members of the Board of Directors or Committee, as applicable, shall be required).</w:t>
      </w:r>
    </w:p>
    <w:p>
      <w:pPr>
        <w:spacing w:after="0" w:line="108" w:lineRule="exact"/>
        <w:rPr>
          <w:sz w:val="20"/>
          <w:szCs w:val="20"/>
          <w:color w:val="auto"/>
        </w:rPr>
      </w:pPr>
    </w:p>
    <w:p>
      <w:pPr>
        <w:ind w:left="1060" w:right="1259"/>
        <w:spacing w:after="0" w:line="254" w:lineRule="auto"/>
        <w:rPr>
          <w:sz w:val="20"/>
          <w:szCs w:val="20"/>
          <w:color w:val="auto"/>
        </w:rPr>
      </w:pPr>
      <w:r>
        <w:rPr>
          <w:rFonts w:ascii="Arial" w:cs="Arial" w:eastAsia="Arial" w:hAnsi="Arial"/>
          <w:sz w:val="15"/>
          <w:szCs w:val="15"/>
          <w:i w:val="1"/>
          <w:iCs w:val="1"/>
          <w:color w:val="auto"/>
        </w:rPr>
        <w:t xml:space="preserve">Decisions will be taken by a majority of the votes of the Directors present or represented at such meeting. In case of a voting tie, the </w:t>
      </w:r>
      <w:r>
        <w:rPr>
          <w:rFonts w:ascii="Arial" w:cs="Arial" w:eastAsia="Arial" w:hAnsi="Arial"/>
          <w:sz w:val="15"/>
          <w:szCs w:val="15"/>
          <w:color w:val="FF0000"/>
          <w:strike w:val="1"/>
        </w:rPr>
        <w:t>Chairman</w:t>
      </w:r>
      <w:r>
        <w:rPr>
          <w:rFonts w:ascii="Arial" w:cs="Arial" w:eastAsia="Arial" w:hAnsi="Arial"/>
          <w:sz w:val="15"/>
          <w:szCs w:val="15"/>
          <w:i w:val="1"/>
          <w:iCs w:val="1"/>
          <w:u w:val="single" w:color="auto"/>
          <w:color w:val="0000FF"/>
        </w:rPr>
        <w:t>Chair, or when applicable, the pro tempore chair,</w:t>
      </w:r>
      <w:r>
        <w:rPr>
          <w:rFonts w:ascii="Arial" w:cs="Arial" w:eastAsia="Arial" w:hAnsi="Arial"/>
          <w:sz w:val="15"/>
          <w:szCs w:val="15"/>
          <w:i w:val="1"/>
          <w:iCs w:val="1"/>
          <w:color w:val="auto"/>
        </w:rPr>
        <w:t xml:space="preserve"> shall </w:t>
      </w:r>
      <w:r>
        <w:rPr>
          <w:rFonts w:ascii="Arial" w:cs="Arial" w:eastAsia="Arial" w:hAnsi="Arial"/>
          <w:sz w:val="15"/>
          <w:szCs w:val="15"/>
          <w:color w:val="FF0000"/>
          <w:strike w:val="1"/>
        </w:rPr>
        <w:t>have</w:t>
      </w:r>
      <w:r>
        <w:rPr>
          <w:rFonts w:ascii="Arial" w:cs="Arial" w:eastAsia="Arial" w:hAnsi="Arial"/>
          <w:sz w:val="15"/>
          <w:szCs w:val="15"/>
          <w:i w:val="1"/>
          <w:iCs w:val="1"/>
          <w:u w:val="single" w:color="auto"/>
          <w:color w:val="0000FF"/>
        </w:rPr>
        <w:t>cast</w:t>
      </w:r>
      <w:r>
        <w:rPr>
          <w:rFonts w:ascii="Arial" w:cs="Arial" w:eastAsia="Arial" w:hAnsi="Arial"/>
          <w:sz w:val="15"/>
          <w:szCs w:val="15"/>
          <w:color w:val="FF0000"/>
        </w:rPr>
        <w:t xml:space="preserve"> </w:t>
      </w:r>
      <w:r>
        <w:rPr>
          <w:rFonts w:ascii="Arial" w:cs="Arial" w:eastAsia="Arial" w:hAnsi="Arial"/>
          <w:sz w:val="15"/>
          <w:szCs w:val="15"/>
          <w:i w:val="1"/>
          <w:iCs w:val="1"/>
          <w:color w:val="000000"/>
        </w:rPr>
        <w:t>the deciding vote.</w:t>
      </w:r>
    </w:p>
    <w:p>
      <w:pPr>
        <w:spacing w:after="0" w:line="86" w:lineRule="exact"/>
        <w:rPr>
          <w:sz w:val="20"/>
          <w:szCs w:val="20"/>
          <w:color w:val="auto"/>
        </w:rPr>
      </w:pPr>
    </w:p>
    <w:p>
      <w:pPr>
        <w:ind w:left="1060" w:right="1099"/>
        <w:spacing w:after="0" w:line="253" w:lineRule="auto"/>
        <w:rPr>
          <w:sz w:val="20"/>
          <w:szCs w:val="20"/>
          <w:color w:val="auto"/>
        </w:rPr>
      </w:pPr>
      <w:r>
        <w:rPr>
          <w:rFonts w:ascii="Arial" w:cs="Arial" w:eastAsia="Arial" w:hAnsi="Arial"/>
          <w:sz w:val="15"/>
          <w:szCs w:val="15"/>
          <w:i w:val="1"/>
          <w:iCs w:val="1"/>
          <w:color w:val="auto"/>
        </w:rPr>
        <w:t>One or more Directors may participate in a meeting by means of a conference call, by videoconference or by any similar means of communication enabling several persons participating therein to simultaneously communicate with each other. Such meetings shall be considered equivalent to a meeting held at the registered office of the Company.</w:t>
      </w:r>
    </w:p>
    <w:p>
      <w:pPr>
        <w:spacing w:after="0" w:line="87" w:lineRule="exact"/>
        <w:rPr>
          <w:sz w:val="20"/>
          <w:szCs w:val="20"/>
          <w:color w:val="auto"/>
        </w:rPr>
      </w:pPr>
    </w:p>
    <w:p>
      <w:pPr>
        <w:ind w:left="1060" w:right="1139"/>
        <w:spacing w:after="0" w:line="253" w:lineRule="auto"/>
        <w:rPr>
          <w:sz w:val="20"/>
          <w:szCs w:val="20"/>
          <w:color w:val="auto"/>
        </w:rPr>
      </w:pPr>
      <w:r>
        <w:rPr>
          <w:rFonts w:ascii="Arial" w:cs="Arial" w:eastAsia="Arial" w:hAnsi="Arial"/>
          <w:sz w:val="15"/>
          <w:szCs w:val="15"/>
          <w:color w:val="FF0000"/>
          <w:strike w:val="1"/>
        </w:rPr>
        <w:t>Where time is of the essence, a</w:t>
      </w:r>
      <w:r>
        <w:rPr>
          <w:rFonts w:ascii="Arial" w:cs="Arial" w:eastAsia="Arial" w:hAnsi="Arial"/>
          <w:sz w:val="15"/>
          <w:szCs w:val="15"/>
          <w:i w:val="1"/>
          <w:iCs w:val="1"/>
          <w:u w:val="single" w:color="auto"/>
          <w:color w:val="0000FF"/>
        </w:rPr>
        <w:t>A</w:t>
      </w:r>
      <w:r>
        <w:rPr>
          <w:rFonts w:ascii="Arial" w:cs="Arial" w:eastAsia="Arial" w:hAnsi="Arial"/>
          <w:sz w:val="15"/>
          <w:szCs w:val="15"/>
          <w:color w:val="FF0000"/>
        </w:rPr>
        <w:t xml:space="preserve"> </w:t>
      </w:r>
      <w:r>
        <w:rPr>
          <w:rFonts w:ascii="Arial" w:cs="Arial" w:eastAsia="Arial" w:hAnsi="Arial"/>
          <w:sz w:val="15"/>
          <w:szCs w:val="15"/>
          <w:i w:val="1"/>
          <w:iCs w:val="1"/>
          <w:color w:val="000000"/>
        </w:rPr>
        <w:t>written decision</w:t>
      </w:r>
      <w:r>
        <w:rPr>
          <w:rFonts w:ascii="Arial" w:cs="Arial" w:eastAsia="Arial" w:hAnsi="Arial"/>
          <w:sz w:val="15"/>
          <w:szCs w:val="15"/>
          <w:color w:val="FF0000"/>
        </w:rPr>
        <w:t xml:space="preserve"> </w:t>
      </w:r>
      <w:r>
        <w:rPr>
          <w:rFonts w:ascii="Arial" w:cs="Arial" w:eastAsia="Arial" w:hAnsi="Arial"/>
          <w:sz w:val="15"/>
          <w:szCs w:val="15"/>
          <w:color w:val="FF0000"/>
          <w:strike w:val="1"/>
        </w:rPr>
        <w:t>passed by circular means and expressed by</w:t>
      </w:r>
      <w:r>
        <w:rPr>
          <w:rFonts w:ascii="Arial" w:cs="Arial" w:eastAsia="Arial" w:hAnsi="Arial"/>
          <w:sz w:val="15"/>
          <w:szCs w:val="15"/>
          <w:color w:val="FF0000"/>
        </w:rPr>
        <w:t xml:space="preserve"> </w:t>
      </w:r>
      <w:r>
        <w:rPr>
          <w:rFonts w:ascii="Arial" w:cs="Arial" w:eastAsia="Arial" w:hAnsi="Arial"/>
          <w:sz w:val="15"/>
          <w:szCs w:val="15"/>
          <w:color w:val="FF0000"/>
          <w:strike w:val="1"/>
        </w:rPr>
        <w:t>cable, facsimile or any other similar means of communication</w:t>
      </w:r>
      <w:r>
        <w:rPr>
          <w:rFonts w:ascii="Arial" w:cs="Arial" w:eastAsia="Arial" w:hAnsi="Arial"/>
          <w:sz w:val="15"/>
          <w:szCs w:val="15"/>
          <w:i w:val="1"/>
          <w:iCs w:val="1"/>
          <w:color w:val="000000"/>
        </w:rPr>
        <w:t>, signed by all the Directors, is</w:t>
      </w:r>
    </w:p>
    <w:p>
      <w:pPr>
        <w:spacing w:after="0" w:line="1" w:lineRule="exact"/>
        <w:rPr>
          <w:sz w:val="20"/>
          <w:szCs w:val="20"/>
          <w:color w:val="auto"/>
        </w:rPr>
      </w:pPr>
    </w:p>
    <w:p>
      <w:pPr>
        <w:ind w:left="1060" w:right="1199"/>
        <w:spacing w:after="0" w:line="241" w:lineRule="auto"/>
        <w:rPr>
          <w:sz w:val="20"/>
          <w:szCs w:val="20"/>
          <w:color w:val="auto"/>
        </w:rPr>
      </w:pPr>
      <w:r>
        <w:rPr>
          <w:rFonts w:ascii="Arial" w:cs="Arial" w:eastAsia="Arial" w:hAnsi="Arial"/>
          <w:sz w:val="15"/>
          <w:szCs w:val="15"/>
          <w:i w:val="1"/>
          <w:iCs w:val="1"/>
          <w:color w:val="auto"/>
        </w:rPr>
        <w:t xml:space="preserve">proper and valid as </w:t>
      </w:r>
      <w:r>
        <w:rPr>
          <w:rFonts w:ascii="Arial" w:cs="Arial" w:eastAsia="Arial" w:hAnsi="Arial"/>
          <w:sz w:val="15"/>
          <w:szCs w:val="15"/>
          <w:color w:val="FF0000"/>
          <w:strike w:val="1"/>
        </w:rPr>
        <w:t>though</w:t>
      </w:r>
      <w:r>
        <w:rPr>
          <w:rFonts w:ascii="Arial" w:cs="Arial" w:eastAsia="Arial" w:hAnsi="Arial"/>
          <w:sz w:val="15"/>
          <w:szCs w:val="15"/>
          <w:i w:val="1"/>
          <w:iCs w:val="1"/>
          <w:u w:val="single" w:color="auto"/>
          <w:color w:val="0000FF"/>
        </w:rPr>
        <w:t>if</w:t>
      </w:r>
      <w:r>
        <w:rPr>
          <w:rFonts w:ascii="Arial" w:cs="Arial" w:eastAsia="Arial" w:hAnsi="Arial"/>
          <w:sz w:val="15"/>
          <w:szCs w:val="15"/>
          <w:i w:val="1"/>
          <w:iCs w:val="1"/>
          <w:color w:val="auto"/>
        </w:rPr>
        <w:t xml:space="preserve"> it had been adopted at a meeting of the Board of Directors which was duly convened and held. Such a decision can be documented in a single document</w:t>
      </w:r>
      <w:r>
        <w:rPr>
          <w:rFonts w:ascii="Arial" w:cs="Arial" w:eastAsia="Arial" w:hAnsi="Arial"/>
          <w:sz w:val="15"/>
          <w:szCs w:val="15"/>
          <w:i w:val="1"/>
          <w:iCs w:val="1"/>
          <w:u w:val="single" w:color="auto"/>
          <w:color w:val="0000FF"/>
        </w:rPr>
        <w:t>, signed by all</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Directors,</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or in</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several</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separate</w:t>
      </w:r>
      <w:r>
        <w:rPr>
          <w:rFonts w:ascii="Arial" w:cs="Arial" w:eastAsia="Arial" w:hAnsi="Arial"/>
          <w:sz w:val="15"/>
          <w:szCs w:val="15"/>
          <w:i w:val="1"/>
          <w:iCs w:val="1"/>
          <w:color w:val="0000FF"/>
        </w:rPr>
        <w:t xml:space="preserve"> </w:t>
      </w:r>
      <w:r>
        <w:rPr>
          <w:rFonts w:ascii="Arial" w:cs="Arial" w:eastAsia="Arial" w:hAnsi="Arial"/>
          <w:sz w:val="15"/>
          <w:szCs w:val="15"/>
          <w:i w:val="1"/>
          <w:iCs w:val="1"/>
          <w:u w:val="single" w:color="auto"/>
          <w:color w:val="0000FF"/>
        </w:rPr>
        <w:t>identical</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documents</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having the same content and</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each</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of them</w:t>
      </w:r>
    </w:p>
    <w:p>
      <w:pPr>
        <w:spacing w:after="0" w:line="1"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 xml:space="preserve">signed by </w:t>
      </w:r>
      <w:r>
        <w:rPr>
          <w:rFonts w:ascii="Arial" w:cs="Arial" w:eastAsia="Arial" w:hAnsi="Arial"/>
          <w:sz w:val="15"/>
          <w:szCs w:val="15"/>
          <w:color w:val="FF0000"/>
          <w:strike w:val="1"/>
        </w:rPr>
        <w:t>one or several Directors.</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a Director.</w:t>
      </w:r>
    </w:p>
    <w:p>
      <w:pPr>
        <w:spacing w:after="0" w:line="108" w:lineRule="exact"/>
        <w:rPr>
          <w:sz w:val="20"/>
          <w:szCs w:val="20"/>
          <w:color w:val="auto"/>
        </w:rPr>
      </w:pPr>
    </w:p>
    <w:p>
      <w:pPr>
        <w:ind w:left="1060" w:right="1479"/>
        <w:spacing w:after="0" w:line="272" w:lineRule="auto"/>
        <w:rPr>
          <w:sz w:val="20"/>
          <w:szCs w:val="20"/>
          <w:color w:val="auto"/>
        </w:rPr>
      </w:pPr>
      <w:r>
        <w:rPr>
          <w:rFonts w:ascii="Arial" w:cs="Arial" w:eastAsia="Arial" w:hAnsi="Arial"/>
          <w:sz w:val="15"/>
          <w:szCs w:val="15"/>
          <w:i w:val="1"/>
          <w:iCs w:val="1"/>
          <w:color w:val="auto"/>
        </w:rPr>
        <w:t>The Directors assume, pursuant to their mandate, no personal liability for any commitment validly made by them in the name of the Company.</w:t>
      </w:r>
    </w:p>
    <w:p>
      <w:pPr>
        <w:spacing w:after="0" w:line="73" w:lineRule="exact"/>
        <w:rPr>
          <w:sz w:val="20"/>
          <w:szCs w:val="20"/>
          <w:color w:val="auto"/>
        </w:rPr>
      </w:pPr>
    </w:p>
    <w:p>
      <w:pPr>
        <w:ind w:left="1060" w:right="1239"/>
        <w:spacing w:after="0" w:line="253" w:lineRule="auto"/>
        <w:rPr>
          <w:sz w:val="20"/>
          <w:szCs w:val="20"/>
          <w:color w:val="auto"/>
        </w:rPr>
      </w:pPr>
      <w:r>
        <w:rPr>
          <w:rFonts w:ascii="Arial" w:cs="Arial" w:eastAsia="Arial" w:hAnsi="Arial"/>
          <w:sz w:val="15"/>
          <w:szCs w:val="15"/>
          <w:b w:val="1"/>
          <w:bCs w:val="1"/>
          <w:i w:val="1"/>
          <w:iCs w:val="1"/>
          <w:color w:val="auto"/>
        </w:rPr>
        <w:t xml:space="preserve">Art. 13. Minutes of Meetings of the Board of Directors. </w:t>
      </w:r>
      <w:r>
        <w:rPr>
          <w:rFonts w:ascii="Arial" w:cs="Arial" w:eastAsia="Arial" w:hAnsi="Arial"/>
          <w:sz w:val="15"/>
          <w:szCs w:val="15"/>
          <w:i w:val="1"/>
          <w:iCs w:val="1"/>
          <w:color w:val="auto"/>
        </w:rPr>
        <w:t>The minutes of any meeting of the Board</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 xml:space="preserve">of Directors shall be signed by </w:t>
      </w:r>
      <w:r>
        <w:rPr>
          <w:rFonts w:ascii="Arial" w:cs="Arial" w:eastAsia="Arial" w:hAnsi="Arial"/>
          <w:sz w:val="15"/>
          <w:szCs w:val="15"/>
          <w:color w:val="FF0000"/>
          <w:strike w:val="1"/>
        </w:rPr>
        <w:t>all Directors present and able to vote at the meeting. Any</w:t>
      </w:r>
    </w:p>
    <w:p>
      <w:pPr>
        <w:spacing w:after="0" w:line="1" w:lineRule="exact"/>
        <w:rPr>
          <w:sz w:val="20"/>
          <w:szCs w:val="20"/>
          <w:color w:val="auto"/>
        </w:rPr>
      </w:pPr>
    </w:p>
    <w:p>
      <w:pPr>
        <w:ind w:left="1060"/>
        <w:spacing w:after="0"/>
        <w:rPr>
          <w:sz w:val="20"/>
          <w:szCs w:val="20"/>
          <w:color w:val="auto"/>
        </w:rPr>
      </w:pPr>
      <w:r>
        <w:rPr>
          <w:rFonts w:ascii="Arial" w:cs="Arial" w:eastAsia="Arial" w:hAnsi="Arial"/>
          <w:sz w:val="15"/>
          <w:szCs w:val="15"/>
          <w:color w:val="FF0000"/>
          <w:strike w:val="1"/>
        </w:rPr>
        <w:t xml:space="preserve">proxies will remain attached thereto. </w:t>
      </w:r>
      <w:r>
        <w:rPr>
          <w:rFonts w:ascii="Arial" w:cs="Arial" w:eastAsia="Arial" w:hAnsi="Arial"/>
          <w:sz w:val="15"/>
          <w:szCs w:val="15"/>
          <w:i w:val="1"/>
          <w:iCs w:val="1"/>
          <w:u w:val="single" w:color="auto"/>
          <w:color w:val="0000FF"/>
          <w:strike w:val="1"/>
        </w:rPr>
        <w:t>the Chair or the Secretary.</w:t>
      </w:r>
    </w:p>
    <w:p>
      <w:pPr>
        <w:spacing w:after="0" w:line="108"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Copies or extracts thereof shall be certified by the Secretary appointed by the Board of Directors.</w:t>
      </w:r>
    </w:p>
    <w:p>
      <w:pPr>
        <w:spacing w:after="0" w:line="122" w:lineRule="exact"/>
        <w:rPr>
          <w:sz w:val="20"/>
          <w:szCs w:val="20"/>
          <w:color w:val="auto"/>
        </w:rPr>
      </w:pPr>
    </w:p>
    <w:p>
      <w:pPr>
        <w:ind w:left="1060"/>
        <w:spacing w:after="0"/>
        <w:tabs>
          <w:tab w:leader="none" w:pos="4720" w:val="left"/>
        </w:tabs>
        <w:rPr>
          <w:sz w:val="20"/>
          <w:szCs w:val="20"/>
          <w:color w:val="auto"/>
        </w:rPr>
      </w:pPr>
      <w:r>
        <w:rPr>
          <w:rFonts w:ascii="Arial" w:cs="Arial" w:eastAsia="Arial" w:hAnsi="Arial"/>
          <w:sz w:val="15"/>
          <w:szCs w:val="15"/>
          <w:b w:val="1"/>
          <w:bCs w:val="1"/>
          <w:i w:val="1"/>
          <w:iCs w:val="1"/>
          <w:color w:val="auto"/>
        </w:rPr>
        <w:t>Art. 14. General Powers of the Board of Directors.</w:t>
      </w:r>
      <w:r>
        <w:rPr>
          <w:sz w:val="20"/>
          <w:szCs w:val="20"/>
          <w:color w:val="auto"/>
        </w:rPr>
        <w:tab/>
      </w:r>
      <w:r>
        <w:rPr>
          <w:rFonts w:ascii="Arial" w:cs="Arial" w:eastAsia="Arial" w:hAnsi="Arial"/>
          <w:sz w:val="15"/>
          <w:szCs w:val="15"/>
          <w:i w:val="1"/>
          <w:iCs w:val="1"/>
          <w:color w:val="auto"/>
        </w:rPr>
        <w:t>The Board of Directors is vested with the</w:t>
      </w:r>
    </w:p>
    <w:p>
      <w:pPr>
        <w:spacing w:after="0" w:line="23" w:lineRule="exact"/>
        <w:rPr>
          <w:sz w:val="20"/>
          <w:szCs w:val="20"/>
          <w:color w:val="auto"/>
        </w:rPr>
      </w:pPr>
    </w:p>
    <w:p>
      <w:pPr>
        <w:ind w:left="1060" w:right="1139"/>
        <w:spacing w:after="0" w:line="246" w:lineRule="auto"/>
        <w:rPr>
          <w:sz w:val="20"/>
          <w:szCs w:val="20"/>
          <w:color w:val="auto"/>
        </w:rPr>
      </w:pPr>
      <w:r>
        <w:rPr>
          <w:rFonts w:ascii="Arial" w:cs="Arial" w:eastAsia="Arial" w:hAnsi="Arial"/>
          <w:sz w:val="15"/>
          <w:szCs w:val="15"/>
          <w:i w:val="1"/>
          <w:iCs w:val="1"/>
          <w:color w:val="auto"/>
        </w:rPr>
        <w:t>broadest powers to act on behalf of the Company and to perform or authorize all acts of an administrative or disposal nature that are necessary or useful for accomplishing the Company’s object. All powers not expressly reserved by the Law or by these Articles to the general meeting of shareholders fall within the competence of the Board of Directors.</w:t>
      </w:r>
    </w:p>
    <w:p>
      <w:pPr>
        <w:spacing w:after="0" w:line="93" w:lineRule="exact"/>
        <w:rPr>
          <w:sz w:val="20"/>
          <w:szCs w:val="20"/>
          <w:color w:val="auto"/>
        </w:rPr>
      </w:pPr>
    </w:p>
    <w:p>
      <w:pPr>
        <w:ind w:left="1060" w:right="1339"/>
        <w:spacing w:after="0" w:line="253" w:lineRule="auto"/>
        <w:rPr>
          <w:sz w:val="20"/>
          <w:szCs w:val="20"/>
          <w:color w:val="auto"/>
        </w:rPr>
      </w:pPr>
      <w:r>
        <w:rPr>
          <w:rFonts w:ascii="Arial" w:cs="Arial" w:eastAsia="Arial" w:hAnsi="Arial"/>
          <w:sz w:val="15"/>
          <w:szCs w:val="15"/>
          <w:i w:val="1"/>
          <w:iCs w:val="1"/>
          <w:color w:val="auto"/>
        </w:rPr>
        <w:t>The Board of Directors may freely decide to reimburse any share premium account or any available reserves or funds available on the capital contribution account (compte 115</w:t>
      </w:r>
      <w:r>
        <w:rPr>
          <w:rFonts w:ascii="Arial" w:cs="Arial" w:eastAsia="Arial" w:hAnsi="Arial"/>
          <w:sz w:val="15"/>
          <w:szCs w:val="15"/>
          <w:color w:val="FF0000"/>
          <w:strike w:val="1"/>
        </w:rPr>
        <w:t>, “</w:t>
      </w:r>
      <w:r>
        <w:rPr>
          <w:rFonts w:ascii="Arial" w:cs="Arial" w:eastAsia="Arial" w:hAnsi="Arial"/>
          <w:sz w:val="15"/>
          <w:szCs w:val="15"/>
          <w:i w:val="1"/>
          <w:iCs w:val="1"/>
          <w:color w:val="auto"/>
        </w:rPr>
        <w:t xml:space="preserve"> </w:t>
      </w:r>
      <w:r>
        <w:rPr>
          <w:rFonts w:ascii="Arial" w:cs="Arial" w:eastAsia="Arial" w:hAnsi="Arial"/>
          <w:sz w:val="15"/>
          <w:szCs w:val="15"/>
          <w:i w:val="1"/>
          <w:iCs w:val="1"/>
          <w:color w:val="0000FF"/>
        </w:rPr>
        <w:t>“</w:t>
      </w:r>
      <w:r>
        <w:rPr>
          <w:rFonts w:ascii="Arial" w:cs="Arial" w:eastAsia="Arial" w:hAnsi="Arial"/>
          <w:sz w:val="15"/>
          <w:szCs w:val="15"/>
          <w:i w:val="1"/>
          <w:iCs w:val="1"/>
          <w:color w:val="auto"/>
        </w:rPr>
        <w:t>Apport en capitaux propres non rémunéré par des titres</w:t>
      </w:r>
      <w:r>
        <w:rPr>
          <w:rFonts w:ascii="Arial" w:cs="Arial" w:eastAsia="Arial" w:hAnsi="Arial"/>
          <w:sz w:val="15"/>
          <w:szCs w:val="15"/>
          <w:color w:val="FF0000"/>
          <w:strike w:val="1"/>
        </w:rPr>
        <w:t>”)</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auto"/>
        </w:rPr>
        <w:t xml:space="preserve"> of the Company to its shareholders, in accordance with the provisions of the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3937000</wp:posOffset>
            </wp:positionH>
            <wp:positionV relativeFrom="paragraph">
              <wp:posOffset>-250825</wp:posOffset>
            </wp:positionV>
            <wp:extent cx="5842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8420" cy="6985"/>
                    </a:xfrm>
                    <a:prstGeom prst="rect">
                      <a:avLst/>
                    </a:prstGeom>
                    <a:noFill/>
                  </pic:spPr>
                </pic:pic>
              </a:graphicData>
            </a:graphic>
          </wp:anchor>
        </w:drawing>
      </w:r>
    </w:p>
    <w:p>
      <w:pPr>
        <w:spacing w:after="0" w:line="67" w:lineRule="exact"/>
        <w:rPr>
          <w:sz w:val="20"/>
          <w:szCs w:val="20"/>
          <w:color w:val="auto"/>
        </w:rPr>
      </w:pPr>
    </w:p>
    <w:p>
      <w:pPr>
        <w:ind w:left="1060" w:right="1079"/>
        <w:spacing w:after="0" w:line="253" w:lineRule="auto"/>
        <w:rPr>
          <w:sz w:val="20"/>
          <w:szCs w:val="20"/>
          <w:color w:val="auto"/>
        </w:rPr>
      </w:pPr>
      <w:r>
        <w:rPr>
          <w:rFonts w:ascii="Arial" w:cs="Arial" w:eastAsia="Arial" w:hAnsi="Arial"/>
          <w:sz w:val="15"/>
          <w:szCs w:val="15"/>
          <w:b w:val="1"/>
          <w:bCs w:val="1"/>
          <w:i w:val="1"/>
          <w:iCs w:val="1"/>
          <w:color w:val="auto"/>
        </w:rPr>
        <w:t xml:space="preserve">Art. 15. Confidentiality. </w:t>
      </w:r>
      <w:r>
        <w:rPr>
          <w:rFonts w:ascii="Arial" w:cs="Arial" w:eastAsia="Arial" w:hAnsi="Arial"/>
          <w:sz w:val="15"/>
          <w:szCs w:val="15"/>
          <w:i w:val="1"/>
          <w:iCs w:val="1"/>
          <w:color w:val="auto"/>
        </w:rPr>
        <w:t>Even after the end of their term of office,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FF0000"/>
          <w:strike w:val="1"/>
        </w:rPr>
        <w:t>Directors</w:t>
      </w:r>
      <w:r>
        <w:rPr>
          <w:rFonts w:ascii="Arial" w:cs="Arial" w:eastAsia="Arial" w:hAnsi="Arial"/>
          <w:sz w:val="15"/>
          <w:szCs w:val="15"/>
          <w:i w:val="1"/>
          <w:iCs w:val="1"/>
          <w:u w:val="single" w:color="auto"/>
          <w:color w:val="0000FF"/>
        </w:rPr>
        <w:t>Director(s)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shall not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disclose information about the Company which could be detrimental to the Company’s interests, except when disclosure is required by law, in accordance with and subject to the provisions of Article 444-6 of the Law.</w:t>
      </w:r>
    </w:p>
    <w:p>
      <w:pPr>
        <w:spacing w:after="0" w:line="87" w:lineRule="exact"/>
        <w:rPr>
          <w:sz w:val="20"/>
          <w:szCs w:val="20"/>
          <w:color w:val="auto"/>
        </w:rPr>
      </w:pPr>
    </w:p>
    <w:p>
      <w:pPr>
        <w:ind w:left="1060" w:right="1519"/>
        <w:spacing w:after="0" w:line="254" w:lineRule="auto"/>
        <w:rPr>
          <w:sz w:val="20"/>
          <w:szCs w:val="20"/>
          <w:color w:val="auto"/>
        </w:rPr>
      </w:pPr>
      <w:r>
        <w:rPr>
          <w:rFonts w:ascii="Arial" w:cs="Arial" w:eastAsia="Arial" w:hAnsi="Arial"/>
          <w:sz w:val="15"/>
          <w:szCs w:val="15"/>
          <w:b w:val="1"/>
          <w:bCs w:val="1"/>
          <w:i w:val="1"/>
          <w:iCs w:val="1"/>
          <w:color w:val="auto"/>
        </w:rPr>
        <w:t xml:space="preserve">Art. 16. Committees, Delegation of Powers. </w:t>
      </w:r>
      <w:r>
        <w:rPr>
          <w:rFonts w:ascii="Arial" w:cs="Arial" w:eastAsia="Arial" w:hAnsi="Arial"/>
          <w:sz w:val="15"/>
          <w:szCs w:val="15"/>
          <w:i w:val="1"/>
          <w:iCs w:val="1"/>
          <w:color w:val="auto"/>
        </w:rPr>
        <w:t>The Board of Directors may appoint committees,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including</w:t>
      </w:r>
      <w:r>
        <w:rPr>
          <w:rFonts w:ascii="Arial" w:cs="Arial" w:eastAsia="Arial" w:hAnsi="Arial"/>
          <w:sz w:val="15"/>
          <w:szCs w:val="15"/>
          <w:color w:val="FF0000"/>
          <w:strike w:val="1"/>
        </w:rPr>
        <w:t>,</w:t>
      </w:r>
      <w:r>
        <w:rPr>
          <w:rFonts w:ascii="Arial" w:cs="Arial" w:eastAsia="Arial" w:hAnsi="Arial"/>
          <w:sz w:val="15"/>
          <w:szCs w:val="15"/>
          <w:i w:val="1"/>
          <w:iCs w:val="1"/>
          <w:color w:val="auto"/>
        </w:rPr>
        <w:t xml:space="preserve"> but not limited to</w:t>
      </w:r>
      <w:r>
        <w:rPr>
          <w:rFonts w:ascii="Arial" w:cs="Arial" w:eastAsia="Arial" w:hAnsi="Arial"/>
          <w:sz w:val="15"/>
          <w:szCs w:val="15"/>
          <w:color w:val="FF0000"/>
          <w:strike w:val="1"/>
        </w:rPr>
        <w:t>,</w:t>
      </w:r>
      <w:r>
        <w:rPr>
          <w:rFonts w:ascii="Arial" w:cs="Arial" w:eastAsia="Arial" w:hAnsi="Arial"/>
          <w:sz w:val="15"/>
          <w:szCs w:val="15"/>
          <w:i w:val="1"/>
          <w:iCs w:val="1"/>
          <w:color w:val="auto"/>
        </w:rPr>
        <w:t xml:space="preserve"> an Executive Committee, an Audit Committee, a Nomination and Governance Committee, a</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8" w:name="page69"/>
    <w:bookmarkEnd w:id="68"/>
    <w:p>
      <w:pPr>
        <w:ind w:left="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60" w:right="1279"/>
        <w:spacing w:after="0" w:line="262" w:lineRule="auto"/>
        <w:rPr>
          <w:sz w:val="20"/>
          <w:szCs w:val="20"/>
          <w:color w:val="auto"/>
        </w:rPr>
      </w:pPr>
      <w:r>
        <w:rPr>
          <w:rFonts w:ascii="Arial" w:cs="Arial" w:eastAsia="Arial" w:hAnsi="Arial"/>
          <w:sz w:val="15"/>
          <w:szCs w:val="15"/>
          <w:i w:val="1"/>
          <w:iCs w:val="1"/>
          <w:color w:val="auto"/>
        </w:rPr>
        <w:t xml:space="preserve">Compliance Committee and a Compensation Committee (each a </w:t>
      </w:r>
      <w:r>
        <w:rPr>
          <w:rFonts w:ascii="Arial" w:cs="Arial" w:eastAsia="Arial" w:hAnsi="Arial"/>
          <w:sz w:val="15"/>
          <w:szCs w:val="15"/>
          <w:color w:val="FF0000"/>
          <w:strike w:val="1"/>
        </w:rPr>
        <w:t>“</w:t>
      </w:r>
      <w:r>
        <w:rPr>
          <w:rFonts w:ascii="Arial" w:cs="Arial" w:eastAsia="Arial" w:hAnsi="Arial"/>
          <w:sz w:val="15"/>
          <w:szCs w:val="15"/>
          <w:i w:val="1"/>
          <w:iCs w:val="1"/>
          <w:u w:val="single" w:color="auto"/>
          <w:color w:val="0000FF"/>
        </w:rPr>
        <w:t>“</w:t>
      </w:r>
      <w:r>
        <w:rPr>
          <w:rFonts w:ascii="Arial" w:cs="Arial" w:eastAsia="Arial" w:hAnsi="Arial"/>
          <w:sz w:val="15"/>
          <w:szCs w:val="15"/>
          <w:b w:val="1"/>
          <w:bCs w:val="1"/>
          <w:i w:val="1"/>
          <w:iCs w:val="1"/>
          <w:color w:val="auto"/>
        </w:rPr>
        <w:t>Committee</w:t>
      </w:r>
      <w:r>
        <w:rPr>
          <w:rFonts w:ascii="Arial" w:cs="Arial" w:eastAsia="Arial" w:hAnsi="Arial"/>
          <w:sz w:val="15"/>
          <w:szCs w:val="15"/>
          <w:color w:val="FF0000"/>
          <w:strike w:val="1"/>
        </w:rPr>
        <w:t>”</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auto"/>
        </w:rPr>
        <w:t xml:space="preserve"> and collectively, the </w:t>
      </w:r>
      <w:r>
        <w:rPr>
          <w:rFonts w:ascii="Arial" w:cs="Arial" w:eastAsia="Arial" w:hAnsi="Arial"/>
          <w:sz w:val="15"/>
          <w:szCs w:val="15"/>
          <w:color w:val="FF0000"/>
          <w:strike w:val="1"/>
        </w:rPr>
        <w:t>“</w:t>
      </w:r>
      <w:r>
        <w:rPr>
          <w:rFonts w:ascii="Arial" w:cs="Arial" w:eastAsia="Arial" w:hAnsi="Arial"/>
          <w:sz w:val="15"/>
          <w:szCs w:val="15"/>
          <w:i w:val="1"/>
          <w:iCs w:val="1"/>
          <w:u w:val="single" w:color="auto"/>
          <w:color w:val="0000FF"/>
        </w:rPr>
        <w:t>“</w:t>
      </w:r>
      <w:r>
        <w:rPr>
          <w:rFonts w:ascii="Arial" w:cs="Arial" w:eastAsia="Arial" w:hAnsi="Arial"/>
          <w:sz w:val="15"/>
          <w:szCs w:val="15"/>
          <w:b w:val="1"/>
          <w:bCs w:val="1"/>
          <w:i w:val="1"/>
          <w:iCs w:val="1"/>
          <w:color w:val="000000"/>
        </w:rPr>
        <w:t>Committees</w:t>
      </w:r>
      <w:r>
        <w:rPr>
          <w:rFonts w:ascii="Arial" w:cs="Arial" w:eastAsia="Arial" w:hAnsi="Arial"/>
          <w:sz w:val="15"/>
          <w:szCs w:val="15"/>
          <w:color w:val="FF0000"/>
          <w:strike w:val="1"/>
        </w:rPr>
        <w:t>”). ”</w:t>
      </w:r>
      <w:r>
        <w:rPr>
          <w:rFonts w:ascii="Arial" w:cs="Arial" w:eastAsia="Arial" w:hAnsi="Arial"/>
          <w:sz w:val="15"/>
          <w:szCs w:val="15"/>
          <w:i w:val="1"/>
          <w:iCs w:val="1"/>
          <w:u w:val="single" w:color="auto"/>
          <w:color w:val="0000FF"/>
        </w:rPr>
        <w:t>“).</w:t>
      </w:r>
      <w:r>
        <w:rPr>
          <w:rFonts w:ascii="Arial" w:cs="Arial" w:eastAsia="Arial" w:hAnsi="Arial"/>
          <w:sz w:val="15"/>
          <w:szCs w:val="15"/>
          <w:color w:val="FF0000"/>
        </w:rPr>
        <w:t xml:space="preserve"> </w:t>
      </w:r>
      <w:r>
        <w:rPr>
          <w:rFonts w:ascii="Arial" w:cs="Arial" w:eastAsia="Arial" w:hAnsi="Arial"/>
          <w:sz w:val="15"/>
          <w:szCs w:val="15"/>
          <w:i w:val="1"/>
          <w:iCs w:val="1"/>
          <w:color w:val="000000"/>
        </w:rPr>
        <w:t>The Board of Directors will determine each such committee’s composition and</w:t>
      </w:r>
      <w:r>
        <w:rPr>
          <w:rFonts w:ascii="Arial" w:cs="Arial" w:eastAsia="Arial" w:hAnsi="Arial"/>
          <w:sz w:val="15"/>
          <w:szCs w:val="15"/>
          <w:color w:val="FF0000"/>
        </w:rPr>
        <w:t xml:space="preserve"> </w:t>
      </w:r>
      <w:r>
        <w:rPr>
          <w:rFonts w:ascii="Arial" w:cs="Arial" w:eastAsia="Arial" w:hAnsi="Arial"/>
          <w:sz w:val="15"/>
          <w:szCs w:val="15"/>
          <w:i w:val="1"/>
          <w:iCs w:val="1"/>
          <w:color w:val="000000"/>
        </w:rPr>
        <w:t>purpose in accordance with applicable law, rules and regulations.</w:t>
      </w:r>
    </w:p>
    <w:p>
      <w:pPr>
        <w:spacing w:after="0" w:line="80" w:lineRule="exact"/>
        <w:rPr>
          <w:sz w:val="20"/>
          <w:szCs w:val="20"/>
          <w:color w:val="auto"/>
        </w:rPr>
      </w:pPr>
    </w:p>
    <w:p>
      <w:pPr>
        <w:ind w:left="1060" w:right="1199"/>
        <w:spacing w:after="0" w:line="249" w:lineRule="auto"/>
        <w:rPr>
          <w:sz w:val="20"/>
          <w:szCs w:val="20"/>
          <w:color w:val="auto"/>
        </w:rPr>
      </w:pPr>
      <w:r>
        <w:rPr>
          <w:rFonts w:ascii="Arial" w:cs="Arial" w:eastAsia="Arial" w:hAnsi="Arial"/>
          <w:sz w:val="15"/>
          <w:szCs w:val="15"/>
          <w:i w:val="1"/>
          <w:iCs w:val="1"/>
          <w:color w:val="auto"/>
        </w:rPr>
        <w:t>The Board of Directors may delegate its powers to conduct the daily management and affairs of the Company and the representation of the Company for such daily management and affairs to any member or members of the Board of Directors, managers or other officers who need not be shareholders of the Company, including under the form of an Executive Committee, under such terms and with such powers as the Board of Directors shall determine.</w:t>
      </w:r>
    </w:p>
    <w:p>
      <w:pPr>
        <w:spacing w:after="0" w:line="89" w:lineRule="exact"/>
        <w:rPr>
          <w:sz w:val="20"/>
          <w:szCs w:val="20"/>
          <w:color w:val="auto"/>
        </w:rPr>
      </w:pPr>
    </w:p>
    <w:p>
      <w:pPr>
        <w:ind w:left="1060" w:right="1119"/>
        <w:spacing w:after="0" w:line="248" w:lineRule="auto"/>
        <w:rPr>
          <w:sz w:val="20"/>
          <w:szCs w:val="20"/>
          <w:color w:val="auto"/>
        </w:rPr>
      </w:pPr>
      <w:r>
        <w:rPr>
          <w:rFonts w:ascii="Arial" w:cs="Arial" w:eastAsia="Arial" w:hAnsi="Arial"/>
          <w:sz w:val="15"/>
          <w:szCs w:val="15"/>
          <w:i w:val="1"/>
          <w:iCs w:val="1"/>
          <w:color w:val="auto"/>
        </w:rPr>
        <w:t xml:space="preserve">The Board of Directors may also delegate its powers to conduct daily management to a management committee or a managing executive officer (directeur général) in accordance with and subject to the provisions of Article 441-11 of the Law. The Board of Directors is authorized to determine the conditions of their appointment, removal, remuneration (if any), duration of mandate and decision-making process. The Board of Directors shall supervise the management committee, if any, and the management director, if any. The members of the management committee and </w:t>
      </w:r>
      <w:r>
        <w:rPr>
          <w:rFonts w:ascii="Arial" w:cs="Arial" w:eastAsia="Arial" w:hAnsi="Arial"/>
          <w:sz w:val="15"/>
          <w:szCs w:val="15"/>
          <w:i w:val="1"/>
          <w:iCs w:val="1"/>
          <w:color w:val="0000FF"/>
        </w:rPr>
        <w:t>the</w:t>
      </w:r>
      <w:r>
        <w:rPr>
          <w:rFonts w:ascii="Arial" w:cs="Arial" w:eastAsia="Arial" w:hAnsi="Arial"/>
          <w:sz w:val="15"/>
          <w:szCs w:val="15"/>
          <w:i w:val="1"/>
          <w:iCs w:val="1"/>
          <w:color w:val="auto"/>
        </w:rPr>
        <w:t xml:space="preserve"> management director, if any, shall comply with the conflicts of interest procedure provided for by Article </w:t>
      </w:r>
      <w:r>
        <w:rPr>
          <w:rFonts w:ascii="Arial" w:cs="Arial" w:eastAsia="Arial" w:hAnsi="Arial"/>
          <w:sz w:val="15"/>
          <w:szCs w:val="15"/>
          <w:color w:val="FF0000"/>
          <w:strike w:val="1"/>
        </w:rPr>
        <w:t>44112</w:t>
      </w:r>
      <w:r>
        <w:rPr>
          <w:rFonts w:ascii="Arial" w:cs="Arial" w:eastAsia="Arial" w:hAnsi="Arial"/>
          <w:sz w:val="15"/>
          <w:szCs w:val="15"/>
          <w:i w:val="1"/>
          <w:iCs w:val="1"/>
          <w:u w:val="single" w:color="auto"/>
          <w:color w:val="0000FF"/>
        </w:rPr>
        <w:t>441-12</w:t>
      </w:r>
      <w:r>
        <w:rPr>
          <w:rFonts w:ascii="Arial" w:cs="Arial" w:eastAsia="Arial" w:hAnsi="Arial"/>
          <w:sz w:val="15"/>
          <w:szCs w:val="15"/>
          <w:i w:val="1"/>
          <w:iCs w:val="1"/>
          <w:color w:val="auto"/>
        </w:rPr>
        <w:t xml:space="preserve"> of the Law as well as with the confidentiality obligations provided for by Article </w:t>
      </w:r>
      <w:r>
        <w:rPr>
          <w:rFonts w:ascii="Arial" w:cs="Arial" w:eastAsia="Arial" w:hAnsi="Arial"/>
          <w:sz w:val="15"/>
          <w:szCs w:val="15"/>
          <w:color w:val="FF0000"/>
          <w:strike w:val="1"/>
        </w:rPr>
        <w:t>4446</w:t>
      </w:r>
      <w:r>
        <w:rPr>
          <w:rFonts w:ascii="Arial" w:cs="Arial" w:eastAsia="Arial" w:hAnsi="Arial"/>
          <w:sz w:val="15"/>
          <w:szCs w:val="15"/>
          <w:i w:val="1"/>
          <w:iCs w:val="1"/>
          <w:u w:val="single" w:color="auto"/>
          <w:color w:val="0000FF"/>
        </w:rPr>
        <w:t>444-6</w:t>
      </w:r>
      <w:r>
        <w:rPr>
          <w:rFonts w:ascii="Arial" w:cs="Arial" w:eastAsia="Arial" w:hAnsi="Arial"/>
          <w:sz w:val="15"/>
          <w:szCs w:val="15"/>
          <w:i w:val="1"/>
          <w:iCs w:val="1"/>
          <w:color w:val="auto"/>
        </w:rPr>
        <w:t xml:space="preserve"> of the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4000500</wp:posOffset>
            </wp:positionH>
            <wp:positionV relativeFrom="paragraph">
              <wp:posOffset>-248920</wp:posOffset>
            </wp:positionV>
            <wp:extent cx="159385"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59385" cy="6985"/>
                    </a:xfrm>
                    <a:prstGeom prst="rect">
                      <a:avLst/>
                    </a:prstGeom>
                    <a:noFill/>
                  </pic:spPr>
                </pic:pic>
              </a:graphicData>
            </a:graphic>
          </wp:anchor>
        </w:drawing>
      </w:r>
    </w:p>
    <w:p>
      <w:pPr>
        <w:spacing w:after="0" w:line="70" w:lineRule="exact"/>
        <w:rPr>
          <w:sz w:val="20"/>
          <w:szCs w:val="20"/>
          <w:color w:val="auto"/>
        </w:rPr>
      </w:pPr>
    </w:p>
    <w:p>
      <w:pPr>
        <w:ind w:left="1060" w:right="1159"/>
        <w:spacing w:after="0" w:line="254" w:lineRule="auto"/>
        <w:rPr>
          <w:sz w:val="20"/>
          <w:szCs w:val="20"/>
          <w:color w:val="auto"/>
        </w:rPr>
      </w:pPr>
      <w:r>
        <w:rPr>
          <w:rFonts w:ascii="Arial" w:cs="Arial" w:eastAsia="Arial" w:hAnsi="Arial"/>
          <w:sz w:val="15"/>
          <w:szCs w:val="15"/>
          <w:i w:val="1"/>
          <w:iCs w:val="1"/>
          <w:color w:val="auto"/>
        </w:rPr>
        <w:t>The Board of Directors may also confer certain special powers and duties to any member(s) of the Board of Directors or any other person(s), who need not be a Director or shareholder of the Company, acting alone or jointly, under such terms as the Board shall determine.</w:t>
      </w:r>
    </w:p>
    <w:p>
      <w:pPr>
        <w:spacing w:after="0" w:line="86" w:lineRule="exact"/>
        <w:rPr>
          <w:sz w:val="20"/>
          <w:szCs w:val="20"/>
          <w:color w:val="auto"/>
        </w:rPr>
      </w:pPr>
    </w:p>
    <w:p>
      <w:pPr>
        <w:ind w:left="1060" w:right="1099"/>
        <w:spacing w:after="0" w:line="262" w:lineRule="auto"/>
        <w:rPr>
          <w:sz w:val="20"/>
          <w:szCs w:val="20"/>
          <w:color w:val="auto"/>
        </w:rPr>
      </w:pPr>
      <w:r>
        <w:rPr>
          <w:rFonts w:ascii="Arial" w:cs="Arial" w:eastAsia="Arial" w:hAnsi="Arial"/>
          <w:sz w:val="15"/>
          <w:szCs w:val="15"/>
          <w:i w:val="1"/>
          <w:iCs w:val="1"/>
          <w:color w:val="auto"/>
        </w:rPr>
        <w:t>If the Board of Directors delegates its powers to conduct daily management as permitted by these Articles, then the Board of Directors must report each year to the annual general meeting on the salary, fees and any advantages granted to the delegate(s).</w:t>
      </w:r>
    </w:p>
    <w:p>
      <w:pPr>
        <w:spacing w:after="0" w:line="80" w:lineRule="exact"/>
        <w:rPr>
          <w:sz w:val="20"/>
          <w:szCs w:val="20"/>
          <w:color w:val="auto"/>
        </w:rPr>
      </w:pPr>
    </w:p>
    <w:p>
      <w:pPr>
        <w:ind w:left="1060"/>
        <w:spacing w:after="0"/>
        <w:tabs>
          <w:tab w:leader="none" w:pos="4040" w:val="left"/>
        </w:tabs>
        <w:rPr>
          <w:sz w:val="20"/>
          <w:szCs w:val="20"/>
          <w:color w:val="auto"/>
        </w:rPr>
      </w:pPr>
      <w:r>
        <w:rPr>
          <w:rFonts w:ascii="Arial" w:cs="Arial" w:eastAsia="Arial" w:hAnsi="Arial"/>
          <w:sz w:val="15"/>
          <w:szCs w:val="15"/>
          <w:b w:val="1"/>
          <w:bCs w:val="1"/>
          <w:i w:val="1"/>
          <w:iCs w:val="1"/>
          <w:color w:val="auto"/>
        </w:rPr>
        <w:t>Art. 17. Representation of the Company.</w:t>
      </w:r>
      <w:r>
        <w:rPr>
          <w:sz w:val="20"/>
          <w:szCs w:val="20"/>
          <w:color w:val="auto"/>
        </w:rPr>
        <w:tab/>
      </w:r>
      <w:r>
        <w:rPr>
          <w:rFonts w:ascii="Arial" w:cs="Arial" w:eastAsia="Arial" w:hAnsi="Arial"/>
          <w:sz w:val="15"/>
          <w:szCs w:val="15"/>
          <w:i w:val="1"/>
          <w:iCs w:val="1"/>
          <w:color w:val="auto"/>
        </w:rPr>
        <w:t>The Company will be bound towards third parties by:</w:t>
      </w:r>
    </w:p>
    <w:p>
      <w:pPr>
        <w:spacing w:after="0" w:line="99" w:lineRule="exact"/>
        <w:rPr>
          <w:sz w:val="20"/>
          <w:szCs w:val="20"/>
          <w:color w:val="auto"/>
        </w:rPr>
      </w:pPr>
    </w:p>
    <w:p>
      <w:pPr>
        <w:ind w:left="1520" w:hanging="153"/>
        <w:spacing w:after="0"/>
        <w:tabs>
          <w:tab w:leader="none" w:pos="1520" w:val="left"/>
        </w:tabs>
        <w:numPr>
          <w:ilvl w:val="0"/>
          <w:numId w:val="57"/>
        </w:numPr>
        <w:rPr>
          <w:rFonts w:ascii="Arial" w:cs="Arial" w:eastAsia="Arial" w:hAnsi="Arial"/>
          <w:sz w:val="15"/>
          <w:szCs w:val="15"/>
          <w:color w:val="auto"/>
        </w:rPr>
      </w:pPr>
      <w:r>
        <w:rPr>
          <w:rFonts w:ascii="Arial" w:cs="Arial" w:eastAsia="Arial" w:hAnsi="Arial"/>
          <w:sz w:val="15"/>
          <w:szCs w:val="15"/>
          <w:i w:val="1"/>
          <w:iCs w:val="1"/>
          <w:color w:val="auto"/>
        </w:rPr>
        <w:t>The joint signature of any two Directors;</w:t>
      </w:r>
    </w:p>
    <w:p>
      <w:pPr>
        <w:spacing w:after="0" w:line="99" w:lineRule="exact"/>
        <w:rPr>
          <w:rFonts w:ascii="Arial" w:cs="Arial" w:eastAsia="Arial" w:hAnsi="Arial"/>
          <w:sz w:val="15"/>
          <w:szCs w:val="15"/>
          <w:color w:val="auto"/>
        </w:rPr>
      </w:pPr>
    </w:p>
    <w:p>
      <w:pPr>
        <w:ind w:left="1520" w:right="1219" w:hanging="153"/>
        <w:spacing w:after="0" w:line="288" w:lineRule="auto"/>
        <w:tabs>
          <w:tab w:leader="none" w:pos="1520" w:val="left"/>
        </w:tabs>
        <w:numPr>
          <w:ilvl w:val="0"/>
          <w:numId w:val="57"/>
        </w:numPr>
        <w:rPr>
          <w:rFonts w:ascii="Arial" w:cs="Arial" w:eastAsia="Arial" w:hAnsi="Arial"/>
          <w:sz w:val="15"/>
          <w:szCs w:val="15"/>
          <w:color w:val="auto"/>
        </w:rPr>
      </w:pPr>
      <w:r>
        <w:rPr>
          <w:rFonts w:ascii="Arial" w:cs="Arial" w:eastAsia="Arial" w:hAnsi="Arial"/>
          <w:sz w:val="15"/>
          <w:szCs w:val="15"/>
          <w:i w:val="1"/>
          <w:iCs w:val="1"/>
          <w:color w:val="auto"/>
        </w:rPr>
        <w:t>The individual signature of the member(s) of a management committee, if such committee has been formed by the Board of Directors; and</w:t>
      </w:r>
    </w:p>
    <w:p>
      <w:pPr>
        <w:spacing w:after="0" w:line="27" w:lineRule="exact"/>
        <w:rPr>
          <w:rFonts w:ascii="Arial" w:cs="Arial" w:eastAsia="Arial" w:hAnsi="Arial"/>
          <w:sz w:val="15"/>
          <w:szCs w:val="15"/>
          <w:color w:val="auto"/>
        </w:rPr>
      </w:pPr>
    </w:p>
    <w:p>
      <w:pPr>
        <w:ind w:left="1520" w:hanging="153"/>
        <w:spacing w:after="0"/>
        <w:tabs>
          <w:tab w:leader="none" w:pos="1520" w:val="left"/>
        </w:tabs>
        <w:numPr>
          <w:ilvl w:val="0"/>
          <w:numId w:val="57"/>
        </w:numPr>
        <w:rPr>
          <w:rFonts w:ascii="Arial" w:cs="Arial" w:eastAsia="Arial" w:hAnsi="Arial"/>
          <w:sz w:val="15"/>
          <w:szCs w:val="15"/>
          <w:color w:val="auto"/>
        </w:rPr>
      </w:pPr>
      <w:r>
        <w:rPr>
          <w:rFonts w:ascii="Arial" w:cs="Arial" w:eastAsia="Arial" w:hAnsi="Arial"/>
          <w:sz w:val="15"/>
          <w:szCs w:val="15"/>
          <w:i w:val="1"/>
          <w:iCs w:val="1"/>
          <w:color w:val="auto"/>
        </w:rPr>
        <w:t>The signature of a management director, if one has been appointed by the Board of Directors;</w:t>
      </w:r>
    </w:p>
    <w:p>
      <w:pPr>
        <w:spacing w:after="0" w:line="99" w:lineRule="exact"/>
        <w:rPr>
          <w:rFonts w:ascii="Arial" w:cs="Arial" w:eastAsia="Arial" w:hAnsi="Arial"/>
          <w:sz w:val="15"/>
          <w:szCs w:val="15"/>
          <w:color w:val="auto"/>
        </w:rPr>
      </w:pPr>
    </w:p>
    <w:p>
      <w:pPr>
        <w:ind w:left="1520" w:right="1199" w:hanging="153"/>
        <w:spacing w:after="0" w:line="269" w:lineRule="auto"/>
        <w:tabs>
          <w:tab w:leader="none" w:pos="1520" w:val="left"/>
        </w:tabs>
        <w:numPr>
          <w:ilvl w:val="0"/>
          <w:numId w:val="57"/>
        </w:numPr>
        <w:rPr>
          <w:rFonts w:ascii="Arial" w:cs="Arial" w:eastAsia="Arial" w:hAnsi="Arial"/>
          <w:sz w:val="15"/>
          <w:szCs w:val="15"/>
          <w:color w:val="auto"/>
        </w:rPr>
      </w:pPr>
      <w:r>
        <w:rPr>
          <w:rFonts w:ascii="Arial" w:cs="Arial" w:eastAsia="Arial" w:hAnsi="Arial"/>
          <w:sz w:val="15"/>
          <w:szCs w:val="15"/>
          <w:i w:val="1"/>
          <w:iCs w:val="1"/>
          <w:color w:val="auto"/>
        </w:rPr>
        <w:t>The individual signature of any other person to whom the Board has delegated the daily management of the Company in accordance with this Article, and then only within the scope of the daily management;</w:t>
      </w:r>
    </w:p>
    <w:p>
      <w:pPr>
        <w:spacing w:after="0" w:line="53" w:lineRule="exact"/>
        <w:rPr>
          <w:rFonts w:ascii="Arial" w:cs="Arial" w:eastAsia="Arial" w:hAnsi="Arial"/>
          <w:sz w:val="15"/>
          <w:szCs w:val="15"/>
          <w:color w:val="auto"/>
        </w:rPr>
      </w:pPr>
    </w:p>
    <w:p>
      <w:pPr>
        <w:ind w:left="1520" w:right="1199" w:hanging="153"/>
        <w:spacing w:after="0" w:line="287" w:lineRule="auto"/>
        <w:tabs>
          <w:tab w:leader="none" w:pos="1520" w:val="left"/>
        </w:tabs>
        <w:numPr>
          <w:ilvl w:val="0"/>
          <w:numId w:val="57"/>
        </w:numPr>
        <w:rPr>
          <w:rFonts w:ascii="Arial" w:cs="Arial" w:eastAsia="Arial" w:hAnsi="Arial"/>
          <w:sz w:val="15"/>
          <w:szCs w:val="15"/>
          <w:color w:val="auto"/>
        </w:rPr>
      </w:pPr>
      <w:r>
        <w:rPr>
          <w:rFonts w:ascii="Arial" w:cs="Arial" w:eastAsia="Arial" w:hAnsi="Arial"/>
          <w:sz w:val="15"/>
          <w:szCs w:val="15"/>
          <w:i w:val="1"/>
          <w:iCs w:val="1"/>
          <w:color w:val="auto"/>
        </w:rPr>
        <w:t>The individual signature of any person(s) to whom signing authority has been delegated by the Board of Directors.</w:t>
      </w:r>
    </w:p>
    <w:p>
      <w:pPr>
        <w:spacing w:after="0" w:line="74" w:lineRule="exact"/>
        <w:rPr>
          <w:sz w:val="20"/>
          <w:szCs w:val="20"/>
          <w:color w:val="auto"/>
        </w:rPr>
      </w:pPr>
    </w:p>
    <w:p>
      <w:pPr>
        <w:ind w:left="1060" w:right="1099"/>
        <w:spacing w:after="0" w:line="257" w:lineRule="auto"/>
        <w:rPr>
          <w:sz w:val="20"/>
          <w:szCs w:val="20"/>
          <w:color w:val="auto"/>
        </w:rPr>
      </w:pPr>
      <w:r>
        <w:rPr>
          <w:rFonts w:ascii="Arial" w:cs="Arial" w:eastAsia="Arial" w:hAnsi="Arial"/>
          <w:sz w:val="15"/>
          <w:szCs w:val="15"/>
          <w:b w:val="1"/>
          <w:bCs w:val="1"/>
          <w:i w:val="1"/>
          <w:iCs w:val="1"/>
          <w:color w:val="auto"/>
        </w:rPr>
        <w:t xml:space="preserve">Art. 18. Conflict of Interests. </w:t>
      </w:r>
      <w:r>
        <w:rPr>
          <w:rFonts w:ascii="Arial" w:cs="Arial" w:eastAsia="Arial" w:hAnsi="Arial"/>
          <w:sz w:val="15"/>
          <w:szCs w:val="15"/>
          <w:i w:val="1"/>
          <w:iCs w:val="1"/>
          <w:color w:val="auto"/>
        </w:rPr>
        <w:t>No contract or other transaction between the Company and any other</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company or firm shall be affected or invalidated by the fact that any one or more of the Directors or officers of the Company have a personal interest in, or are a director, associate, member, officer or employee of such other company or firm. Except as otherwise provided for hereafter, any Director or officer of the Company who serves as a director, associate, member, officer or employee of any company or firm with which the Company shall contract or otherwise engage in business shall not, by reason of such affiliation with such other company or firm, be automatically prevented from considering and voting or acting upon any matters with respect to such contract or other business.</w:t>
      </w:r>
    </w:p>
    <w:p>
      <w:pPr>
        <w:spacing w:after="0" w:line="83" w:lineRule="exact"/>
        <w:rPr>
          <w:sz w:val="20"/>
          <w:szCs w:val="20"/>
          <w:color w:val="auto"/>
        </w:rPr>
      </w:pPr>
    </w:p>
    <w:p>
      <w:pPr>
        <w:ind w:left="1060" w:right="1099"/>
        <w:spacing w:after="0" w:line="259" w:lineRule="auto"/>
        <w:rPr>
          <w:sz w:val="20"/>
          <w:szCs w:val="20"/>
          <w:color w:val="auto"/>
        </w:rPr>
      </w:pPr>
      <w:r>
        <w:rPr>
          <w:rFonts w:ascii="Arial" w:cs="Arial" w:eastAsia="Arial" w:hAnsi="Arial"/>
          <w:sz w:val="15"/>
          <w:szCs w:val="15"/>
          <w:i w:val="1"/>
          <w:iCs w:val="1"/>
          <w:color w:val="auto"/>
        </w:rPr>
        <w:t>Notwithstanding the above, in the event that any Director or officer of the Company has any personal interest in any transaction of the Company, other than transactions concluded under normal conditions and falling within the scope of the day-to-day management of the Company, he or she shall make known to the Board of Directors (if any) such personal interest and shall not consider or vote on any such transaction, and such transaction and such Director’s or officer’s interest therein shall be reported to the next general meeting of shareholders.</w:t>
      </w:r>
    </w:p>
    <w:p>
      <w:pPr>
        <w:spacing w:after="0" w:line="94" w:lineRule="exact"/>
        <w:rPr>
          <w:sz w:val="20"/>
          <w:szCs w:val="20"/>
          <w:color w:val="auto"/>
        </w:rPr>
      </w:pPr>
    </w:p>
    <w:p>
      <w:pPr>
        <w:ind w:left="1060" w:right="1079"/>
        <w:spacing w:after="0" w:line="263" w:lineRule="auto"/>
        <w:rPr>
          <w:sz w:val="20"/>
          <w:szCs w:val="20"/>
          <w:color w:val="auto"/>
        </w:rPr>
      </w:pPr>
      <w:r>
        <w:rPr>
          <w:rFonts w:ascii="Arial" w:cs="Arial" w:eastAsia="Arial" w:hAnsi="Arial"/>
          <w:sz w:val="15"/>
          <w:szCs w:val="15"/>
          <w:i w:val="1"/>
          <w:iCs w:val="1"/>
          <w:color w:val="auto"/>
        </w:rPr>
        <w:t>The Company shall indemnify (or as the case may be advance to) any Director or officer, and his or her heirs, executors and administrators, against expenses and costs (including reasonable lawyers’ fees) reasonably incurred by him in connection with any action, suit or proceeding to which he or she may be made a party by reason of</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217805</wp:posOffset>
            </wp:positionV>
            <wp:extent cx="5728970" cy="400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69" w:name="page70"/>
    <w:bookmarkEnd w:id="69"/>
    <w:p>
      <w:pPr>
        <w:ind w:left="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60" w:right="1119"/>
        <w:spacing w:after="0" w:line="248" w:lineRule="auto"/>
        <w:rPr>
          <w:sz w:val="20"/>
          <w:szCs w:val="20"/>
          <w:color w:val="auto"/>
        </w:rPr>
      </w:pPr>
      <w:r>
        <w:rPr>
          <w:rFonts w:ascii="Arial" w:cs="Arial" w:eastAsia="Arial" w:hAnsi="Arial"/>
          <w:sz w:val="15"/>
          <w:szCs w:val="15"/>
          <w:i w:val="1"/>
          <w:iCs w:val="1"/>
          <w:color w:val="auto"/>
        </w:rPr>
        <w:t>his or her being or having been a director or officer of the Company, or, at the request of the Company, of any other company of which the Company is a shareholder or creditor and by which he is not entitled to be indemnified, except in relation to matters as to which he or she shall be finally adjudged in such action, suit or proceeding to be liable for gross negligence or wilful misconduct; in the event of a settlement, indemnification shall be provided only in connection with such matters covered by the settlement as to which the Company is advised by its legal counsel that the person to be indemnified did not commit such a breach of duty. The foregoing right of indemnification shall not exclude other rights to which he or she may be entitled.</w:t>
      </w:r>
    </w:p>
    <w:p>
      <w:pPr>
        <w:spacing w:after="0" w:line="90" w:lineRule="exact"/>
        <w:rPr>
          <w:sz w:val="20"/>
          <w:szCs w:val="20"/>
          <w:color w:val="auto"/>
        </w:rPr>
      </w:pPr>
    </w:p>
    <w:p>
      <w:pPr>
        <w:jc w:val="both"/>
        <w:ind w:left="1060" w:right="1219"/>
        <w:spacing w:after="0" w:line="254" w:lineRule="auto"/>
        <w:rPr>
          <w:sz w:val="20"/>
          <w:szCs w:val="20"/>
          <w:color w:val="auto"/>
        </w:rPr>
      </w:pPr>
      <w:r>
        <w:rPr>
          <w:rFonts w:ascii="Arial" w:cs="Arial" w:eastAsia="Arial" w:hAnsi="Arial"/>
          <w:sz w:val="15"/>
          <w:szCs w:val="15"/>
          <w:b w:val="1"/>
          <w:bCs w:val="1"/>
          <w:i w:val="1"/>
          <w:iCs w:val="1"/>
          <w:color w:val="auto"/>
        </w:rPr>
        <w:t xml:space="preserve">Art. 19. Auditors. </w:t>
      </w:r>
      <w:r>
        <w:rPr>
          <w:rFonts w:ascii="Arial" w:cs="Arial" w:eastAsia="Arial" w:hAnsi="Arial"/>
          <w:sz w:val="15"/>
          <w:szCs w:val="15"/>
          <w:i w:val="1"/>
          <w:iCs w:val="1"/>
          <w:color w:val="auto"/>
        </w:rPr>
        <w:t>The Company’s operations will be overseen by one or more supervisory auditors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(commissaire(s) aux comptes) and, to the extent required by applicable law, rules and regulations, by one or more independent statutory auditors (réviseur(s) d’entreprises).</w:t>
      </w:r>
    </w:p>
    <w:p>
      <w:pPr>
        <w:spacing w:after="0" w:line="86" w:lineRule="exact"/>
        <w:rPr>
          <w:sz w:val="20"/>
          <w:szCs w:val="20"/>
          <w:color w:val="auto"/>
        </w:rPr>
      </w:pPr>
    </w:p>
    <w:p>
      <w:pPr>
        <w:ind w:left="1060" w:right="1219"/>
        <w:spacing w:after="0" w:line="253" w:lineRule="auto"/>
        <w:rPr>
          <w:sz w:val="20"/>
          <w:szCs w:val="20"/>
          <w:color w:val="auto"/>
        </w:rPr>
      </w:pPr>
      <w:r>
        <w:rPr>
          <w:rFonts w:ascii="Arial" w:cs="Arial" w:eastAsia="Arial" w:hAnsi="Arial"/>
          <w:sz w:val="15"/>
          <w:szCs w:val="15"/>
          <w:i w:val="1"/>
          <w:iCs w:val="1"/>
          <w:color w:val="auto"/>
        </w:rPr>
        <w:t>The auditors will be elected by the general meeting of shareholders by a simple majority of votes present or represented at the meeting, which will determine their number, for a period not exceeding six years. They will hold office until their successors are elected. They shall be eligible for re-election, but they may be removed at any time, with or without cause, by a resolution adopted by a simple majority of votes present or represented at the meeting.</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Chapter IV. Meetings of Shareholders</w:t>
      </w:r>
    </w:p>
    <w:p>
      <w:pPr>
        <w:spacing w:after="0" w:line="122" w:lineRule="exact"/>
        <w:rPr>
          <w:sz w:val="20"/>
          <w:szCs w:val="20"/>
          <w:color w:val="auto"/>
        </w:rPr>
      </w:pPr>
    </w:p>
    <w:p>
      <w:pPr>
        <w:ind w:left="1060" w:right="1139"/>
        <w:spacing w:after="0" w:line="253" w:lineRule="auto"/>
        <w:rPr>
          <w:sz w:val="20"/>
          <w:szCs w:val="20"/>
          <w:color w:val="auto"/>
        </w:rPr>
      </w:pPr>
      <w:r>
        <w:rPr>
          <w:rFonts w:ascii="Arial" w:cs="Arial" w:eastAsia="Arial" w:hAnsi="Arial"/>
          <w:sz w:val="15"/>
          <w:szCs w:val="15"/>
          <w:b w:val="1"/>
          <w:bCs w:val="1"/>
          <w:i w:val="1"/>
          <w:iCs w:val="1"/>
          <w:color w:val="auto"/>
        </w:rPr>
        <w:t xml:space="preserve">Art. 20. Annual General Meeting. </w:t>
      </w:r>
      <w:r>
        <w:rPr>
          <w:rFonts w:ascii="Arial" w:cs="Arial" w:eastAsia="Arial" w:hAnsi="Arial"/>
          <w:sz w:val="15"/>
          <w:szCs w:val="15"/>
          <w:i w:val="1"/>
          <w:iCs w:val="1"/>
          <w:color w:val="auto"/>
        </w:rPr>
        <w:t>The annual general meeting will be held in accordance with</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provisions of Article 450-8 of the Law at the registered office of the Company or at such other place as may be specified in the convening notice and at such time as specified in the convening notice of the meeting.</w:t>
      </w:r>
    </w:p>
    <w:p>
      <w:pPr>
        <w:spacing w:after="0" w:line="87" w:lineRule="exact"/>
        <w:rPr>
          <w:sz w:val="20"/>
          <w:szCs w:val="20"/>
          <w:color w:val="auto"/>
        </w:rPr>
      </w:pPr>
    </w:p>
    <w:p>
      <w:pPr>
        <w:ind w:left="1060" w:right="1159"/>
        <w:spacing w:after="0" w:line="262" w:lineRule="auto"/>
        <w:rPr>
          <w:sz w:val="20"/>
          <w:szCs w:val="20"/>
          <w:color w:val="auto"/>
        </w:rPr>
      </w:pPr>
      <w:r>
        <w:rPr>
          <w:rFonts w:ascii="Arial" w:cs="Arial" w:eastAsia="Arial" w:hAnsi="Arial"/>
          <w:sz w:val="15"/>
          <w:szCs w:val="15"/>
          <w:i w:val="1"/>
          <w:iCs w:val="1"/>
          <w:color w:val="auto"/>
        </w:rPr>
        <w:t xml:space="preserve">If such day is a public holiday, the meeting will be held on the next following business day. </w:t>
      </w:r>
      <w:r>
        <w:rPr>
          <w:rFonts w:ascii="Arial" w:cs="Arial" w:eastAsia="Arial" w:hAnsi="Arial"/>
          <w:sz w:val="15"/>
          <w:szCs w:val="15"/>
          <w:i w:val="1"/>
          <w:iCs w:val="1"/>
          <w:u w:val="single" w:color="auto"/>
          <w:color w:val="0000FF"/>
        </w:rPr>
        <w:t>Such</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meetings shall be validly held if at least 33 1/3% of the issued share capital of the Company is present or represented.</w:t>
      </w:r>
    </w:p>
    <w:p>
      <w:pPr>
        <w:spacing w:after="0" w:line="80" w:lineRule="exact"/>
        <w:rPr>
          <w:sz w:val="20"/>
          <w:szCs w:val="20"/>
          <w:color w:val="auto"/>
        </w:rPr>
      </w:pPr>
    </w:p>
    <w:p>
      <w:pPr>
        <w:ind w:left="1060" w:right="1099"/>
        <w:spacing w:after="0" w:line="244" w:lineRule="auto"/>
        <w:rPr>
          <w:sz w:val="20"/>
          <w:szCs w:val="20"/>
          <w:color w:val="auto"/>
        </w:rPr>
      </w:pPr>
      <w:r>
        <w:rPr>
          <w:rFonts w:ascii="Arial" w:cs="Arial" w:eastAsia="Arial" w:hAnsi="Arial"/>
          <w:sz w:val="15"/>
          <w:szCs w:val="15"/>
          <w:b w:val="1"/>
          <w:bCs w:val="1"/>
          <w:i w:val="1"/>
          <w:iCs w:val="1"/>
          <w:color w:val="auto"/>
        </w:rPr>
        <w:t xml:space="preserve">Art. 21. Other General Meetings of Shareholders. </w:t>
      </w:r>
      <w:r>
        <w:rPr>
          <w:rFonts w:ascii="Arial" w:cs="Arial" w:eastAsia="Arial" w:hAnsi="Arial"/>
          <w:sz w:val="15"/>
          <w:szCs w:val="15"/>
          <w:i w:val="1"/>
          <w:iCs w:val="1"/>
          <w:color w:val="auto"/>
        </w:rPr>
        <w:t>The Board of Directors may convene other</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general meetings. Such meetings must be convened if shareholders representing at least ten percent (10%) of the Company’s share capital so require in writing with an indication of the agenda of the upcoming meeting. If the general meeting is not held within one month of the scheduled date, it may be convened by an agent designated by the presiding judge of the Tribunal d’Arrondissement dealing with commercial matters and hearing interim relief matters, upon the request of one or more shareholders representing the ten percent (10%) threshold. General meetings of shareholders, including the annual general meeting, may be held abroad if, in the discretion of the Board of Directors, circumstances of force majeure so require.</w:t>
      </w:r>
    </w:p>
    <w:p>
      <w:pPr>
        <w:spacing w:after="0" w:line="96" w:lineRule="exact"/>
        <w:rPr>
          <w:sz w:val="20"/>
          <w:szCs w:val="20"/>
          <w:color w:val="auto"/>
        </w:rPr>
      </w:pPr>
    </w:p>
    <w:p>
      <w:pPr>
        <w:ind w:left="1060" w:right="1499"/>
        <w:spacing w:after="0" w:line="288" w:lineRule="auto"/>
        <w:rPr>
          <w:sz w:val="20"/>
          <w:szCs w:val="20"/>
          <w:color w:val="auto"/>
        </w:rPr>
      </w:pPr>
      <w:r>
        <w:rPr>
          <w:rFonts w:ascii="Arial" w:cs="Arial" w:eastAsia="Arial" w:hAnsi="Arial"/>
          <w:sz w:val="15"/>
          <w:szCs w:val="15"/>
          <w:b w:val="1"/>
          <w:bCs w:val="1"/>
          <w:i w:val="1"/>
          <w:iCs w:val="1"/>
          <w:color w:val="auto"/>
        </w:rPr>
        <w:t xml:space="preserve">Art. 22. Powers of the Meeting of Shareholders. </w:t>
      </w:r>
      <w:r>
        <w:rPr>
          <w:rFonts w:ascii="Arial" w:cs="Arial" w:eastAsia="Arial" w:hAnsi="Arial"/>
          <w:sz w:val="15"/>
          <w:szCs w:val="15"/>
          <w:i w:val="1"/>
          <w:iCs w:val="1"/>
          <w:color w:val="auto"/>
        </w:rPr>
        <w:t>Any regularly constituted general meeting of</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shareholders of the Company represents the entire body of shareholders.</w:t>
      </w:r>
    </w:p>
    <w:p>
      <w:pPr>
        <w:spacing w:after="0" w:line="61" w:lineRule="exact"/>
        <w:rPr>
          <w:sz w:val="20"/>
          <w:szCs w:val="20"/>
          <w:color w:val="auto"/>
        </w:rPr>
      </w:pPr>
    </w:p>
    <w:p>
      <w:pPr>
        <w:ind w:left="1060" w:right="1239"/>
        <w:spacing w:after="0" w:line="254" w:lineRule="auto"/>
        <w:rPr>
          <w:sz w:val="20"/>
          <w:szCs w:val="20"/>
          <w:color w:val="auto"/>
        </w:rPr>
      </w:pPr>
      <w:r>
        <w:rPr>
          <w:rFonts w:ascii="Arial" w:cs="Arial" w:eastAsia="Arial" w:hAnsi="Arial"/>
          <w:sz w:val="15"/>
          <w:szCs w:val="15"/>
          <w:i w:val="1"/>
          <w:iCs w:val="1"/>
          <w:color w:val="auto"/>
        </w:rPr>
        <w:t>Subject to all the other powers reserved to the Board of Directors or by the Law or the Articles, the general meeting of shareholders has the broadest powers to adopt, carry out or ratify any act relating to the operations of the Company.</w:t>
      </w:r>
    </w:p>
    <w:p>
      <w:pPr>
        <w:spacing w:after="0" w:line="86"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The shareholders shall neither participate in nor interfere with the management of the Company.</w:t>
      </w:r>
    </w:p>
    <w:p>
      <w:pPr>
        <w:spacing w:after="0" w:line="133" w:lineRule="exact"/>
        <w:rPr>
          <w:sz w:val="20"/>
          <w:szCs w:val="20"/>
          <w:color w:val="auto"/>
        </w:rPr>
      </w:pPr>
    </w:p>
    <w:p>
      <w:pPr>
        <w:ind w:left="1060" w:right="1199"/>
        <w:spacing w:after="0" w:line="253" w:lineRule="auto"/>
        <w:rPr>
          <w:sz w:val="20"/>
          <w:szCs w:val="20"/>
          <w:color w:val="auto"/>
        </w:rPr>
      </w:pPr>
      <w:r>
        <w:rPr>
          <w:rFonts w:ascii="Arial" w:cs="Arial" w:eastAsia="Arial" w:hAnsi="Arial"/>
          <w:sz w:val="15"/>
          <w:szCs w:val="15"/>
          <w:i w:val="1"/>
          <w:iCs w:val="1"/>
          <w:color w:val="auto"/>
        </w:rPr>
        <w:t>In accordance with the provisions of Article 450-1 (8), paragraph 1 of the Law, the Board of Directors shall be authorized to suspend the voting rights of the shareholders who fail to comply with their obligations under these Articles or the provisions of any agreement which may be entered into among the shareholders from time to time.</w:t>
      </w:r>
    </w:p>
    <w:p>
      <w:pPr>
        <w:spacing w:after="0" w:line="87" w:lineRule="exact"/>
        <w:rPr>
          <w:sz w:val="20"/>
          <w:szCs w:val="20"/>
          <w:color w:val="auto"/>
        </w:rPr>
      </w:pPr>
    </w:p>
    <w:p>
      <w:pPr>
        <w:ind w:left="1060" w:right="1279"/>
        <w:spacing w:after="0" w:line="272" w:lineRule="auto"/>
        <w:rPr>
          <w:sz w:val="20"/>
          <w:szCs w:val="20"/>
          <w:color w:val="auto"/>
        </w:rPr>
      </w:pPr>
      <w:r>
        <w:rPr>
          <w:rFonts w:ascii="Arial" w:cs="Arial" w:eastAsia="Arial" w:hAnsi="Arial"/>
          <w:sz w:val="15"/>
          <w:szCs w:val="15"/>
          <w:b w:val="1"/>
          <w:bCs w:val="1"/>
          <w:i w:val="1"/>
          <w:iCs w:val="1"/>
          <w:color w:val="auto"/>
        </w:rPr>
        <w:t xml:space="preserve">Art. 23. Procedure, Vote. </w:t>
      </w:r>
      <w:r>
        <w:rPr>
          <w:rFonts w:ascii="Arial" w:cs="Arial" w:eastAsia="Arial" w:hAnsi="Arial"/>
          <w:sz w:val="15"/>
          <w:szCs w:val="15"/>
          <w:i w:val="1"/>
          <w:iCs w:val="1"/>
          <w:color w:val="auto"/>
        </w:rPr>
        <w:t>The general meeting of shareholders will meet upon call by the Board of</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Directors or the auditor(s) made in compliance with Luxembourg law and the present Articles.</w:t>
      </w:r>
    </w:p>
    <w:p>
      <w:pPr>
        <w:spacing w:after="0" w:line="73" w:lineRule="exact"/>
        <w:rPr>
          <w:sz w:val="20"/>
          <w:szCs w:val="20"/>
          <w:color w:val="auto"/>
        </w:rPr>
      </w:pPr>
    </w:p>
    <w:p>
      <w:pPr>
        <w:ind w:left="1060" w:right="1479"/>
        <w:spacing w:after="0" w:line="299" w:lineRule="auto"/>
        <w:rPr>
          <w:sz w:val="20"/>
          <w:szCs w:val="20"/>
          <w:color w:val="auto"/>
        </w:rPr>
      </w:pPr>
      <w:r>
        <w:rPr>
          <w:rFonts w:ascii="Arial" w:cs="Arial" w:eastAsia="Arial" w:hAnsi="Arial"/>
          <w:sz w:val="15"/>
          <w:szCs w:val="15"/>
          <w:i w:val="1"/>
          <w:iCs w:val="1"/>
          <w:color w:val="auto"/>
        </w:rPr>
        <w:t>The record date for general meetings shall be set by the Board of Directors before the date of the general meeting (the “</w:t>
      </w:r>
      <w:r>
        <w:rPr>
          <w:rFonts w:ascii="Arial" w:cs="Arial" w:eastAsia="Arial" w:hAnsi="Arial"/>
          <w:sz w:val="15"/>
          <w:szCs w:val="15"/>
          <w:b w:val="1"/>
          <w:bCs w:val="1"/>
          <w:i w:val="1"/>
          <w:iCs w:val="1"/>
          <w:color w:val="auto"/>
        </w:rPr>
        <w:t>Record Date</w:t>
      </w:r>
      <w:r>
        <w:rPr>
          <w:rFonts w:ascii="Arial" w:cs="Arial" w:eastAsia="Arial" w:hAnsi="Arial"/>
          <w:sz w:val="15"/>
          <w:szCs w:val="15"/>
          <w:i w:val="1"/>
          <w:iCs w:val="1"/>
          <w:color w:val="auto"/>
        </w:rPr>
        <w:t>”).</w:t>
      </w:r>
    </w:p>
    <w:p>
      <w:pPr>
        <w:spacing w:after="0" w:line="45" w:lineRule="exact"/>
        <w:rPr>
          <w:sz w:val="20"/>
          <w:szCs w:val="20"/>
          <w:color w:val="auto"/>
        </w:rPr>
      </w:pPr>
    </w:p>
    <w:p>
      <w:pPr>
        <w:ind w:left="1060" w:right="1179"/>
        <w:spacing w:after="0" w:line="253" w:lineRule="auto"/>
        <w:rPr>
          <w:sz w:val="20"/>
          <w:szCs w:val="20"/>
          <w:color w:val="auto"/>
        </w:rPr>
      </w:pPr>
      <w:r>
        <w:rPr>
          <w:rFonts w:ascii="Arial" w:cs="Arial" w:eastAsia="Arial" w:hAnsi="Arial"/>
          <w:sz w:val="15"/>
          <w:szCs w:val="15"/>
          <w:i w:val="1"/>
          <w:iCs w:val="1"/>
          <w:color w:val="auto"/>
        </w:rPr>
        <w:t>Shareholders shall notify the Company of their intention to participate in the general meeting in writing by post or electronic means at the postal or electronic address indicated in the convening notice, no later than the day determined by the Board of Directors, which may not be earlier than the Record Date, indicated in the convening notice.</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0" w:name="page71"/>
    <w:bookmarkEnd w:id="70"/>
    <w:p>
      <w:pPr>
        <w:ind w:left="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60" w:right="1299"/>
        <w:spacing w:after="0" w:line="262" w:lineRule="auto"/>
        <w:rPr>
          <w:sz w:val="20"/>
          <w:szCs w:val="20"/>
          <w:color w:val="auto"/>
        </w:rPr>
      </w:pPr>
      <w:r>
        <w:rPr>
          <w:rFonts w:ascii="Arial" w:cs="Arial" w:eastAsia="Arial" w:hAnsi="Arial"/>
          <w:sz w:val="15"/>
          <w:szCs w:val="15"/>
          <w:i w:val="1"/>
          <w:iCs w:val="1"/>
          <w:color w:val="auto"/>
        </w:rPr>
        <w:t>The documents required to be submitted to the shareholders in connection with the general meeting shall be posted on the Company’s corporate website or available for inspection at the Company’s registered offices, as may be required by applicable law.</w:t>
      </w:r>
    </w:p>
    <w:p>
      <w:pPr>
        <w:spacing w:after="0" w:line="80" w:lineRule="exact"/>
        <w:rPr>
          <w:sz w:val="20"/>
          <w:szCs w:val="20"/>
          <w:color w:val="auto"/>
        </w:rPr>
      </w:pPr>
    </w:p>
    <w:p>
      <w:pPr>
        <w:ind w:left="1060" w:right="1359"/>
        <w:spacing w:after="0" w:line="272" w:lineRule="auto"/>
        <w:rPr>
          <w:sz w:val="20"/>
          <w:szCs w:val="20"/>
          <w:color w:val="auto"/>
        </w:rPr>
      </w:pPr>
      <w:r>
        <w:rPr>
          <w:rFonts w:ascii="Arial" w:cs="Arial" w:eastAsia="Arial" w:hAnsi="Arial"/>
          <w:sz w:val="15"/>
          <w:szCs w:val="15"/>
          <w:i w:val="1"/>
          <w:iCs w:val="1"/>
          <w:color w:val="auto"/>
        </w:rPr>
        <w:t>The convening notice sent to the shareholders in accordance with the Law will specify the time and place of the meeting</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auto"/>
        </w:rPr>
        <w:t xml:space="preserve"> as well as the agenda and the nature of the business to be transacted.</w:t>
      </w:r>
    </w:p>
    <w:p>
      <w:pPr>
        <w:spacing w:after="0" w:line="73" w:lineRule="exact"/>
        <w:rPr>
          <w:sz w:val="20"/>
          <w:szCs w:val="20"/>
          <w:color w:val="auto"/>
        </w:rPr>
      </w:pPr>
    </w:p>
    <w:p>
      <w:pPr>
        <w:ind w:left="1060" w:right="1259"/>
        <w:spacing w:after="0" w:line="253" w:lineRule="auto"/>
        <w:rPr>
          <w:sz w:val="20"/>
          <w:szCs w:val="20"/>
          <w:color w:val="auto"/>
        </w:rPr>
      </w:pPr>
      <w:r>
        <w:rPr>
          <w:rFonts w:ascii="Arial" w:cs="Arial" w:eastAsia="Arial" w:hAnsi="Arial"/>
          <w:sz w:val="15"/>
          <w:szCs w:val="15"/>
          <w:i w:val="1"/>
          <w:iCs w:val="1"/>
          <w:color w:val="auto"/>
        </w:rPr>
        <w:t>A shareholder may act at any meeting of shareholders by appointing in writing, whether in original or by electronic means (valid under Luxembourg law), as his or her proxy another person who need not be a shareholder and by notifying such appointment by post or by electronic means at the postal or electronic address indicated in the convening notice.</w:t>
      </w:r>
    </w:p>
    <w:p>
      <w:pPr>
        <w:spacing w:after="0" w:line="87"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The Board of Directors may determine all other conditions that must be fulfilled in order to take part in a</w:t>
      </w:r>
    </w:p>
    <w:p>
      <w:pPr>
        <w:spacing w:after="0" w:line="23" w:lineRule="exact"/>
        <w:rPr>
          <w:sz w:val="20"/>
          <w:szCs w:val="20"/>
          <w:color w:val="auto"/>
        </w:rPr>
      </w:pPr>
    </w:p>
    <w:p>
      <w:pPr>
        <w:ind w:left="1060" w:right="1239"/>
        <w:spacing w:after="0" w:line="252" w:lineRule="auto"/>
        <w:rPr>
          <w:sz w:val="20"/>
          <w:szCs w:val="20"/>
          <w:color w:val="auto"/>
        </w:rPr>
      </w:pPr>
      <w:r>
        <w:rPr>
          <w:rFonts w:ascii="Arial" w:cs="Arial" w:eastAsia="Arial" w:hAnsi="Arial"/>
          <w:sz w:val="15"/>
          <w:szCs w:val="15"/>
          <w:i w:val="1"/>
          <w:iCs w:val="1"/>
          <w:color w:val="auto"/>
        </w:rPr>
        <w:t xml:space="preserve">general meeting of shareholders. </w:t>
      </w:r>
      <w:r>
        <w:rPr>
          <w:rFonts w:ascii="Arial" w:cs="Arial" w:eastAsia="Arial" w:hAnsi="Arial"/>
          <w:sz w:val="15"/>
          <w:szCs w:val="15"/>
          <w:i w:val="1"/>
          <w:iCs w:val="1"/>
          <w:u w:val="single" w:color="auto"/>
          <w:color w:val="0000FF"/>
        </w:rPr>
        <w:t>The Chair or another person appointed by the Board shall chair the</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general meeting of shareholders.</w:t>
      </w:r>
    </w:p>
    <w:p>
      <w:pPr>
        <w:spacing w:after="0" w:line="88" w:lineRule="exact"/>
        <w:rPr>
          <w:sz w:val="20"/>
          <w:szCs w:val="20"/>
          <w:color w:val="auto"/>
        </w:rPr>
      </w:pPr>
    </w:p>
    <w:p>
      <w:pPr>
        <w:ind w:left="1060" w:right="1179"/>
        <w:spacing w:after="0" w:line="262" w:lineRule="auto"/>
        <w:rPr>
          <w:sz w:val="20"/>
          <w:szCs w:val="20"/>
          <w:color w:val="auto"/>
        </w:rPr>
      </w:pPr>
      <w:r>
        <w:rPr>
          <w:rFonts w:ascii="Arial" w:cs="Arial" w:eastAsia="Arial" w:hAnsi="Arial"/>
          <w:sz w:val="15"/>
          <w:szCs w:val="15"/>
          <w:color w:val="FF0000"/>
          <w:strike w:val="1"/>
        </w:rPr>
        <w:t>Except as otherwise required by the Law or by the present Articles, all other resolutions will be taken by a simple majority of votes irrespective of the number of Shares present or represented at the meeting.</w:t>
      </w:r>
    </w:p>
    <w:p>
      <w:pPr>
        <w:spacing w:after="0" w:line="80" w:lineRule="exact"/>
        <w:rPr>
          <w:sz w:val="20"/>
          <w:szCs w:val="20"/>
          <w:color w:val="auto"/>
        </w:rPr>
      </w:pPr>
    </w:p>
    <w:p>
      <w:pPr>
        <w:ind w:left="1060" w:right="1259"/>
        <w:spacing w:after="0" w:line="229" w:lineRule="auto"/>
        <w:rPr>
          <w:sz w:val="20"/>
          <w:szCs w:val="20"/>
          <w:color w:val="auto"/>
        </w:rPr>
      </w:pPr>
      <w:r>
        <w:rPr>
          <w:rFonts w:ascii="Arial" w:cs="Arial" w:eastAsia="Arial" w:hAnsi="Arial"/>
          <w:sz w:val="15"/>
          <w:szCs w:val="15"/>
          <w:i w:val="1"/>
          <w:iCs w:val="1"/>
          <w:u w:val="single" w:color="auto"/>
          <w:color w:val="0000FF"/>
        </w:rPr>
        <w:t>Resolutions to amend these Articles or change the Company’s nationality and resolutions whose adoption is subject, pursuant to these Articles or the Law, to the quorum and majority required to amend the Articles must be approved by at least two thirds (2/3) of the votes cast in accordance with the provisions of Article 450-3 of the Law at a meeting at which at least half  (</w:t>
      </w:r>
      <w:r>
        <w:rPr>
          <w:rFonts w:ascii="Arial" w:cs="Arial" w:eastAsia="Arial" w:hAnsi="Arial"/>
          <w:sz w:val="21"/>
          <w:szCs w:val="21"/>
          <w:i w:val="1"/>
          <w:iCs w:val="1"/>
          <w:u w:val="single" w:color="auto"/>
          <w:color w:val="0000FF"/>
          <w:vertAlign w:val="superscript"/>
        </w:rPr>
        <w:t>1</w:t>
      </w:r>
      <w:r>
        <w:rPr>
          <w:rFonts w:ascii="Arial" w:cs="Arial" w:eastAsia="Arial" w:hAnsi="Arial"/>
          <w:sz w:val="15"/>
          <w:szCs w:val="15"/>
          <w:i w:val="1"/>
          <w:iCs w:val="1"/>
          <w:u w:val="single" w:color="auto"/>
          <w:color w:val="0000FF"/>
        </w:rPr>
        <w:t>∕</w:t>
      </w:r>
      <w:r>
        <w:rPr>
          <w:rFonts w:ascii="Arial" w:cs="Arial" w:eastAsia="Arial" w:hAnsi="Arial"/>
          <w:sz w:val="10"/>
          <w:szCs w:val="10"/>
          <w:i w:val="1"/>
          <w:iCs w:val="1"/>
          <w:u w:val="single" w:color="auto"/>
          <w:color w:val="0000FF"/>
        </w:rPr>
        <w:t>2</w:t>
      </w:r>
      <w:r>
        <w:rPr>
          <w:rFonts w:ascii="Arial" w:cs="Arial" w:eastAsia="Arial" w:hAnsi="Arial"/>
          <w:sz w:val="15"/>
          <w:szCs w:val="15"/>
          <w:i w:val="1"/>
          <w:iCs w:val="1"/>
          <w:u w:val="single" w:color="auto"/>
          <w:color w:val="0000FF"/>
        </w:rPr>
        <w:t>) the issued and</w:t>
      </w:r>
    </w:p>
    <w:p>
      <w:pPr>
        <w:spacing w:after="0" w:line="3" w:lineRule="exact"/>
        <w:rPr>
          <w:sz w:val="20"/>
          <w:szCs w:val="20"/>
          <w:color w:val="auto"/>
        </w:rPr>
      </w:pPr>
    </w:p>
    <w:p>
      <w:pPr>
        <w:jc w:val="both"/>
        <w:ind w:left="1060" w:right="1179"/>
        <w:spacing w:after="0" w:line="244" w:lineRule="auto"/>
        <w:rPr>
          <w:sz w:val="20"/>
          <w:szCs w:val="20"/>
          <w:color w:val="auto"/>
        </w:rPr>
      </w:pPr>
      <w:r>
        <w:rPr>
          <w:rFonts w:ascii="Arial" w:cs="Arial" w:eastAsia="Arial" w:hAnsi="Arial"/>
          <w:sz w:val="15"/>
          <w:szCs w:val="15"/>
          <w:i w:val="1"/>
          <w:iCs w:val="1"/>
          <w:u w:val="single" w:color="auto"/>
          <w:color w:val="0000FF"/>
        </w:rPr>
        <w:t>outstanding shares are present or represented. If this quorum is not met at the first meeting, a second meeting, with the same agenda, may be called, in accordance with the provisions of the Act, for which a quorum of 33 1/3% shall be required.</w:t>
      </w:r>
    </w:p>
    <w:p>
      <w:pPr>
        <w:spacing w:after="0" w:line="93" w:lineRule="exact"/>
        <w:rPr>
          <w:sz w:val="20"/>
          <w:szCs w:val="20"/>
          <w:color w:val="auto"/>
        </w:rPr>
      </w:pPr>
    </w:p>
    <w:p>
      <w:pPr>
        <w:ind w:left="1060" w:right="1279"/>
        <w:spacing w:after="0" w:line="287" w:lineRule="auto"/>
        <w:rPr>
          <w:sz w:val="20"/>
          <w:szCs w:val="20"/>
          <w:color w:val="auto"/>
        </w:rPr>
      </w:pPr>
      <w:r>
        <w:rPr>
          <w:rFonts w:ascii="Arial" w:cs="Arial" w:eastAsia="Arial" w:hAnsi="Arial"/>
          <w:sz w:val="15"/>
          <w:szCs w:val="15"/>
          <w:i w:val="1"/>
          <w:iCs w:val="1"/>
          <w:color w:val="auto"/>
        </w:rPr>
        <w:t>All other decisions must be approved by the general meeting of shareholders by a simple majority of the votes cast, and a quorum of 33 1/3% shall be required.</w:t>
      </w:r>
    </w:p>
    <w:p>
      <w:pPr>
        <w:spacing w:after="0" w:line="63" w:lineRule="exact"/>
        <w:rPr>
          <w:sz w:val="20"/>
          <w:szCs w:val="20"/>
          <w:color w:val="auto"/>
        </w:rPr>
      </w:pPr>
    </w:p>
    <w:p>
      <w:pPr>
        <w:ind w:left="1060" w:right="1239"/>
        <w:spacing w:after="0" w:line="245" w:lineRule="auto"/>
        <w:rPr>
          <w:sz w:val="20"/>
          <w:szCs w:val="20"/>
          <w:color w:val="auto"/>
        </w:rPr>
      </w:pPr>
      <w:r>
        <w:rPr>
          <w:rFonts w:ascii="Arial" w:cs="Arial" w:eastAsia="Arial" w:hAnsi="Arial"/>
          <w:sz w:val="15"/>
          <w:szCs w:val="15"/>
          <w:i w:val="1"/>
          <w:iCs w:val="1"/>
          <w:color w:val="auto"/>
        </w:rPr>
        <w:t>When organizing a general meeting, the Board of Directors may in its sole discretion allow the following forms of participation by electronic means: (i) real time transmission of the general meeting;</w:t>
      </w:r>
    </w:p>
    <w:p>
      <w:pPr>
        <w:spacing w:after="0" w:line="1" w:lineRule="exact"/>
        <w:rPr>
          <w:sz w:val="20"/>
          <w:szCs w:val="20"/>
          <w:color w:val="auto"/>
        </w:rPr>
      </w:pPr>
    </w:p>
    <w:p>
      <w:pPr>
        <w:ind w:left="1060" w:right="1239" w:firstLine="5"/>
        <w:spacing w:after="0" w:line="252" w:lineRule="auto"/>
        <w:tabs>
          <w:tab w:leader="none" w:pos="1269" w:val="left"/>
        </w:tabs>
        <w:numPr>
          <w:ilvl w:val="0"/>
          <w:numId w:val="58"/>
        </w:numPr>
        <w:rPr>
          <w:rFonts w:ascii="Arial" w:cs="Arial" w:eastAsia="Arial" w:hAnsi="Arial"/>
          <w:sz w:val="15"/>
          <w:szCs w:val="15"/>
          <w:i w:val="1"/>
          <w:iCs w:val="1"/>
          <w:color w:val="auto"/>
        </w:rPr>
      </w:pPr>
      <w:r>
        <w:rPr>
          <w:rFonts w:ascii="Arial" w:cs="Arial" w:eastAsia="Arial" w:hAnsi="Arial"/>
          <w:sz w:val="15"/>
          <w:szCs w:val="15"/>
          <w:i w:val="1"/>
          <w:iCs w:val="1"/>
          <w:color w:val="auto"/>
        </w:rPr>
        <w:t>real time two-way communication enabling shareholders to address the general meeting from a remote location; or (iii) a mechanism for casting votes, whether before or during the general meeting, without the need to appoint a proxyholder physically present at the meeting.</w:t>
      </w:r>
    </w:p>
    <w:p>
      <w:pPr>
        <w:spacing w:after="0" w:line="87" w:lineRule="exact"/>
        <w:rPr>
          <w:sz w:val="20"/>
          <w:szCs w:val="20"/>
          <w:color w:val="auto"/>
        </w:rPr>
      </w:pPr>
    </w:p>
    <w:p>
      <w:pPr>
        <w:ind w:left="1060" w:right="1279"/>
        <w:spacing w:after="0" w:line="262" w:lineRule="auto"/>
        <w:rPr>
          <w:sz w:val="20"/>
          <w:szCs w:val="20"/>
          <w:color w:val="auto"/>
        </w:rPr>
      </w:pPr>
      <w:r>
        <w:rPr>
          <w:rFonts w:ascii="Arial" w:cs="Arial" w:eastAsia="Arial" w:hAnsi="Arial"/>
          <w:sz w:val="15"/>
          <w:szCs w:val="15"/>
          <w:i w:val="1"/>
          <w:iCs w:val="1"/>
          <w:color w:val="auto"/>
        </w:rPr>
        <w:t>The Board of Directors may also determine that shareholders may vote from a remote location by correspondence, by completing a voting form provided by the Company which includes the following information:</w:t>
      </w:r>
    </w:p>
    <w:p>
      <w:pPr>
        <w:spacing w:after="0" w:line="46" w:lineRule="exact"/>
        <w:rPr>
          <w:sz w:val="20"/>
          <w:szCs w:val="20"/>
          <w:color w:val="auto"/>
        </w:rPr>
      </w:pPr>
    </w:p>
    <w:p>
      <w:pPr>
        <w:ind w:left="1520" w:hanging="153"/>
        <w:spacing w:after="0"/>
        <w:tabs>
          <w:tab w:leader="none" w:pos="1520" w:val="left"/>
        </w:tabs>
        <w:numPr>
          <w:ilvl w:val="0"/>
          <w:numId w:val="59"/>
        </w:numPr>
        <w:rPr>
          <w:rFonts w:ascii="Arial" w:cs="Arial" w:eastAsia="Arial" w:hAnsi="Arial"/>
          <w:sz w:val="15"/>
          <w:szCs w:val="15"/>
          <w:color w:val="auto"/>
        </w:rPr>
      </w:pPr>
      <w:r>
        <w:rPr>
          <w:rFonts w:ascii="Arial" w:cs="Arial" w:eastAsia="Arial" w:hAnsi="Arial"/>
          <w:sz w:val="15"/>
          <w:szCs w:val="15"/>
          <w:i w:val="1"/>
          <w:iCs w:val="1"/>
          <w:color w:val="auto"/>
        </w:rPr>
        <w:t>The name, address and any other pertinent information concerning the shareholder.</w:t>
      </w:r>
    </w:p>
    <w:p>
      <w:pPr>
        <w:spacing w:after="0" w:line="99" w:lineRule="exact"/>
        <w:rPr>
          <w:rFonts w:ascii="Arial" w:cs="Arial" w:eastAsia="Arial" w:hAnsi="Arial"/>
          <w:sz w:val="15"/>
          <w:szCs w:val="15"/>
          <w:color w:val="auto"/>
        </w:rPr>
      </w:pPr>
    </w:p>
    <w:p>
      <w:pPr>
        <w:ind w:left="1520" w:right="1259" w:hanging="153"/>
        <w:spacing w:after="0" w:line="288" w:lineRule="auto"/>
        <w:tabs>
          <w:tab w:leader="none" w:pos="1520" w:val="left"/>
        </w:tabs>
        <w:numPr>
          <w:ilvl w:val="0"/>
          <w:numId w:val="59"/>
        </w:numPr>
        <w:rPr>
          <w:rFonts w:ascii="Arial" w:cs="Arial" w:eastAsia="Arial" w:hAnsi="Arial"/>
          <w:sz w:val="15"/>
          <w:szCs w:val="15"/>
          <w:color w:val="auto"/>
        </w:rPr>
      </w:pPr>
      <w:r>
        <w:rPr>
          <w:rFonts w:ascii="Arial" w:cs="Arial" w:eastAsia="Arial" w:hAnsi="Arial"/>
          <w:sz w:val="15"/>
          <w:szCs w:val="15"/>
          <w:i w:val="1"/>
          <w:iCs w:val="1"/>
          <w:color w:val="auto"/>
        </w:rPr>
        <w:t>The number of votes the shareholder wishes to cast, the direction of his or her votes, or his or her abstention.</w:t>
      </w:r>
    </w:p>
    <w:p>
      <w:pPr>
        <w:spacing w:after="0" w:line="38" w:lineRule="exact"/>
        <w:rPr>
          <w:rFonts w:ascii="Arial" w:cs="Arial" w:eastAsia="Arial" w:hAnsi="Arial"/>
          <w:sz w:val="15"/>
          <w:szCs w:val="15"/>
          <w:color w:val="auto"/>
        </w:rPr>
      </w:pPr>
    </w:p>
    <w:p>
      <w:pPr>
        <w:ind w:left="1520" w:hanging="153"/>
        <w:spacing w:after="0"/>
        <w:tabs>
          <w:tab w:leader="none" w:pos="1520" w:val="left"/>
        </w:tabs>
        <w:numPr>
          <w:ilvl w:val="0"/>
          <w:numId w:val="59"/>
        </w:numPr>
        <w:rPr>
          <w:rFonts w:ascii="Arial" w:cs="Arial" w:eastAsia="Arial" w:hAnsi="Arial"/>
          <w:sz w:val="15"/>
          <w:szCs w:val="15"/>
          <w:color w:val="auto"/>
        </w:rPr>
      </w:pPr>
      <w:r>
        <w:rPr>
          <w:rFonts w:ascii="Arial" w:cs="Arial" w:eastAsia="Arial" w:hAnsi="Arial"/>
          <w:sz w:val="15"/>
          <w:szCs w:val="15"/>
          <w:i w:val="1"/>
          <w:iCs w:val="1"/>
          <w:color w:val="auto"/>
        </w:rPr>
        <w:t>The agenda of the meeting including the draft of resolutions.</w:t>
      </w:r>
    </w:p>
    <w:p>
      <w:pPr>
        <w:spacing w:after="0" w:line="99" w:lineRule="exact"/>
        <w:rPr>
          <w:rFonts w:ascii="Arial" w:cs="Arial" w:eastAsia="Arial" w:hAnsi="Arial"/>
          <w:sz w:val="15"/>
          <w:szCs w:val="15"/>
          <w:color w:val="auto"/>
        </w:rPr>
      </w:pPr>
    </w:p>
    <w:p>
      <w:pPr>
        <w:ind w:left="1520" w:right="1079" w:hanging="153"/>
        <w:spacing w:after="0" w:line="269" w:lineRule="auto"/>
        <w:tabs>
          <w:tab w:leader="none" w:pos="1520" w:val="left"/>
        </w:tabs>
        <w:numPr>
          <w:ilvl w:val="0"/>
          <w:numId w:val="59"/>
        </w:numPr>
        <w:rPr>
          <w:rFonts w:ascii="Arial" w:cs="Arial" w:eastAsia="Arial" w:hAnsi="Arial"/>
          <w:sz w:val="15"/>
          <w:szCs w:val="15"/>
          <w:color w:val="auto"/>
        </w:rPr>
      </w:pPr>
      <w:r>
        <w:rPr>
          <w:rFonts w:ascii="Arial" w:cs="Arial" w:eastAsia="Arial" w:hAnsi="Arial"/>
          <w:sz w:val="15"/>
          <w:szCs w:val="15"/>
          <w:i w:val="1"/>
          <w:iCs w:val="1"/>
          <w:color w:val="auto"/>
        </w:rPr>
        <w:t>The option to vote by proxy for any new resolution or any modification of the resolutions properly submitted to the general meeting between the date the shareholder submits his or her form through the meeting date.</w:t>
      </w:r>
    </w:p>
    <w:p>
      <w:pPr>
        <w:spacing w:after="0" w:line="42" w:lineRule="exact"/>
        <w:rPr>
          <w:rFonts w:ascii="Arial" w:cs="Arial" w:eastAsia="Arial" w:hAnsi="Arial"/>
          <w:sz w:val="15"/>
          <w:szCs w:val="15"/>
          <w:color w:val="auto"/>
        </w:rPr>
      </w:pPr>
    </w:p>
    <w:p>
      <w:pPr>
        <w:ind w:left="1520" w:hanging="153"/>
        <w:spacing w:after="0"/>
        <w:tabs>
          <w:tab w:leader="none" w:pos="1520" w:val="left"/>
        </w:tabs>
        <w:numPr>
          <w:ilvl w:val="0"/>
          <w:numId w:val="59"/>
        </w:numPr>
        <w:rPr>
          <w:rFonts w:ascii="Arial" w:cs="Arial" w:eastAsia="Arial" w:hAnsi="Arial"/>
          <w:sz w:val="15"/>
          <w:szCs w:val="15"/>
          <w:color w:val="auto"/>
        </w:rPr>
      </w:pPr>
      <w:r>
        <w:rPr>
          <w:rFonts w:ascii="Arial" w:cs="Arial" w:eastAsia="Arial" w:hAnsi="Arial"/>
          <w:sz w:val="15"/>
          <w:szCs w:val="15"/>
          <w:i w:val="1"/>
          <w:iCs w:val="1"/>
          <w:color w:val="auto"/>
        </w:rPr>
        <w:t>The signature of the shareholder.</w:t>
      </w:r>
    </w:p>
    <w:p>
      <w:pPr>
        <w:spacing w:after="0" w:line="133" w:lineRule="exact"/>
        <w:rPr>
          <w:sz w:val="20"/>
          <w:szCs w:val="20"/>
          <w:color w:val="auto"/>
        </w:rPr>
      </w:pPr>
    </w:p>
    <w:p>
      <w:pPr>
        <w:ind w:left="1060" w:right="1099"/>
        <w:spacing w:after="0" w:line="247" w:lineRule="auto"/>
        <w:rPr>
          <w:sz w:val="20"/>
          <w:szCs w:val="20"/>
          <w:color w:val="auto"/>
        </w:rPr>
      </w:pPr>
      <w:r>
        <w:rPr>
          <w:rFonts w:ascii="Arial" w:cs="Arial" w:eastAsia="Arial" w:hAnsi="Arial"/>
          <w:sz w:val="15"/>
          <w:szCs w:val="15"/>
          <w:i w:val="1"/>
          <w:iCs w:val="1"/>
          <w:color w:val="auto"/>
        </w:rPr>
        <w:t>A shareholder using a voting form and who is not directly recorded in the register of shareholders must annex to the voting form a confirmation of his or her shareholding as of the Record Date as provided in these Articles. Once submitted to the Company, voting forms can neither be retrieved nor cancelled, except that if a shareholder has included a proxy to vote in the circumstances contemplated in the fourth bullet point above, then the shareholder may cancel such proxy or give new voting instructions with regard to the relevant items by written notice as described in the convening notice, before the date specified in the voting form.</w:t>
      </w:r>
    </w:p>
    <w:p>
      <w:pPr>
        <w:spacing w:after="0" w:line="92" w:lineRule="exact"/>
        <w:rPr>
          <w:sz w:val="20"/>
          <w:szCs w:val="20"/>
          <w:color w:val="auto"/>
        </w:rPr>
      </w:pPr>
    </w:p>
    <w:p>
      <w:pPr>
        <w:jc w:val="both"/>
        <w:ind w:left="1060" w:right="1119"/>
        <w:spacing w:after="0" w:line="262" w:lineRule="auto"/>
        <w:rPr>
          <w:sz w:val="20"/>
          <w:szCs w:val="20"/>
          <w:color w:val="auto"/>
        </w:rPr>
      </w:pPr>
      <w:r>
        <w:rPr>
          <w:rFonts w:ascii="Arial" w:cs="Arial" w:eastAsia="Arial" w:hAnsi="Arial"/>
          <w:sz w:val="15"/>
          <w:szCs w:val="15"/>
          <w:i w:val="1"/>
          <w:iCs w:val="1"/>
          <w:color w:val="auto"/>
        </w:rPr>
        <w:t>Any shareholder who participates in a general meeting of the Company by the forgoing means shall be deemed to be present, shall be counted when determining a quorum and shall be entitled to vote on all agenda items of the general meeting.</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1" w:name="page72"/>
    <w:bookmarkEnd w:id="71"/>
    <w:p>
      <w:pPr>
        <w:ind w:left="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60" w:right="1299"/>
        <w:spacing w:after="0" w:line="262" w:lineRule="auto"/>
        <w:rPr>
          <w:sz w:val="20"/>
          <w:szCs w:val="20"/>
          <w:color w:val="auto"/>
        </w:rPr>
      </w:pPr>
      <w:r>
        <w:rPr>
          <w:rFonts w:ascii="Arial" w:cs="Arial" w:eastAsia="Arial" w:hAnsi="Arial"/>
          <w:sz w:val="15"/>
          <w:szCs w:val="15"/>
          <w:i w:val="1"/>
          <w:iCs w:val="1"/>
          <w:color w:val="auto"/>
        </w:rPr>
        <w:t>The Board of Directors may adopt any regulations and rules concerning the participation of shareholders at general meetings in accordance with the Law, including with respect to ensuring the identification of shareholders and proxyholders and the safety of electronic communications.</w:t>
      </w:r>
    </w:p>
    <w:p>
      <w:pPr>
        <w:spacing w:after="0" w:line="80" w:lineRule="exact"/>
        <w:rPr>
          <w:sz w:val="20"/>
          <w:szCs w:val="20"/>
          <w:color w:val="auto"/>
        </w:rPr>
      </w:pPr>
    </w:p>
    <w:p>
      <w:pPr>
        <w:ind w:left="1060" w:right="1399"/>
        <w:spacing w:after="0" w:line="253" w:lineRule="auto"/>
        <w:rPr>
          <w:sz w:val="20"/>
          <w:szCs w:val="20"/>
          <w:color w:val="auto"/>
        </w:rPr>
      </w:pPr>
      <w:r>
        <w:rPr>
          <w:rFonts w:ascii="Arial" w:cs="Arial" w:eastAsia="Arial" w:hAnsi="Arial"/>
          <w:sz w:val="15"/>
          <w:szCs w:val="15"/>
          <w:i w:val="1"/>
          <w:iCs w:val="1"/>
          <w:color w:val="FF0000"/>
          <w:strike w:val="1"/>
        </w:rPr>
        <w:t>Any resolution whose purpose is to amend the present Articles, to change the nationality or whose adoption is subject by virtue of these Articles or, as the case may be, the Law to the quorum and majority rules set for the amendment of the Articles will be taken by two-thirds of shareholders representing at least half of the issued share capital of the Company.</w:t>
      </w:r>
    </w:p>
    <w:p>
      <w:pPr>
        <w:spacing w:after="0" w:line="87" w:lineRule="exact"/>
        <w:rPr>
          <w:sz w:val="20"/>
          <w:szCs w:val="20"/>
          <w:color w:val="auto"/>
        </w:rPr>
      </w:pPr>
    </w:p>
    <w:p>
      <w:pPr>
        <w:ind w:left="1060" w:right="1539"/>
        <w:spacing w:after="0" w:line="288" w:lineRule="auto"/>
        <w:rPr>
          <w:sz w:val="20"/>
          <w:szCs w:val="20"/>
          <w:color w:val="auto"/>
        </w:rPr>
      </w:pPr>
      <w:r>
        <w:rPr>
          <w:rFonts w:ascii="Arial" w:cs="Arial" w:eastAsia="Arial" w:hAnsi="Arial"/>
          <w:sz w:val="15"/>
          <w:szCs w:val="15"/>
          <w:i w:val="1"/>
          <w:iCs w:val="1"/>
          <w:color w:val="auto"/>
        </w:rPr>
        <w:t>The commitments of the shareholders may be increased only with the unanimous consent of the shareholders.</w:t>
      </w:r>
    </w:p>
    <w:p>
      <w:pPr>
        <w:spacing w:after="0" w:line="72" w:lineRule="exact"/>
        <w:rPr>
          <w:sz w:val="20"/>
          <w:szCs w:val="20"/>
          <w:color w:val="auto"/>
        </w:rPr>
      </w:pPr>
    </w:p>
    <w:p>
      <w:pPr>
        <w:jc w:val="both"/>
        <w:ind w:left="1060" w:right="1199"/>
        <w:spacing w:after="0" w:line="263" w:lineRule="auto"/>
        <w:rPr>
          <w:sz w:val="20"/>
          <w:szCs w:val="20"/>
          <w:color w:val="auto"/>
        </w:rPr>
      </w:pPr>
      <w:r>
        <w:rPr>
          <w:rFonts w:ascii="Arial" w:cs="Arial" w:eastAsia="Arial" w:hAnsi="Arial"/>
          <w:sz w:val="15"/>
          <w:szCs w:val="15"/>
          <w:i w:val="1"/>
          <w:iCs w:val="1"/>
          <w:color w:val="auto"/>
        </w:rPr>
        <w:t>Shareholders representing at least ten percent (10%) of the Company’s share capital may request in writing that additional items be included on the agenda of any general meeting. Such request shall be addressed to the registered office of the Company by registered letter at least five (5) days before the date on which the general meeting shall be held.</w:t>
      </w:r>
    </w:p>
    <w:p>
      <w:pPr>
        <w:spacing w:after="0" w:line="81" w:lineRule="exact"/>
        <w:rPr>
          <w:sz w:val="20"/>
          <w:szCs w:val="20"/>
          <w:color w:val="auto"/>
        </w:rPr>
      </w:pPr>
    </w:p>
    <w:p>
      <w:pPr>
        <w:ind w:left="1060" w:right="1079"/>
        <w:spacing w:after="0" w:line="269" w:lineRule="auto"/>
        <w:rPr>
          <w:sz w:val="20"/>
          <w:szCs w:val="20"/>
          <w:color w:val="auto"/>
        </w:rPr>
      </w:pPr>
      <w:r>
        <w:rPr>
          <w:rFonts w:ascii="Arial" w:cs="Arial" w:eastAsia="Arial" w:hAnsi="Arial"/>
          <w:sz w:val="15"/>
          <w:szCs w:val="15"/>
          <w:i w:val="1"/>
          <w:iCs w:val="1"/>
          <w:color w:val="auto"/>
        </w:rPr>
        <w:t>If all the shareholders are present or represented at a general meeting of shareholders and if they state that they have been informed of the agenda of the meeting, the meeting may be held without prior notice.</w:t>
      </w:r>
    </w:p>
    <w:p>
      <w:pPr>
        <w:spacing w:after="0" w:line="87"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One vote is attached to each Share.</w:t>
      </w:r>
    </w:p>
    <w:p>
      <w:pPr>
        <w:spacing w:after="0" w:line="133" w:lineRule="exact"/>
        <w:rPr>
          <w:sz w:val="20"/>
          <w:szCs w:val="20"/>
          <w:color w:val="auto"/>
        </w:rPr>
      </w:pPr>
    </w:p>
    <w:p>
      <w:pPr>
        <w:ind w:left="1060" w:right="1379"/>
        <w:spacing w:after="0" w:line="288" w:lineRule="auto"/>
        <w:rPr>
          <w:sz w:val="20"/>
          <w:szCs w:val="20"/>
          <w:color w:val="auto"/>
        </w:rPr>
      </w:pPr>
      <w:r>
        <w:rPr>
          <w:rFonts w:ascii="Arial" w:cs="Arial" w:eastAsia="Arial" w:hAnsi="Arial"/>
          <w:sz w:val="15"/>
          <w:szCs w:val="15"/>
          <w:i w:val="1"/>
          <w:iCs w:val="1"/>
          <w:color w:val="auto"/>
        </w:rPr>
        <w:t xml:space="preserve">Copies or extracts of the minutes of the resolutions passed by the general meeting of shareholders shall be certified by the </w:t>
      </w:r>
      <w:r>
        <w:rPr>
          <w:rFonts w:ascii="Arial" w:cs="Arial" w:eastAsia="Arial" w:hAnsi="Arial"/>
          <w:sz w:val="15"/>
          <w:szCs w:val="15"/>
          <w:color w:val="FF0000"/>
          <w:strike w:val="1"/>
        </w:rPr>
        <w:t>Chairman</w:t>
      </w:r>
      <w:r>
        <w:rPr>
          <w:rFonts w:ascii="Arial" w:cs="Arial" w:eastAsia="Arial" w:hAnsi="Arial"/>
          <w:sz w:val="15"/>
          <w:szCs w:val="15"/>
          <w:i w:val="1"/>
          <w:iCs w:val="1"/>
          <w:u w:val="single" w:color="auto"/>
          <w:color w:val="0000FF"/>
        </w:rPr>
        <w:t>Chair</w:t>
      </w:r>
      <w:r>
        <w:rPr>
          <w:rFonts w:ascii="Arial" w:cs="Arial" w:eastAsia="Arial" w:hAnsi="Arial"/>
          <w:sz w:val="15"/>
          <w:szCs w:val="15"/>
          <w:i w:val="1"/>
          <w:iCs w:val="1"/>
          <w:color w:val="auto"/>
        </w:rPr>
        <w:t xml:space="preserve"> or by the Secretary.</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Chapter V. Financial Year, Distribution of Profits</w:t>
      </w:r>
    </w:p>
    <w:p>
      <w:pPr>
        <w:spacing w:after="0" w:line="133" w:lineRule="exact"/>
        <w:rPr>
          <w:sz w:val="20"/>
          <w:szCs w:val="20"/>
          <w:color w:val="auto"/>
        </w:rPr>
      </w:pPr>
    </w:p>
    <w:p>
      <w:pPr>
        <w:ind w:left="1060" w:right="1099"/>
        <w:spacing w:after="0" w:line="287" w:lineRule="auto"/>
        <w:rPr>
          <w:sz w:val="20"/>
          <w:szCs w:val="20"/>
          <w:color w:val="auto"/>
        </w:rPr>
      </w:pPr>
      <w:r>
        <w:rPr>
          <w:rFonts w:ascii="Arial" w:cs="Arial" w:eastAsia="Arial" w:hAnsi="Arial"/>
          <w:sz w:val="15"/>
          <w:szCs w:val="15"/>
          <w:b w:val="1"/>
          <w:bCs w:val="1"/>
          <w:i w:val="1"/>
          <w:iCs w:val="1"/>
          <w:color w:val="auto"/>
        </w:rPr>
        <w:t xml:space="preserve">Art. 24. Financial Year. </w:t>
      </w:r>
      <w:r>
        <w:rPr>
          <w:rFonts w:ascii="Arial" w:cs="Arial" w:eastAsia="Arial" w:hAnsi="Arial"/>
          <w:sz w:val="15"/>
          <w:szCs w:val="15"/>
          <w:i w:val="1"/>
          <w:iCs w:val="1"/>
          <w:color w:val="auto"/>
        </w:rPr>
        <w:t>The Company’s financial year begins on the first day of the month of January</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and ends on the last day of the month of December every year.</w:t>
      </w:r>
    </w:p>
    <w:p>
      <w:pPr>
        <w:spacing w:after="0" w:line="74" w:lineRule="exact"/>
        <w:rPr>
          <w:sz w:val="20"/>
          <w:szCs w:val="20"/>
          <w:color w:val="auto"/>
        </w:rPr>
      </w:pPr>
    </w:p>
    <w:p>
      <w:pPr>
        <w:ind w:left="1060" w:right="1079"/>
        <w:spacing w:after="0" w:line="269" w:lineRule="auto"/>
        <w:rPr>
          <w:sz w:val="20"/>
          <w:szCs w:val="20"/>
          <w:color w:val="auto"/>
        </w:rPr>
      </w:pPr>
      <w:r>
        <w:rPr>
          <w:rFonts w:ascii="Arial" w:cs="Arial" w:eastAsia="Arial" w:hAnsi="Arial"/>
          <w:sz w:val="15"/>
          <w:szCs w:val="15"/>
          <w:b w:val="1"/>
          <w:bCs w:val="1"/>
          <w:i w:val="1"/>
          <w:iCs w:val="1"/>
          <w:color w:val="auto"/>
        </w:rPr>
        <w:t xml:space="preserve">Art. 25. Adoption of Financial Statements. </w:t>
      </w:r>
      <w:r>
        <w:rPr>
          <w:rFonts w:ascii="Arial" w:cs="Arial" w:eastAsia="Arial" w:hAnsi="Arial"/>
          <w:sz w:val="15"/>
          <w:szCs w:val="15"/>
          <w:i w:val="1"/>
          <w:iCs w:val="1"/>
          <w:color w:val="auto"/>
        </w:rPr>
        <w:t>At the end of each financial year, the accounts are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closed and the Board of Directors draws up an inventory of assets and liabilities, the balance sheet and the profit and loss account, in accordance with the Law.</w:t>
      </w:r>
    </w:p>
    <w:p>
      <w:pPr>
        <w:spacing w:after="0" w:line="76" w:lineRule="exact"/>
        <w:rPr>
          <w:sz w:val="20"/>
          <w:szCs w:val="20"/>
          <w:color w:val="auto"/>
        </w:rPr>
      </w:pPr>
    </w:p>
    <w:p>
      <w:pPr>
        <w:ind w:left="1060" w:right="1959"/>
        <w:spacing w:after="0" w:line="287" w:lineRule="auto"/>
        <w:rPr>
          <w:sz w:val="20"/>
          <w:szCs w:val="20"/>
          <w:color w:val="auto"/>
        </w:rPr>
      </w:pPr>
      <w:r>
        <w:rPr>
          <w:rFonts w:ascii="Arial" w:cs="Arial" w:eastAsia="Arial" w:hAnsi="Arial"/>
          <w:sz w:val="15"/>
          <w:szCs w:val="15"/>
          <w:i w:val="1"/>
          <w:iCs w:val="1"/>
          <w:color w:val="auto"/>
        </w:rPr>
        <w:t>The balance sheet and the profit and loss account are submitted to the general meeting of shareholders for approval.</w:t>
      </w:r>
    </w:p>
    <w:p>
      <w:pPr>
        <w:spacing w:after="0" w:line="74" w:lineRule="exact"/>
        <w:rPr>
          <w:sz w:val="20"/>
          <w:szCs w:val="20"/>
          <w:color w:val="auto"/>
        </w:rPr>
      </w:pPr>
    </w:p>
    <w:p>
      <w:pPr>
        <w:ind w:left="1060" w:right="1119"/>
        <w:spacing w:after="0" w:line="269" w:lineRule="auto"/>
        <w:rPr>
          <w:sz w:val="20"/>
          <w:szCs w:val="20"/>
          <w:color w:val="auto"/>
        </w:rPr>
      </w:pPr>
      <w:r>
        <w:rPr>
          <w:rFonts w:ascii="Arial" w:cs="Arial" w:eastAsia="Arial" w:hAnsi="Arial"/>
          <w:sz w:val="15"/>
          <w:szCs w:val="15"/>
          <w:b w:val="1"/>
          <w:bCs w:val="1"/>
          <w:i w:val="1"/>
          <w:iCs w:val="1"/>
          <w:color w:val="auto"/>
        </w:rPr>
        <w:t xml:space="preserve">Art. 26. Appropriation of Profits. </w:t>
      </w:r>
      <w:r>
        <w:rPr>
          <w:rFonts w:ascii="Arial" w:cs="Arial" w:eastAsia="Arial" w:hAnsi="Arial"/>
          <w:sz w:val="15"/>
          <w:szCs w:val="15"/>
          <w:i w:val="1"/>
          <w:iCs w:val="1"/>
          <w:color w:val="auto"/>
        </w:rPr>
        <w:t>From the annual net profits of the Company, five percent (5%)</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shall be allocated to the reserve required by the Law. That allocation will cease to be required as soon and as long as such reserve amounts to ten percent (10%) of the issued share capital of the Company.</w:t>
      </w:r>
    </w:p>
    <w:p>
      <w:pPr>
        <w:spacing w:after="0" w:line="76" w:lineRule="exact"/>
        <w:rPr>
          <w:sz w:val="20"/>
          <w:szCs w:val="20"/>
          <w:color w:val="auto"/>
        </w:rPr>
      </w:pPr>
    </w:p>
    <w:p>
      <w:pPr>
        <w:ind w:left="1060" w:right="1099"/>
        <w:spacing w:after="0" w:line="263" w:lineRule="auto"/>
        <w:rPr>
          <w:sz w:val="20"/>
          <w:szCs w:val="20"/>
          <w:color w:val="auto"/>
        </w:rPr>
      </w:pPr>
      <w:r>
        <w:rPr>
          <w:rFonts w:ascii="Arial" w:cs="Arial" w:eastAsia="Arial" w:hAnsi="Arial"/>
          <w:sz w:val="15"/>
          <w:szCs w:val="15"/>
          <w:i w:val="1"/>
          <w:iCs w:val="1"/>
          <w:color w:val="auto"/>
        </w:rPr>
        <w:t>Upon recommendation of the Board of Directors, the general meeting of shareholders shall determine how the remainder of the annual net profits will be disposed. It may decide to allocate the whole or part of the remainder to a reserve or to a provision reserve, to carry it forward to the next following financial year or to distribute it to the shareholder(s) as dividends.</w:t>
      </w:r>
    </w:p>
    <w:p>
      <w:pPr>
        <w:spacing w:after="0" w:line="92" w:lineRule="exact"/>
        <w:rPr>
          <w:sz w:val="20"/>
          <w:szCs w:val="20"/>
          <w:color w:val="auto"/>
        </w:rPr>
      </w:pPr>
    </w:p>
    <w:p>
      <w:pPr>
        <w:ind w:left="1060" w:right="1179"/>
        <w:spacing w:after="0" w:line="260" w:lineRule="auto"/>
        <w:rPr>
          <w:sz w:val="20"/>
          <w:szCs w:val="20"/>
          <w:color w:val="auto"/>
        </w:rPr>
      </w:pPr>
      <w:r>
        <w:rPr>
          <w:rFonts w:ascii="Arial" w:cs="Arial" w:eastAsia="Arial" w:hAnsi="Arial"/>
          <w:sz w:val="15"/>
          <w:szCs w:val="15"/>
          <w:i w:val="1"/>
          <w:iCs w:val="1"/>
          <w:color w:val="auto"/>
        </w:rPr>
        <w:t>Subject to the conditions fixed by the Law and these Articles, the Board of Directors may pay interim dividends. The Board of Directors fixes the amount and the date of payment of any such interim dividends. Any share premium, assimilated premiums and other distributable reserves may be freely distributed to the shareholders (also via an interim dividend) by a resolution of the shareholders or the Board of Directors, subject to the provisions of the Law and these Articles.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Chapter VI. Dissolution, Liquidation of the Company</w:t>
      </w:r>
    </w:p>
    <w:p>
      <w:pPr>
        <w:spacing w:after="0" w:line="122" w:lineRule="exact"/>
        <w:rPr>
          <w:sz w:val="20"/>
          <w:szCs w:val="20"/>
          <w:color w:val="auto"/>
        </w:rPr>
      </w:pPr>
    </w:p>
    <w:p>
      <w:pPr>
        <w:ind w:left="1060" w:right="1139"/>
        <w:spacing w:after="0" w:line="269" w:lineRule="auto"/>
        <w:rPr>
          <w:sz w:val="20"/>
          <w:szCs w:val="20"/>
          <w:color w:val="auto"/>
        </w:rPr>
      </w:pPr>
      <w:r>
        <w:rPr>
          <w:rFonts w:ascii="Arial" w:cs="Arial" w:eastAsia="Arial" w:hAnsi="Arial"/>
          <w:sz w:val="15"/>
          <w:szCs w:val="15"/>
          <w:b w:val="1"/>
          <w:bCs w:val="1"/>
          <w:i w:val="1"/>
          <w:iCs w:val="1"/>
          <w:color w:val="auto"/>
        </w:rPr>
        <w:t xml:space="preserve">Art. 27. Dissolution, Liquidation. </w:t>
      </w:r>
      <w:r>
        <w:rPr>
          <w:rFonts w:ascii="Arial" w:cs="Arial" w:eastAsia="Arial" w:hAnsi="Arial"/>
          <w:sz w:val="15"/>
          <w:szCs w:val="15"/>
          <w:i w:val="1"/>
          <w:iCs w:val="1"/>
          <w:color w:val="auto"/>
        </w:rPr>
        <w:t>Upon the affirmative proposal of the Board of Directors, the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Company may be dissolved by a decision of the general meeting of shareholders voting with the same quorum and majority as for the amendment of these Articles, unless otherwise provided by the Law.</w:t>
      </w:r>
    </w:p>
    <w:p>
      <w:pPr>
        <w:spacing w:after="0" w:line="87" w:lineRule="exact"/>
        <w:rPr>
          <w:sz w:val="20"/>
          <w:szCs w:val="20"/>
          <w:color w:val="auto"/>
        </w:rPr>
      </w:pPr>
    </w:p>
    <w:p>
      <w:pPr>
        <w:ind w:left="1060" w:right="1099"/>
        <w:spacing w:after="0" w:line="269" w:lineRule="auto"/>
        <w:rPr>
          <w:sz w:val="20"/>
          <w:szCs w:val="20"/>
          <w:color w:val="auto"/>
        </w:rPr>
      </w:pPr>
      <w:r>
        <w:rPr>
          <w:rFonts w:ascii="Arial" w:cs="Arial" w:eastAsia="Arial" w:hAnsi="Arial"/>
          <w:sz w:val="15"/>
          <w:szCs w:val="15"/>
          <w:i w:val="1"/>
          <w:iCs w:val="1"/>
          <w:color w:val="auto"/>
        </w:rPr>
        <w:t>Should the Company be dissolved, the liquidation will be carried out by one or more liquidators (who may be physical persons or legal entities) appointed by the general meeting of shareholders, which will determine their powers and their compensation.</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217805</wp:posOffset>
            </wp:positionV>
            <wp:extent cx="5728970" cy="400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2" w:name="page73"/>
    <w:bookmarkEnd w:id="72"/>
    <w:p>
      <w:pPr>
        <w:ind w:left="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60" w:right="1159"/>
        <w:spacing w:after="0" w:line="262" w:lineRule="auto"/>
        <w:rPr>
          <w:sz w:val="20"/>
          <w:szCs w:val="20"/>
          <w:color w:val="auto"/>
        </w:rPr>
      </w:pPr>
      <w:r>
        <w:rPr>
          <w:rFonts w:ascii="Arial" w:cs="Arial" w:eastAsia="Arial" w:hAnsi="Arial"/>
          <w:sz w:val="15"/>
          <w:szCs w:val="15"/>
          <w:i w:val="1"/>
          <w:iCs w:val="1"/>
          <w:color w:val="auto"/>
        </w:rPr>
        <w:t>After payment of all the debts of and charges against the Company and of the expenses of liquidation, the net assets shall be distributed equally to the shareholders pro rata to the number of the Shares held by them.</w:t>
      </w:r>
    </w:p>
    <w:p>
      <w:pPr>
        <w:spacing w:after="0" w:line="80" w:lineRule="exact"/>
        <w:rPr>
          <w:sz w:val="20"/>
          <w:szCs w:val="20"/>
          <w:color w:val="auto"/>
        </w:rPr>
      </w:pPr>
    </w:p>
    <w:p>
      <w:pPr>
        <w:ind w:left="1060" w:right="1139"/>
        <w:spacing w:after="0" w:line="262" w:lineRule="auto"/>
        <w:rPr>
          <w:sz w:val="20"/>
          <w:szCs w:val="20"/>
          <w:color w:val="auto"/>
        </w:rPr>
      </w:pPr>
      <w:r>
        <w:rPr>
          <w:rFonts w:ascii="Arial" w:cs="Arial" w:eastAsia="Arial" w:hAnsi="Arial"/>
          <w:sz w:val="15"/>
          <w:szCs w:val="15"/>
          <w:i w:val="1"/>
          <w:iCs w:val="1"/>
          <w:color w:val="auto"/>
        </w:rPr>
        <w:t>Application for dissolution of the Company for just cause may however be made to the court. Except in the case of dissolution by court order, dissolution of the Company may take place only pursuant to a resolution adopted by the shareholders’ meeting in accordance with Articles 22 and 23.</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Chapter VII. Applicable Law</w:t>
      </w:r>
    </w:p>
    <w:p>
      <w:pPr>
        <w:spacing w:after="0" w:line="122" w:lineRule="exact"/>
        <w:rPr>
          <w:sz w:val="20"/>
          <w:szCs w:val="20"/>
          <w:color w:val="auto"/>
        </w:rPr>
      </w:pPr>
    </w:p>
    <w:p>
      <w:pPr>
        <w:ind w:left="1060" w:right="1839"/>
        <w:spacing w:after="0" w:line="287" w:lineRule="auto"/>
        <w:rPr>
          <w:sz w:val="20"/>
          <w:szCs w:val="20"/>
          <w:color w:val="auto"/>
        </w:rPr>
      </w:pPr>
      <w:r>
        <w:rPr>
          <w:rFonts w:ascii="Arial" w:cs="Arial" w:eastAsia="Arial" w:hAnsi="Arial"/>
          <w:sz w:val="15"/>
          <w:szCs w:val="15"/>
          <w:b w:val="1"/>
          <w:bCs w:val="1"/>
          <w:i w:val="1"/>
          <w:iCs w:val="1"/>
          <w:color w:val="auto"/>
        </w:rPr>
        <w:t xml:space="preserve">Art. 28. Applicable Law. </w:t>
      </w:r>
      <w:r>
        <w:rPr>
          <w:rFonts w:ascii="Arial" w:cs="Arial" w:eastAsia="Arial" w:hAnsi="Arial"/>
          <w:sz w:val="15"/>
          <w:szCs w:val="15"/>
          <w:i w:val="1"/>
          <w:iCs w:val="1"/>
          <w:color w:val="auto"/>
        </w:rPr>
        <w:t>All matters not governed by these Articles shall be determined in</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accordance with applicable Luxembourg Law.</w:t>
      </w:r>
    </w:p>
    <w:p>
      <w:pPr>
        <w:spacing w:after="0" w:line="63" w:lineRule="exact"/>
        <w:rPr>
          <w:sz w:val="20"/>
          <w:szCs w:val="20"/>
          <w:color w:val="auto"/>
        </w:rPr>
      </w:pPr>
    </w:p>
    <w:p>
      <w:pPr>
        <w:ind w:left="1060"/>
        <w:spacing w:after="0"/>
        <w:rPr>
          <w:sz w:val="20"/>
          <w:szCs w:val="20"/>
          <w:color w:val="auto"/>
        </w:rPr>
      </w:pPr>
      <w:r>
        <w:rPr>
          <w:rFonts w:ascii="Arial" w:cs="Arial" w:eastAsia="Arial" w:hAnsi="Arial"/>
          <w:sz w:val="15"/>
          <w:szCs w:val="15"/>
          <w:b w:val="1"/>
          <w:bCs w:val="1"/>
          <w:color w:val="auto"/>
        </w:rPr>
        <w:t xml:space="preserve">SUIT LA TRADUCTION </w:t>
      </w:r>
      <w:r>
        <w:rPr>
          <w:rFonts w:ascii="Arial" w:cs="Arial" w:eastAsia="Arial" w:hAnsi="Arial"/>
          <w:sz w:val="15"/>
          <w:szCs w:val="15"/>
          <w:b w:val="1"/>
          <w:bCs w:val="1"/>
          <w:color w:val="FF0000"/>
          <w:strike w:val="1"/>
        </w:rPr>
        <w:t>FRANCAISE</w:t>
      </w:r>
      <w:r>
        <w:rPr>
          <w:rFonts w:ascii="Arial" w:cs="Arial" w:eastAsia="Arial" w:hAnsi="Arial"/>
          <w:sz w:val="15"/>
          <w:szCs w:val="15"/>
          <w:i w:val="1"/>
          <w:iCs w:val="1"/>
          <w:u w:val="single" w:color="auto"/>
          <w:color w:val="0000FF"/>
        </w:rPr>
        <w:t>FRANÇAISE</w:t>
      </w:r>
      <w:r>
        <w:rPr>
          <w:rFonts w:ascii="Arial" w:cs="Arial" w:eastAsia="Arial" w:hAnsi="Arial"/>
          <w:sz w:val="15"/>
          <w:szCs w:val="15"/>
          <w:b w:val="1"/>
          <w:bCs w:val="1"/>
          <w:color w:val="auto"/>
        </w:rPr>
        <w:t xml:space="preserve"> DU TEXTE QUI </w:t>
      </w:r>
      <w:r>
        <w:rPr>
          <w:rFonts w:ascii="Arial" w:cs="Arial" w:eastAsia="Arial" w:hAnsi="Arial"/>
          <w:sz w:val="15"/>
          <w:szCs w:val="15"/>
          <w:b w:val="1"/>
          <w:bCs w:val="1"/>
          <w:color w:val="FF0000"/>
          <w:strike w:val="1"/>
        </w:rPr>
        <w:t>PRECEDE</w:t>
      </w:r>
      <w:r>
        <w:rPr>
          <w:rFonts w:ascii="Arial" w:cs="Arial" w:eastAsia="Arial" w:hAnsi="Arial"/>
          <w:sz w:val="15"/>
          <w:szCs w:val="15"/>
          <w:i w:val="1"/>
          <w:iCs w:val="1"/>
          <w:u w:val="single" w:color="auto"/>
          <w:color w:val="0000FF"/>
        </w:rPr>
        <w:t>PRÉCÈDE</w:t>
      </w:r>
      <w:r>
        <w:rPr>
          <w:rFonts w:ascii="Arial" w:cs="Arial" w:eastAsia="Arial" w:hAnsi="Arial"/>
          <w:sz w:val="15"/>
          <w:szCs w:val="15"/>
          <w:b w:val="1"/>
          <w:bCs w:val="1"/>
          <w:color w:val="auto"/>
        </w:rPr>
        <w:t xml:space="preserve"> :</w:t>
      </w:r>
    </w:p>
    <w:p>
      <w:pPr>
        <w:spacing w:after="0" w:line="122" w:lineRule="exact"/>
        <w:rPr>
          <w:sz w:val="20"/>
          <w:szCs w:val="20"/>
          <w:color w:val="auto"/>
        </w:rPr>
      </w:pPr>
    </w:p>
    <w:p>
      <w:pPr>
        <w:ind w:left="1060"/>
        <w:spacing w:after="0"/>
        <w:rPr>
          <w:sz w:val="20"/>
          <w:szCs w:val="20"/>
          <w:color w:val="auto"/>
        </w:rPr>
      </w:pPr>
      <w:r>
        <w:rPr>
          <w:rFonts w:ascii="Arial" w:cs="Arial" w:eastAsia="Arial" w:hAnsi="Arial"/>
          <w:sz w:val="15"/>
          <w:szCs w:val="15"/>
          <w:b w:val="1"/>
          <w:bCs w:val="1"/>
          <w:i w:val="1"/>
          <w:iCs w:val="1"/>
          <w:color w:val="auto"/>
        </w:rPr>
        <w:t>Chapitre I er . Forme, Dénomination Sociale, Siège, Objet, Durée</w:t>
      </w:r>
    </w:p>
    <w:p>
      <w:pPr>
        <w:spacing w:after="0" w:line="103" w:lineRule="exact"/>
        <w:rPr>
          <w:sz w:val="20"/>
          <w:szCs w:val="20"/>
          <w:color w:val="auto"/>
        </w:rPr>
      </w:pPr>
    </w:p>
    <w:p>
      <w:pPr>
        <w:ind w:left="1060" w:right="1279"/>
        <w:spacing w:after="0"/>
        <w:rPr>
          <w:sz w:val="20"/>
          <w:szCs w:val="20"/>
          <w:color w:val="auto"/>
        </w:rPr>
      </w:pPr>
      <w:r>
        <w:rPr>
          <w:rFonts w:ascii="Arial" w:cs="Arial" w:eastAsia="Arial" w:hAnsi="Arial"/>
          <w:sz w:val="15"/>
          <w:szCs w:val="15"/>
          <w:b w:val="1"/>
          <w:bCs w:val="1"/>
          <w:i w:val="1"/>
          <w:iCs w:val="1"/>
          <w:color w:val="auto"/>
        </w:rPr>
        <w:t xml:space="preserve">Art. 1 </w:t>
      </w:r>
      <w:r>
        <w:rPr>
          <w:rFonts w:ascii="Arial" w:cs="Arial" w:eastAsia="Arial" w:hAnsi="Arial"/>
          <w:sz w:val="22"/>
          <w:szCs w:val="22"/>
          <w:b w:val="1"/>
          <w:bCs w:val="1"/>
          <w:color w:val="FF0000"/>
          <w:strike w:val="1"/>
          <w:vertAlign w:val="superscript"/>
        </w:rPr>
        <w:t>er</w:t>
      </w:r>
      <w:r>
        <w:rPr>
          <w:rFonts w:ascii="Arial" w:cs="Arial" w:eastAsia="Arial" w:hAnsi="Arial"/>
          <w:sz w:val="15"/>
          <w:szCs w:val="15"/>
          <w:b w:val="1"/>
          <w:bCs w:val="1"/>
          <w:i w:val="1"/>
          <w:iCs w:val="1"/>
          <w:color w:val="auto"/>
        </w:rPr>
        <w:t xml:space="preserve"> . Forme, Dénomination Sociale. </w:t>
      </w:r>
      <w:r>
        <w:rPr>
          <w:rFonts w:ascii="Arial" w:cs="Arial" w:eastAsia="Arial" w:hAnsi="Arial"/>
          <w:sz w:val="15"/>
          <w:szCs w:val="15"/>
          <w:i w:val="1"/>
          <w:iCs w:val="1"/>
          <w:color w:val="auto"/>
        </w:rPr>
        <w:t>Il est formé par le(s) souscripteur(s) et toutes les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 xml:space="preserve">personnes qui pourraient devenir détenteurs des actions de la société émises </w:t>
      </w:r>
      <w:r>
        <w:rPr>
          <w:rFonts w:ascii="Arial" w:cs="Arial" w:eastAsia="Arial" w:hAnsi="Arial"/>
          <w:sz w:val="15"/>
          <w:szCs w:val="15"/>
          <w:color w:val="FF0000"/>
          <w:strike w:val="1"/>
        </w:rPr>
        <w:t>ciaprès</w:t>
      </w:r>
      <w:r>
        <w:rPr>
          <w:rFonts w:ascii="Arial" w:cs="Arial" w:eastAsia="Arial" w:hAnsi="Arial"/>
          <w:sz w:val="15"/>
          <w:szCs w:val="15"/>
          <w:i w:val="1"/>
          <w:iCs w:val="1"/>
          <w:u w:val="single" w:color="auto"/>
          <w:color w:val="0000FF"/>
        </w:rPr>
        <w:t>ci-après</w:t>
      </w:r>
      <w:r>
        <w:rPr>
          <w:rFonts w:ascii="Arial" w:cs="Arial" w:eastAsia="Arial" w:hAnsi="Arial"/>
          <w:sz w:val="15"/>
          <w:szCs w:val="15"/>
          <w:i w:val="1"/>
          <w:iCs w:val="1"/>
          <w:color w:val="auto"/>
        </w:rPr>
        <w:t>, une société sous la forme d’une société anonyme (la “</w:t>
      </w:r>
      <w:r>
        <w:rPr>
          <w:rFonts w:ascii="Arial" w:cs="Arial" w:eastAsia="Arial" w:hAnsi="Arial"/>
          <w:sz w:val="15"/>
          <w:szCs w:val="15"/>
          <w:b w:val="1"/>
          <w:bCs w:val="1"/>
          <w:i w:val="1"/>
          <w:iCs w:val="1"/>
          <w:color w:val="auto"/>
        </w:rPr>
        <w:t>Société</w:t>
      </w:r>
      <w:r>
        <w:rPr>
          <w:rFonts w:ascii="Arial" w:cs="Arial" w:eastAsia="Arial" w:hAnsi="Arial"/>
          <w:sz w:val="15"/>
          <w:szCs w:val="15"/>
          <w:i w:val="1"/>
          <w:iCs w:val="1"/>
          <w:color w:val="auto"/>
        </w:rPr>
        <w:t>”) régie par les lois du Grand-Duché de Luxembourg, notamment par la loi du 10 août 1915 concernant les sociétés commerciales, telle que modifiée (la “</w:t>
      </w:r>
      <w:r>
        <w:rPr>
          <w:rFonts w:ascii="Arial" w:cs="Arial" w:eastAsia="Arial" w:hAnsi="Arial"/>
          <w:sz w:val="15"/>
          <w:szCs w:val="15"/>
          <w:b w:val="1"/>
          <w:bCs w:val="1"/>
          <w:i w:val="1"/>
          <w:iCs w:val="1"/>
          <w:color w:val="auto"/>
        </w:rPr>
        <w:t>Loi</w:t>
      </w:r>
      <w:r>
        <w:rPr>
          <w:rFonts w:ascii="Arial" w:cs="Arial" w:eastAsia="Arial" w:hAnsi="Arial"/>
          <w:sz w:val="15"/>
          <w:szCs w:val="15"/>
          <w:i w:val="1"/>
          <w:iCs w:val="1"/>
          <w:color w:val="auto"/>
        </w:rPr>
        <w:t>”), par l’article 1832 du Code Civil luxembourgeois, tel que modifié (le “</w:t>
      </w:r>
      <w:r>
        <w:rPr>
          <w:rFonts w:ascii="Arial" w:cs="Arial" w:eastAsia="Arial" w:hAnsi="Arial"/>
          <w:sz w:val="15"/>
          <w:szCs w:val="15"/>
          <w:b w:val="1"/>
          <w:bCs w:val="1"/>
          <w:i w:val="1"/>
          <w:iCs w:val="1"/>
          <w:color w:val="auto"/>
        </w:rPr>
        <w:t>Code Civil</w:t>
      </w:r>
      <w:r>
        <w:rPr>
          <w:rFonts w:ascii="Arial" w:cs="Arial" w:eastAsia="Arial" w:hAnsi="Arial"/>
          <w:sz w:val="15"/>
          <w:szCs w:val="15"/>
          <w:i w:val="1"/>
          <w:iCs w:val="1"/>
          <w:color w:val="auto"/>
        </w:rPr>
        <w:t>”), ainsi que par les présents statuts (les “</w:t>
      </w:r>
      <w:r>
        <w:rPr>
          <w:rFonts w:ascii="Arial" w:cs="Arial" w:eastAsia="Arial" w:hAnsi="Arial"/>
          <w:sz w:val="15"/>
          <w:szCs w:val="15"/>
          <w:b w:val="1"/>
          <w:bCs w:val="1"/>
          <w:i w:val="1"/>
          <w:iCs w:val="1"/>
          <w:color w:val="auto"/>
        </w:rPr>
        <w:t>Statuts</w:t>
      </w:r>
      <w:r>
        <w:rPr>
          <w:rFonts w:ascii="Arial" w:cs="Arial" w:eastAsia="Arial" w:hAnsi="Arial"/>
          <w:sz w:val="15"/>
          <w:szCs w:val="15"/>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-629285</wp:posOffset>
            </wp:positionV>
            <wp:extent cx="2667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6670" cy="6985"/>
                    </a:xfrm>
                    <a:prstGeom prst="rect">
                      <a:avLst/>
                    </a:prstGeom>
                    <a:noFill/>
                  </pic:spPr>
                </pic:pic>
              </a:graphicData>
            </a:graphic>
          </wp:anchor>
        </w:drawing>
        <w:drawing>
          <wp:anchor simplePos="0" relativeHeight="251657728" behindDoc="1" locked="0" layoutInCell="0" allowOverlap="1">
            <wp:simplePos x="0" y="0"/>
            <wp:positionH relativeFrom="column">
              <wp:posOffset>1015365</wp:posOffset>
            </wp:positionH>
            <wp:positionV relativeFrom="paragraph">
              <wp:posOffset>-629285</wp:posOffset>
            </wp:positionV>
            <wp:extent cx="26670"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670" cy="6985"/>
                    </a:xfrm>
                    <a:prstGeom prst="rect">
                      <a:avLst/>
                    </a:prstGeom>
                    <a:noFill/>
                  </pic:spPr>
                </pic:pic>
              </a:graphicData>
            </a:graphic>
          </wp:anchor>
        </w:drawing>
      </w:r>
    </w:p>
    <w:p>
      <w:pPr>
        <w:spacing w:after="0" w:line="71"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 xml:space="preserve">La Société </w:t>
      </w:r>
      <w:r>
        <w:rPr>
          <w:rFonts w:ascii="Arial" w:cs="Arial" w:eastAsia="Arial" w:hAnsi="Arial"/>
          <w:sz w:val="15"/>
          <w:szCs w:val="15"/>
          <w:color w:val="FF0000"/>
          <w:strike w:val="1"/>
        </w:rPr>
        <w:t>adopte</w:t>
      </w:r>
      <w:r>
        <w:rPr>
          <w:rFonts w:ascii="Arial" w:cs="Arial" w:eastAsia="Arial" w:hAnsi="Arial"/>
          <w:sz w:val="15"/>
          <w:szCs w:val="15"/>
          <w:i w:val="1"/>
          <w:iCs w:val="1"/>
          <w:u w:val="single" w:color="auto"/>
          <w:color w:val="0000FF"/>
        </w:rPr>
        <w:t>existe sous</w:t>
      </w:r>
      <w:r>
        <w:rPr>
          <w:rFonts w:ascii="Arial" w:cs="Arial" w:eastAsia="Arial" w:hAnsi="Arial"/>
          <w:sz w:val="15"/>
          <w:szCs w:val="15"/>
          <w:i w:val="1"/>
          <w:iCs w:val="1"/>
          <w:color w:val="auto"/>
        </w:rPr>
        <w:t xml:space="preserve"> la dénomination “</w:t>
      </w:r>
      <w:r>
        <w:rPr>
          <w:rFonts w:ascii="Arial" w:cs="Arial" w:eastAsia="Arial" w:hAnsi="Arial"/>
          <w:sz w:val="15"/>
          <w:szCs w:val="15"/>
          <w:b w:val="1"/>
          <w:bCs w:val="1"/>
          <w:i w:val="1"/>
          <w:iCs w:val="1"/>
          <w:color w:val="auto"/>
        </w:rPr>
        <w:t>Altisource Portfolio Solutions S.A.</w:t>
      </w:r>
      <w:r>
        <w:rPr>
          <w:rFonts w:ascii="Arial" w:cs="Arial" w:eastAsia="Arial" w:hAnsi="Arial"/>
          <w:sz w:val="15"/>
          <w:szCs w:val="15"/>
          <w:i w:val="1"/>
          <w:iCs w:val="1"/>
          <w:color w:val="auto"/>
        </w:rPr>
        <w:t>”</w:t>
      </w:r>
    </w:p>
    <w:p>
      <w:pPr>
        <w:spacing w:after="0" w:line="122" w:lineRule="exact"/>
        <w:rPr>
          <w:sz w:val="20"/>
          <w:szCs w:val="20"/>
          <w:color w:val="auto"/>
        </w:rPr>
      </w:pPr>
    </w:p>
    <w:p>
      <w:pPr>
        <w:ind w:left="1060" w:right="1419"/>
        <w:spacing w:after="0" w:line="262" w:lineRule="auto"/>
        <w:rPr>
          <w:sz w:val="20"/>
          <w:szCs w:val="20"/>
          <w:color w:val="auto"/>
        </w:rPr>
      </w:pPr>
      <w:r>
        <w:rPr>
          <w:rFonts w:ascii="Arial" w:cs="Arial" w:eastAsia="Arial" w:hAnsi="Arial"/>
          <w:sz w:val="15"/>
          <w:szCs w:val="15"/>
          <w:b w:val="1"/>
          <w:bCs w:val="1"/>
          <w:i w:val="1"/>
          <w:iCs w:val="1"/>
          <w:color w:val="auto"/>
        </w:rPr>
        <w:t xml:space="preserve">Art. 2. Siège Social. </w:t>
      </w:r>
      <w:r>
        <w:rPr>
          <w:rFonts w:ascii="Arial" w:cs="Arial" w:eastAsia="Arial" w:hAnsi="Arial"/>
          <w:sz w:val="15"/>
          <w:szCs w:val="15"/>
          <w:i w:val="1"/>
          <w:iCs w:val="1"/>
          <w:color w:val="auto"/>
        </w:rPr>
        <w:t>Le siège social est établi à</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u w:val="single" w:color="auto"/>
          <w:color w:val="0000FF"/>
        </w:rPr>
        <w:t>la ville de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Luxembourg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FF0000"/>
        </w:rPr>
        <w:t>Ville</w:t>
      </w:r>
      <w:r>
        <w:rPr>
          <w:rFonts w:ascii="Arial" w:cs="Arial" w:eastAsia="Arial" w:hAnsi="Arial"/>
          <w:sz w:val="15"/>
          <w:szCs w:val="15"/>
          <w:i w:val="1"/>
          <w:iCs w:val="1"/>
          <w:color w:val="auto"/>
        </w:rPr>
        <w:t>. Le Conseil</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d’Administration (tel que défini à l’article 11), est autorisé à changer l’adresse du siège social de la Société au sein du Grand-Duché de Luxembourg et à modifier ces Statuts en conséquence.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-298450</wp:posOffset>
            </wp:positionV>
            <wp:extent cx="234315"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34315" cy="6985"/>
                    </a:xfrm>
                    <a:prstGeom prst="rect">
                      <a:avLst/>
                    </a:prstGeom>
                    <a:noFill/>
                  </pic:spPr>
                </pic:pic>
              </a:graphicData>
            </a:graphic>
          </wp:anchor>
        </w:drawing>
      </w:r>
    </w:p>
    <w:p>
      <w:pPr>
        <w:spacing w:after="0" w:line="60" w:lineRule="exact"/>
        <w:rPr>
          <w:sz w:val="20"/>
          <w:szCs w:val="20"/>
          <w:color w:val="auto"/>
        </w:rPr>
      </w:pPr>
    </w:p>
    <w:p>
      <w:pPr>
        <w:ind w:left="1060" w:right="1119"/>
        <w:spacing w:after="0" w:line="245" w:lineRule="auto"/>
        <w:rPr>
          <w:sz w:val="20"/>
          <w:szCs w:val="20"/>
          <w:color w:val="auto"/>
        </w:rPr>
      </w:pPr>
      <w:r>
        <w:rPr>
          <w:rFonts w:ascii="Arial" w:cs="Arial" w:eastAsia="Arial" w:hAnsi="Arial"/>
          <w:sz w:val="15"/>
          <w:szCs w:val="15"/>
          <w:i w:val="1"/>
          <w:iCs w:val="1"/>
          <w:color w:val="auto"/>
        </w:rPr>
        <w:t>Des succursales ou autres bureaux peuvent être établis soit au Grand-Duché de Luxembourg, soit à l’étranger par une décision du Conseil d’Administration. Si le Conseil d’Administration détermine que des événements extraordinaires d’ordre politique, économique ou social sont de nature à compromettre l’activité normale de la société au siège social ou la communication aisée avec ce siège ou entre ce siège et des personnes à l’étranger ou que de tels événements sont imminents, il pourra transférer temporairement le siège social à l’étranger jusqu’à cessation complète de ces circonstances anormales. Ces mesures provisoires n’auront aucun effet sur la nationalité de la Société, laquelle, nonobstant ce transfert provisoire du siège, restera régie par la loi du Grand-Duché de Luxembourg. Ces mesures temporaires seront prises et notifiées aux parties intéressées par un des organes ou personnes en charge de la gestion journalière de la Société.</w:t>
      </w:r>
    </w:p>
    <w:p>
      <w:pPr>
        <w:spacing w:after="0" w:line="94" w:lineRule="exact"/>
        <w:rPr>
          <w:sz w:val="20"/>
          <w:szCs w:val="20"/>
          <w:color w:val="auto"/>
        </w:rPr>
      </w:pPr>
    </w:p>
    <w:p>
      <w:pPr>
        <w:ind w:left="1060" w:right="1139"/>
        <w:spacing w:after="0" w:line="247" w:lineRule="auto"/>
        <w:rPr>
          <w:sz w:val="20"/>
          <w:szCs w:val="20"/>
          <w:color w:val="auto"/>
        </w:rPr>
      </w:pPr>
      <w:r>
        <w:rPr>
          <w:rFonts w:ascii="Arial" w:cs="Arial" w:eastAsia="Arial" w:hAnsi="Arial"/>
          <w:sz w:val="15"/>
          <w:szCs w:val="15"/>
          <w:b w:val="1"/>
          <w:bCs w:val="1"/>
          <w:i w:val="1"/>
          <w:iCs w:val="1"/>
          <w:color w:val="auto"/>
        </w:rPr>
        <w:t xml:space="preserve">Art. 3. Objet. </w:t>
      </w:r>
      <w:r>
        <w:rPr>
          <w:rFonts w:ascii="Arial" w:cs="Arial" w:eastAsia="Arial" w:hAnsi="Arial"/>
          <w:sz w:val="15"/>
          <w:szCs w:val="15"/>
          <w:i w:val="1"/>
          <w:iCs w:val="1"/>
          <w:color w:val="auto"/>
        </w:rPr>
        <w:t>La Société a pour objet la prise de participations directes ou indirectes, la gestion</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continue et la vente de ces participations, sous n’importe quelle forme, dans toutes entreprises luxembourgeoises et étrangères, en particulier dans les domaines de l’outsourcing, la gestion de relation clientèle et les services de technologie dans l’immobilier, les hypothèques et les industries des services financiers au consommateur ainsi que l’administration, la gestion et la mise en valeur de ces participations. La Société peut aussi détenir, gérer et exploiter les droits de propriété intellectuelle et prester des services à d’autres sociétés du groupe et à des tiers.</w:t>
      </w:r>
    </w:p>
    <w:p>
      <w:pPr>
        <w:spacing w:after="0" w:line="92" w:lineRule="exact"/>
        <w:rPr>
          <w:sz w:val="20"/>
          <w:szCs w:val="20"/>
          <w:color w:val="auto"/>
        </w:rPr>
      </w:pPr>
    </w:p>
    <w:p>
      <w:pPr>
        <w:ind w:left="1060" w:right="1099"/>
        <w:spacing w:after="0" w:line="244" w:lineRule="auto"/>
        <w:rPr>
          <w:sz w:val="20"/>
          <w:szCs w:val="20"/>
          <w:color w:val="auto"/>
        </w:rPr>
      </w:pPr>
      <w:r>
        <w:rPr>
          <w:rFonts w:ascii="Arial" w:cs="Arial" w:eastAsia="Arial" w:hAnsi="Arial"/>
          <w:sz w:val="15"/>
          <w:szCs w:val="15"/>
          <w:i w:val="1"/>
          <w:iCs w:val="1"/>
          <w:color w:val="auto"/>
        </w:rPr>
        <w:t>La Société peut (i) investir, acquérir, vendre, octroyer ou émettre des prêts, des obligations ou autres instruments de dettes, des actions, des bons de souscription et autres instruments de capital incluant sans s’y limiter des actions, prêts, obligations, reconnaissances de dettes et autres formes de dettes, actions de capital-actions, participations dans une association (limited partnership), participations dans une société à responsabilité limitée (limited liability company), effets, débentures, actions préférentielles, valeurs mobilières et swaps et toute combinaison de ce qui précède, qu’ils soient facilement réalisables ou non, ainsi que des engagements (incluant mais non limité à des engagements relatives à des valeurs synthétiques) de sociétés, entités ou autres personnes juridiques de tout type; (ii) s’engager dans d’autres activités que la Société juge nécessaires, souhaitables, utiles, accessoires à ou non incompatibles avec ce qui précède; et (iii) accorder des gages, des garanties et des contrats d’indemnisation, de toute nature, à des entités luxembourgeoises ou aux entités étrangères en ce qui concerne ses propres obligations et dettes ou des obligations et dettes de toute autre personne.</w:t>
      </w:r>
    </w:p>
    <w:p>
      <w:pPr>
        <w:spacing w:after="0" w:line="96" w:lineRule="exact"/>
        <w:rPr>
          <w:sz w:val="20"/>
          <w:szCs w:val="20"/>
          <w:color w:val="auto"/>
        </w:rPr>
      </w:pPr>
    </w:p>
    <w:p>
      <w:pPr>
        <w:ind w:left="1060" w:right="1199"/>
        <w:spacing w:after="0" w:line="254" w:lineRule="auto"/>
        <w:rPr>
          <w:sz w:val="20"/>
          <w:szCs w:val="20"/>
          <w:color w:val="auto"/>
        </w:rPr>
      </w:pPr>
      <w:r>
        <w:rPr>
          <w:rFonts w:ascii="Arial" w:cs="Arial" w:eastAsia="Arial" w:hAnsi="Arial"/>
          <w:sz w:val="15"/>
          <w:szCs w:val="15"/>
          <w:i w:val="1"/>
          <w:iCs w:val="1"/>
          <w:color w:val="auto"/>
        </w:rPr>
        <w:t>La Société peut aussi utiliser ses fonds pour investir dans l’immobilier, les droits de propriété intellectuelle ou dans tout autre actif mobilier ou immobilier de toute sorte ou toute forme. De manière générale, la Société peut</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3" w:name="page74"/>
    <w:bookmarkEnd w:id="73"/>
    <w:p>
      <w:pPr>
        <w:ind w:left="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60" w:right="2079"/>
        <w:spacing w:after="0" w:line="288" w:lineRule="auto"/>
        <w:rPr>
          <w:sz w:val="20"/>
          <w:szCs w:val="20"/>
          <w:color w:val="auto"/>
        </w:rPr>
      </w:pPr>
      <w:r>
        <w:rPr>
          <w:rFonts w:ascii="Arial" w:cs="Arial" w:eastAsia="Arial" w:hAnsi="Arial"/>
          <w:sz w:val="15"/>
          <w:szCs w:val="15"/>
          <w:i w:val="1"/>
          <w:iCs w:val="1"/>
          <w:color w:val="auto"/>
        </w:rPr>
        <w:t>effectuer toute opération commerciale, industrielle ou financière qu’elle jugera utile dans l’accomplissement et le développement de son objet.</w:t>
      </w:r>
    </w:p>
    <w:p>
      <w:pPr>
        <w:spacing w:after="0" w:line="61" w:lineRule="exact"/>
        <w:rPr>
          <w:sz w:val="20"/>
          <w:szCs w:val="20"/>
          <w:color w:val="auto"/>
        </w:rPr>
      </w:pPr>
    </w:p>
    <w:p>
      <w:pPr>
        <w:ind w:left="1060" w:right="1139"/>
        <w:spacing w:after="0" w:line="249" w:lineRule="auto"/>
        <w:rPr>
          <w:sz w:val="20"/>
          <w:szCs w:val="20"/>
          <w:color w:val="auto"/>
        </w:rPr>
      </w:pPr>
      <w:r>
        <w:rPr>
          <w:rFonts w:ascii="Arial" w:cs="Arial" w:eastAsia="Arial" w:hAnsi="Arial"/>
          <w:sz w:val="15"/>
          <w:szCs w:val="15"/>
          <w:i w:val="1"/>
          <w:iCs w:val="1"/>
          <w:color w:val="auto"/>
        </w:rPr>
        <w:t>La Société peut également accorder toute forme d’assistance financière aux entreprises dans lesquelles la Société a une participation ou qui font partie du groupe de sociétés auxquelles appartient la Société, y compris, mais sans s’y limiter, l’octroi de prêts et la fourniture de garanties ou de titres sous quelque forme que ce soit. La Société peut mettre en garantie, transférer, grever ou créer autrement une sûreté sur certains actifs ou sur l’ensemble de ses actifs.</w:t>
      </w:r>
    </w:p>
    <w:p>
      <w:pPr>
        <w:spacing w:after="0" w:line="89" w:lineRule="exact"/>
        <w:rPr>
          <w:sz w:val="20"/>
          <w:szCs w:val="20"/>
          <w:color w:val="auto"/>
        </w:rPr>
      </w:pPr>
    </w:p>
    <w:p>
      <w:pPr>
        <w:ind w:left="1060" w:right="1099"/>
        <w:spacing w:after="0" w:line="253" w:lineRule="auto"/>
        <w:rPr>
          <w:sz w:val="20"/>
          <w:szCs w:val="20"/>
          <w:color w:val="auto"/>
        </w:rPr>
      </w:pPr>
      <w:r>
        <w:rPr>
          <w:rFonts w:ascii="Arial" w:cs="Arial" w:eastAsia="Arial" w:hAnsi="Arial"/>
          <w:sz w:val="15"/>
          <w:szCs w:val="15"/>
          <w:i w:val="1"/>
          <w:iCs w:val="1"/>
          <w:color w:val="auto"/>
        </w:rPr>
        <w:t>De plus, la Société peut accorder occasionnellement une assistance sous quelque forme que ce soit (y compris, mais sans s’y limiter à l’octroi d’avances, des prêts, des crédits, des garanties ou de sûretés)</w:t>
      </w:r>
    </w:p>
    <w:p>
      <w:pPr>
        <w:spacing w:after="0" w:line="1" w:lineRule="exact"/>
        <w:rPr>
          <w:sz w:val="20"/>
          <w:szCs w:val="20"/>
          <w:color w:val="auto"/>
        </w:rPr>
      </w:pPr>
    </w:p>
    <w:p>
      <w:pPr>
        <w:ind w:left="1060" w:right="1179" w:firstLine="5"/>
        <w:spacing w:after="0" w:line="244" w:lineRule="auto"/>
        <w:tabs>
          <w:tab w:leader="none" w:pos="1186" w:val="left"/>
        </w:tabs>
        <w:numPr>
          <w:ilvl w:val="0"/>
          <w:numId w:val="60"/>
        </w:numPr>
        <w:rPr>
          <w:rFonts w:ascii="Arial" w:cs="Arial" w:eastAsia="Arial" w:hAnsi="Arial"/>
          <w:sz w:val="15"/>
          <w:szCs w:val="15"/>
          <w:i w:val="1"/>
          <w:iCs w:val="1"/>
          <w:color w:val="auto"/>
        </w:rPr>
      </w:pPr>
      <w:r>
        <w:rPr>
          <w:rFonts w:ascii="Arial" w:cs="Arial" w:eastAsia="Arial" w:hAnsi="Arial"/>
          <w:sz w:val="15"/>
          <w:szCs w:val="15"/>
          <w:i w:val="1"/>
          <w:iCs w:val="1"/>
          <w:color w:val="auto"/>
        </w:rPr>
        <w:t>des tiers autres que le groupe de sociétés auxquels appartient la Société, sous réserve que cette assistance relève de l’intérêt de la Société et sous réserve que cette assistance ne déclenche aucune exigence d’une autorisation de la part de la Société. La Société peut participer à la création, au développement, à la gestion et au contrôle de toutes sociétés ou entreprises, directement ou indirectement, qui ont des objets similaires ou dont les objets sont étroitement liés à son propre objet.</w:t>
      </w:r>
    </w:p>
    <w:p>
      <w:pPr>
        <w:spacing w:after="0" w:line="93" w:lineRule="exact"/>
        <w:rPr>
          <w:sz w:val="20"/>
          <w:szCs w:val="20"/>
          <w:color w:val="auto"/>
        </w:rPr>
      </w:pPr>
    </w:p>
    <w:p>
      <w:pPr>
        <w:ind w:left="1060" w:right="1419"/>
        <w:spacing w:after="0" w:line="262" w:lineRule="auto"/>
        <w:rPr>
          <w:sz w:val="20"/>
          <w:szCs w:val="20"/>
          <w:color w:val="auto"/>
        </w:rPr>
      </w:pPr>
      <w:r>
        <w:rPr>
          <w:rFonts w:ascii="Arial" w:cs="Arial" w:eastAsia="Arial" w:hAnsi="Arial"/>
          <w:sz w:val="15"/>
          <w:szCs w:val="15"/>
          <w:i w:val="1"/>
          <w:iCs w:val="1"/>
          <w:color w:val="auto"/>
        </w:rPr>
        <w:t>D’une manière générale, la Société peut effectuer toute opération commerciale, industrielle ou financière et s’engager dans toute autre activité qu’elle jugera nécessaire, conseillée, appropriée, incidente à, ou non contradictoire avec l’accomplissement et le développement de ce qui précède.</w:t>
      </w:r>
    </w:p>
    <w:p>
      <w:pPr>
        <w:spacing w:after="0" w:line="80" w:lineRule="exact"/>
        <w:rPr>
          <w:sz w:val="20"/>
          <w:szCs w:val="20"/>
          <w:color w:val="auto"/>
        </w:rPr>
      </w:pPr>
    </w:p>
    <w:p>
      <w:pPr>
        <w:ind w:left="1060"/>
        <w:spacing w:after="0"/>
        <w:tabs>
          <w:tab w:leader="none" w:pos="2100" w:val="left"/>
        </w:tabs>
        <w:rPr>
          <w:sz w:val="20"/>
          <w:szCs w:val="20"/>
          <w:color w:val="auto"/>
        </w:rPr>
      </w:pPr>
      <w:r>
        <w:rPr>
          <w:rFonts w:ascii="Arial" w:cs="Arial" w:eastAsia="Arial" w:hAnsi="Arial"/>
          <w:sz w:val="15"/>
          <w:szCs w:val="15"/>
          <w:b w:val="1"/>
          <w:bCs w:val="1"/>
          <w:i w:val="1"/>
          <w:iCs w:val="1"/>
          <w:color w:val="auto"/>
        </w:rPr>
        <w:t>Art. 4. Durée.</w:t>
      </w:r>
      <w:r>
        <w:rPr>
          <w:sz w:val="20"/>
          <w:szCs w:val="20"/>
          <w:color w:val="auto"/>
        </w:rPr>
        <w:tab/>
      </w:r>
      <w:r>
        <w:rPr>
          <w:rFonts w:ascii="Arial" w:cs="Arial" w:eastAsia="Arial" w:hAnsi="Arial"/>
          <w:sz w:val="15"/>
          <w:szCs w:val="15"/>
          <w:i w:val="1"/>
          <w:iCs w:val="1"/>
          <w:color w:val="auto"/>
        </w:rPr>
        <w:t>La Société est constituée pour une durée illimitée.</w:t>
      </w:r>
    </w:p>
    <w:p>
      <w:pPr>
        <w:spacing w:after="0" w:line="190" w:lineRule="exact"/>
        <w:rPr>
          <w:sz w:val="20"/>
          <w:szCs w:val="20"/>
          <w:color w:val="auto"/>
        </w:rPr>
      </w:pPr>
    </w:p>
    <w:p>
      <w:pPr>
        <w:ind w:left="1360"/>
        <w:spacing w:after="0"/>
        <w:rPr>
          <w:sz w:val="20"/>
          <w:szCs w:val="20"/>
          <w:color w:val="auto"/>
        </w:rPr>
      </w:pPr>
      <w:r>
        <w:rPr>
          <w:rFonts w:ascii="Arial" w:cs="Arial" w:eastAsia="Arial" w:hAnsi="Arial"/>
          <w:sz w:val="15"/>
          <w:szCs w:val="15"/>
          <w:b w:val="1"/>
          <w:bCs w:val="1"/>
          <w:i w:val="1"/>
          <w:iCs w:val="1"/>
          <w:color w:val="auto"/>
        </w:rPr>
        <w:t>Chapitre II. Capital Social, Actions</w:t>
      </w:r>
    </w:p>
    <w:p>
      <w:pPr>
        <w:spacing w:after="0" w:line="122" w:lineRule="exact"/>
        <w:rPr>
          <w:sz w:val="20"/>
          <w:szCs w:val="20"/>
          <w:color w:val="auto"/>
        </w:rPr>
      </w:pPr>
    </w:p>
    <w:p>
      <w:pPr>
        <w:ind w:left="1060"/>
        <w:spacing w:after="0"/>
        <w:tabs>
          <w:tab w:leader="none" w:pos="2680" w:val="left"/>
        </w:tabs>
        <w:rPr>
          <w:sz w:val="20"/>
          <w:szCs w:val="20"/>
          <w:color w:val="auto"/>
        </w:rPr>
      </w:pPr>
      <w:r>
        <w:rPr>
          <w:rFonts w:ascii="Arial" w:cs="Arial" w:eastAsia="Arial" w:hAnsi="Arial"/>
          <w:sz w:val="15"/>
          <w:szCs w:val="15"/>
          <w:b w:val="1"/>
          <w:bCs w:val="1"/>
          <w:i w:val="1"/>
          <w:iCs w:val="1"/>
          <w:color w:val="auto"/>
        </w:rPr>
        <w:t>Art. 5. Capital Social.</w:t>
      </w:r>
      <w:r>
        <w:rPr>
          <w:sz w:val="20"/>
          <w:szCs w:val="20"/>
          <w:color w:val="auto"/>
        </w:rPr>
        <w:tab/>
      </w:r>
      <w:r>
        <w:rPr>
          <w:rFonts w:ascii="Arial" w:cs="Arial" w:eastAsia="Arial" w:hAnsi="Arial"/>
          <w:sz w:val="15"/>
          <w:szCs w:val="15"/>
          <w:i w:val="1"/>
          <w:iCs w:val="1"/>
          <w:color w:val="auto"/>
        </w:rPr>
        <w:t xml:space="preserve">Le capital social de la Société est fixé à </w:t>
      </w:r>
      <w:r>
        <w:rPr>
          <w:rFonts w:ascii="Arial" w:cs="Arial" w:eastAsia="Arial" w:hAnsi="Arial"/>
          <w:sz w:val="15"/>
          <w:szCs w:val="15"/>
          <w:color w:val="FF0000"/>
          <w:strike w:val="1"/>
        </w:rPr>
        <w:t>huit</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cent onze mille</w:t>
      </w:r>
      <w:r>
        <w:rPr>
          <w:rFonts w:ascii="Arial" w:cs="Arial" w:eastAsia="Arial" w:hAnsi="Arial"/>
          <w:sz w:val="15"/>
          <w:szCs w:val="15"/>
          <w:i w:val="1"/>
          <w:iCs w:val="1"/>
          <w:color w:val="auto"/>
        </w:rPr>
        <w:t xml:space="preserve"> cent quatre-vingt-</w:t>
      </w:r>
    </w:p>
    <w:p>
      <w:pPr>
        <w:spacing w:after="0" w:line="20"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 xml:space="preserve">neuf </w:t>
      </w:r>
      <w:r>
        <w:rPr>
          <w:rFonts w:ascii="Arial" w:cs="Arial" w:eastAsia="Arial" w:hAnsi="Arial"/>
          <w:sz w:val="15"/>
          <w:szCs w:val="15"/>
          <w:color w:val="FF0000"/>
          <w:strike w:val="1"/>
        </w:rPr>
        <w:t>mille cinq cent dix-neuf</w:t>
      </w:r>
      <w:r>
        <w:rPr>
          <w:rFonts w:ascii="Arial" w:cs="Arial" w:eastAsia="Arial" w:hAnsi="Arial"/>
          <w:sz w:val="15"/>
          <w:szCs w:val="15"/>
          <w:i w:val="1"/>
          <w:iCs w:val="1"/>
          <w:color w:val="auto"/>
        </w:rPr>
        <w:t xml:space="preserve"> dollars américains et </w:t>
      </w:r>
      <w:r>
        <w:rPr>
          <w:rFonts w:ascii="Arial" w:cs="Arial" w:eastAsia="Arial" w:hAnsi="Arial"/>
          <w:sz w:val="15"/>
          <w:szCs w:val="15"/>
          <w:i w:val="1"/>
          <w:iCs w:val="1"/>
          <w:u w:val="single" w:color="auto"/>
          <w:color w:val="0000FF"/>
        </w:rPr>
        <w:t>quatre-</w:t>
      </w:r>
      <w:r>
        <w:rPr>
          <w:rFonts w:ascii="Arial" w:cs="Arial" w:eastAsia="Arial" w:hAnsi="Arial"/>
          <w:sz w:val="15"/>
          <w:szCs w:val="15"/>
          <w:i w:val="1"/>
          <w:iCs w:val="1"/>
          <w:color w:val="auto"/>
        </w:rPr>
        <w:t>vingt-</w:t>
      </w:r>
      <w:r>
        <w:rPr>
          <w:rFonts w:ascii="Arial" w:cs="Arial" w:eastAsia="Arial" w:hAnsi="Arial"/>
          <w:sz w:val="15"/>
          <w:szCs w:val="15"/>
          <w:color w:val="FF0000"/>
          <w:strike w:val="1"/>
        </w:rPr>
        <w:t>cinq</w:t>
      </w:r>
      <w:r>
        <w:rPr>
          <w:rFonts w:ascii="Arial" w:cs="Arial" w:eastAsia="Arial" w:hAnsi="Arial"/>
          <w:sz w:val="15"/>
          <w:szCs w:val="15"/>
          <w:i w:val="1"/>
          <w:iCs w:val="1"/>
          <w:u w:val="single" w:color="auto"/>
          <w:color w:val="0000FF"/>
        </w:rPr>
        <w:t>dix</w:t>
      </w:r>
      <w:r>
        <w:rPr>
          <w:rFonts w:ascii="Arial" w:cs="Arial" w:eastAsia="Arial" w:hAnsi="Arial"/>
          <w:sz w:val="15"/>
          <w:szCs w:val="15"/>
          <w:i w:val="1"/>
          <w:iCs w:val="1"/>
          <w:color w:val="auto"/>
        </w:rPr>
        <w:t xml:space="preserve"> centimes</w:t>
      </w:r>
    </w:p>
    <w:p>
      <w:pPr>
        <w:ind w:left="1060"/>
        <w:spacing w:after="0" w:line="236" w:lineRule="auto"/>
        <w:rPr>
          <w:sz w:val="20"/>
          <w:szCs w:val="20"/>
          <w:color w:val="auto"/>
        </w:rPr>
      </w:pPr>
      <w:r>
        <w:rPr>
          <w:rFonts w:ascii="Arial" w:cs="Arial" w:eastAsia="Arial" w:hAnsi="Arial"/>
          <w:sz w:val="15"/>
          <w:szCs w:val="15"/>
          <w:i w:val="1"/>
          <w:iCs w:val="1"/>
          <w:color w:val="auto"/>
        </w:rPr>
        <w:t>(</w:t>
      </w:r>
      <w:r>
        <w:rPr>
          <w:rFonts w:ascii="Arial" w:cs="Arial" w:eastAsia="Arial" w:hAnsi="Arial"/>
          <w:sz w:val="15"/>
          <w:szCs w:val="15"/>
          <w:color w:val="FF0000"/>
          <w:strike w:val="1"/>
        </w:rPr>
        <w:t>889.519,25</w:t>
      </w:r>
      <w:r>
        <w:rPr>
          <w:rFonts w:ascii="Arial" w:cs="Arial" w:eastAsia="Arial" w:hAnsi="Arial"/>
          <w:sz w:val="15"/>
          <w:szCs w:val="15"/>
          <w:i w:val="1"/>
          <w:iCs w:val="1"/>
          <w:u w:val="single" w:color="auto"/>
          <w:color w:val="0000FF"/>
        </w:rPr>
        <w:t>111.189,90</w:t>
      </w:r>
      <w:r>
        <w:rPr>
          <w:rFonts w:ascii="Arial" w:cs="Arial" w:eastAsia="Arial" w:hAnsi="Arial"/>
          <w:sz w:val="15"/>
          <w:szCs w:val="15"/>
          <w:i w:val="1"/>
          <w:iCs w:val="1"/>
          <w:color w:val="auto"/>
        </w:rPr>
        <w:t xml:space="preserve"> USD) représenté par </w:t>
      </w:r>
      <w:r>
        <w:rPr>
          <w:rFonts w:ascii="Arial" w:cs="Arial" w:eastAsia="Arial" w:hAnsi="Arial"/>
          <w:sz w:val="15"/>
          <w:szCs w:val="15"/>
          <w:color w:val="FF0000"/>
          <w:strike w:val="1"/>
        </w:rPr>
        <w:t>quatre-vingt-huit</w:t>
      </w:r>
      <w:r>
        <w:rPr>
          <w:rFonts w:ascii="Arial" w:cs="Arial" w:eastAsia="Arial" w:hAnsi="Arial"/>
          <w:sz w:val="15"/>
          <w:szCs w:val="15"/>
          <w:i w:val="1"/>
          <w:iCs w:val="1"/>
          <w:u w:val="single" w:color="auto"/>
          <w:color w:val="0000FF"/>
        </w:rPr>
        <w:t>onze</w:t>
      </w:r>
      <w:r>
        <w:rPr>
          <w:rFonts w:ascii="Arial" w:cs="Arial" w:eastAsia="Arial" w:hAnsi="Arial"/>
          <w:sz w:val="15"/>
          <w:szCs w:val="15"/>
          <w:i w:val="1"/>
          <w:iCs w:val="1"/>
          <w:color w:val="auto"/>
        </w:rPr>
        <w:t xml:space="preserve"> millions </w:t>
      </w:r>
      <w:r>
        <w:rPr>
          <w:rFonts w:ascii="Arial" w:cs="Arial" w:eastAsia="Arial" w:hAnsi="Arial"/>
          <w:sz w:val="15"/>
          <w:szCs w:val="15"/>
          <w:color w:val="FF0000"/>
          <w:strike w:val="1"/>
        </w:rPr>
        <w:t>neuf</w:t>
      </w:r>
      <w:r>
        <w:rPr>
          <w:rFonts w:ascii="Arial" w:cs="Arial" w:eastAsia="Arial" w:hAnsi="Arial"/>
          <w:sz w:val="15"/>
          <w:szCs w:val="15"/>
          <w:i w:val="1"/>
          <w:iCs w:val="1"/>
          <w:color w:val="auto"/>
        </w:rPr>
        <w:t xml:space="preserve"> cent </w:t>
      </w:r>
      <w:r>
        <w:rPr>
          <w:rFonts w:ascii="Arial" w:cs="Arial" w:eastAsia="Arial" w:hAnsi="Arial"/>
          <w:sz w:val="15"/>
          <w:szCs w:val="15"/>
          <w:color w:val="FF0000"/>
          <w:strike w:val="1"/>
        </w:rPr>
        <w:t>cinquante-et-</w:t>
      </w:r>
    </w:p>
    <w:p>
      <w:pPr>
        <w:ind w:left="1060"/>
        <w:spacing w:after="0" w:line="236" w:lineRule="auto"/>
        <w:rPr>
          <w:sz w:val="20"/>
          <w:szCs w:val="20"/>
          <w:color w:val="auto"/>
        </w:rPr>
      </w:pPr>
      <w:r>
        <w:rPr>
          <w:rFonts w:ascii="Arial" w:cs="Arial" w:eastAsia="Arial" w:hAnsi="Arial"/>
          <w:sz w:val="15"/>
          <w:szCs w:val="15"/>
          <w:color w:val="FF0000"/>
          <w:strike w:val="1"/>
        </w:rPr>
        <w:t>un</w:t>
      </w:r>
      <w:r>
        <w:rPr>
          <w:rFonts w:ascii="Arial" w:cs="Arial" w:eastAsia="Arial" w:hAnsi="Arial"/>
          <w:sz w:val="15"/>
          <w:szCs w:val="15"/>
          <w:color w:val="FF0000"/>
        </w:rPr>
        <w:t xml:space="preserve"> </w:t>
      </w:r>
      <w:r>
        <w:rPr>
          <w:rFonts w:ascii="Arial" w:cs="Arial" w:eastAsia="Arial" w:hAnsi="Arial"/>
          <w:sz w:val="15"/>
          <w:szCs w:val="15"/>
          <w:i w:val="1"/>
          <w:iCs w:val="1"/>
          <w:u w:val="single" w:color="auto"/>
          <w:color w:val="0000FF"/>
        </w:rPr>
        <w:t>dix-huit</w:t>
      </w:r>
      <w:r>
        <w:rPr>
          <w:rFonts w:ascii="Arial" w:cs="Arial" w:eastAsia="Arial" w:hAnsi="Arial"/>
          <w:sz w:val="15"/>
          <w:szCs w:val="15"/>
          <w:color w:val="FF0000"/>
        </w:rPr>
        <w:t xml:space="preserve"> </w:t>
      </w:r>
      <w:r>
        <w:rPr>
          <w:rFonts w:ascii="Arial" w:cs="Arial" w:eastAsia="Arial" w:hAnsi="Arial"/>
          <w:sz w:val="15"/>
          <w:szCs w:val="15"/>
          <w:i w:val="1"/>
          <w:iCs w:val="1"/>
          <w:color w:val="000000"/>
        </w:rPr>
        <w:t>mille neuf cent</w:t>
      </w:r>
      <w:r>
        <w:rPr>
          <w:rFonts w:ascii="Arial" w:cs="Arial" w:eastAsia="Arial" w:hAnsi="Arial"/>
          <w:sz w:val="15"/>
          <w:szCs w:val="15"/>
          <w:color w:val="FF0000"/>
        </w:rPr>
        <w:t xml:space="preserve"> </w:t>
      </w:r>
      <w:r>
        <w:rPr>
          <w:rFonts w:ascii="Arial" w:cs="Arial" w:eastAsia="Arial" w:hAnsi="Arial"/>
          <w:sz w:val="15"/>
          <w:szCs w:val="15"/>
          <w:i w:val="1"/>
          <w:iCs w:val="1"/>
          <w:u w:val="single" w:color="auto"/>
          <w:color w:val="0000FF"/>
        </w:rPr>
        <w:t>quatre-</w:t>
      </w:r>
      <w:r>
        <w:rPr>
          <w:rFonts w:ascii="Arial" w:cs="Arial" w:eastAsia="Arial" w:hAnsi="Arial"/>
          <w:sz w:val="15"/>
          <w:szCs w:val="15"/>
          <w:i w:val="1"/>
          <w:iCs w:val="1"/>
          <w:color w:val="000000"/>
        </w:rPr>
        <w:t>vingt-</w:t>
      </w:r>
      <w:r>
        <w:rPr>
          <w:rFonts w:ascii="Arial" w:cs="Arial" w:eastAsia="Arial" w:hAnsi="Arial"/>
          <w:sz w:val="15"/>
          <w:szCs w:val="15"/>
          <w:color w:val="FF0000"/>
          <w:strike w:val="1"/>
        </w:rPr>
        <w:t>cinq (88.951.925</w:t>
      </w:r>
      <w:r>
        <w:rPr>
          <w:rFonts w:ascii="Arial" w:cs="Arial" w:eastAsia="Arial" w:hAnsi="Arial"/>
          <w:sz w:val="15"/>
          <w:szCs w:val="15"/>
          <w:i w:val="1"/>
          <w:iCs w:val="1"/>
          <w:u w:val="single" w:color="auto"/>
          <w:color w:val="0000FF"/>
        </w:rPr>
        <w:t>dix (11,118,990</w:t>
      </w:r>
      <w:r>
        <w:rPr>
          <w:rFonts w:ascii="Arial" w:cs="Arial" w:eastAsia="Arial" w:hAnsi="Arial"/>
          <w:sz w:val="15"/>
          <w:szCs w:val="15"/>
          <w:i w:val="1"/>
          <w:iCs w:val="1"/>
          <w:color w:val="000000"/>
        </w:rPr>
        <w:t>) actions ordinaires</w:t>
      </w:r>
      <w:r>
        <w:rPr>
          <w:rFonts w:ascii="Arial" w:cs="Arial" w:eastAsia="Arial" w:hAnsi="Arial"/>
          <w:sz w:val="15"/>
          <w:szCs w:val="15"/>
          <w:color w:val="FF0000"/>
        </w:rPr>
        <w:t xml:space="preserve"> </w:t>
      </w:r>
      <w:r>
        <w:rPr>
          <w:rFonts w:ascii="Arial" w:cs="Arial" w:eastAsia="Arial" w:hAnsi="Arial"/>
          <w:sz w:val="15"/>
          <w:szCs w:val="15"/>
          <w:color w:val="FF0000"/>
          <w:strike w:val="1"/>
        </w:rPr>
        <w:t>de la</w:t>
      </w:r>
    </w:p>
    <w:p>
      <w:pPr>
        <w:ind w:left="1060"/>
        <w:spacing w:after="0"/>
        <w:rPr>
          <w:sz w:val="20"/>
          <w:szCs w:val="20"/>
          <w:color w:val="auto"/>
        </w:rPr>
      </w:pPr>
      <w:r>
        <w:rPr>
          <w:rFonts w:ascii="Arial" w:cs="Arial" w:eastAsia="Arial" w:hAnsi="Arial"/>
          <w:sz w:val="15"/>
          <w:szCs w:val="15"/>
          <w:color w:val="FF0000"/>
          <w:strike w:val="1"/>
        </w:rPr>
        <w:t>Société</w:t>
      </w:r>
      <w:r>
        <w:rPr>
          <w:rFonts w:ascii="Arial" w:cs="Arial" w:eastAsia="Arial" w:hAnsi="Arial"/>
          <w:sz w:val="15"/>
          <w:szCs w:val="15"/>
          <w:color w:val="FF0000"/>
        </w:rPr>
        <w:t xml:space="preserve"> </w:t>
      </w:r>
      <w:r>
        <w:rPr>
          <w:rFonts w:ascii="Arial" w:cs="Arial" w:eastAsia="Arial" w:hAnsi="Arial"/>
          <w:sz w:val="15"/>
          <w:szCs w:val="15"/>
          <w:i w:val="1"/>
          <w:iCs w:val="1"/>
          <w:color w:val="000000"/>
        </w:rPr>
        <w:t>sans</w:t>
      </w:r>
      <w:r>
        <w:rPr>
          <w:rFonts w:ascii="Arial" w:cs="Arial" w:eastAsia="Arial" w:hAnsi="Arial"/>
          <w:sz w:val="15"/>
          <w:szCs w:val="15"/>
          <w:color w:val="FF0000"/>
        </w:rPr>
        <w:t xml:space="preserve"> </w:t>
      </w:r>
      <w:r>
        <w:rPr>
          <w:rFonts w:ascii="Arial" w:cs="Arial" w:eastAsia="Arial" w:hAnsi="Arial"/>
          <w:sz w:val="15"/>
          <w:szCs w:val="15"/>
          <w:color w:val="FF0000"/>
          <w:strike w:val="1"/>
        </w:rPr>
        <w:t>désignation de</w:t>
      </w:r>
      <w:r>
        <w:rPr>
          <w:rFonts w:ascii="Arial" w:cs="Arial" w:eastAsia="Arial" w:hAnsi="Arial"/>
          <w:sz w:val="15"/>
          <w:szCs w:val="15"/>
          <w:color w:val="FF0000"/>
        </w:rPr>
        <w:t xml:space="preserve"> </w:t>
      </w:r>
      <w:r>
        <w:rPr>
          <w:rFonts w:ascii="Arial" w:cs="Arial" w:eastAsia="Arial" w:hAnsi="Arial"/>
          <w:sz w:val="15"/>
          <w:szCs w:val="15"/>
          <w:i w:val="1"/>
          <w:iCs w:val="1"/>
          <w:color w:val="000000"/>
        </w:rPr>
        <w:t>valeur nominale.</w:t>
      </w:r>
      <w:r>
        <w:rPr>
          <w:rFonts w:ascii="Arial" w:cs="Arial" w:eastAsia="Arial" w:hAnsi="Arial"/>
          <w:sz w:val="15"/>
          <w:szCs w:val="15"/>
          <w:color w:val="FF0000"/>
        </w:rPr>
        <w:t xml:space="preserve"> </w:t>
      </w:r>
      <w:r>
        <w:rPr>
          <w:rFonts w:ascii="Arial" w:cs="Arial" w:eastAsia="Arial" w:hAnsi="Arial"/>
          <w:sz w:val="15"/>
          <w:szCs w:val="15"/>
          <w:color w:val="FF0000"/>
          <w:strike w:val="1"/>
        </w:rPr>
        <w:t>Au sens des</w:t>
      </w:r>
      <w:r>
        <w:rPr>
          <w:rFonts w:ascii="Arial" w:cs="Arial" w:eastAsia="Arial" w:hAnsi="Arial"/>
          <w:sz w:val="15"/>
          <w:szCs w:val="15"/>
          <w:i w:val="1"/>
          <w:iCs w:val="1"/>
          <w:u w:val="single" w:color="auto"/>
          <w:color w:val="0000FF"/>
        </w:rPr>
        <w:t>Dans les</w:t>
      </w:r>
      <w:r>
        <w:rPr>
          <w:rFonts w:ascii="Arial" w:cs="Arial" w:eastAsia="Arial" w:hAnsi="Arial"/>
          <w:sz w:val="15"/>
          <w:szCs w:val="15"/>
          <w:color w:val="FF0000"/>
        </w:rPr>
        <w:t xml:space="preserve"> </w:t>
      </w:r>
      <w:r>
        <w:rPr>
          <w:rFonts w:ascii="Arial" w:cs="Arial" w:eastAsia="Arial" w:hAnsi="Arial"/>
          <w:sz w:val="15"/>
          <w:szCs w:val="15"/>
          <w:i w:val="1"/>
          <w:iCs w:val="1"/>
          <w:color w:val="000000"/>
        </w:rPr>
        <w:t>présents Statuts,</w:t>
      </w:r>
      <w:r>
        <w:rPr>
          <w:rFonts w:ascii="Arial" w:cs="Arial" w:eastAsia="Arial" w:hAnsi="Arial"/>
          <w:sz w:val="15"/>
          <w:szCs w:val="15"/>
          <w:color w:val="FF0000"/>
        </w:rPr>
        <w:t xml:space="preserve"> </w:t>
      </w:r>
      <w:r>
        <w:rPr>
          <w:rFonts w:ascii="Arial" w:cs="Arial" w:eastAsia="Arial" w:hAnsi="Arial"/>
          <w:sz w:val="15"/>
          <w:szCs w:val="15"/>
          <w:color w:val="FF0000"/>
          <w:strike w:val="1"/>
        </w:rPr>
        <w:t>on entend</w:t>
      </w:r>
    </w:p>
    <w:p>
      <w:pPr>
        <w:spacing w:after="0" w:line="6" w:lineRule="exact"/>
        <w:rPr>
          <w:sz w:val="20"/>
          <w:szCs w:val="20"/>
          <w:color w:val="auto"/>
        </w:rPr>
      </w:pPr>
    </w:p>
    <w:p>
      <w:pPr>
        <w:ind w:left="1060"/>
        <w:spacing w:after="0"/>
        <w:rPr>
          <w:sz w:val="20"/>
          <w:szCs w:val="20"/>
          <w:color w:val="auto"/>
        </w:rPr>
      </w:pPr>
      <w:r>
        <w:rPr>
          <w:rFonts w:ascii="Arial" w:cs="Arial" w:eastAsia="Arial" w:hAnsi="Arial"/>
          <w:sz w:val="15"/>
          <w:szCs w:val="15"/>
          <w:color w:val="FF0000"/>
          <w:strike w:val="1"/>
        </w:rPr>
        <w:t>par «</w:t>
      </w:r>
      <w:r>
        <w:rPr>
          <w:rFonts w:ascii="Arial" w:cs="Arial" w:eastAsia="Arial" w:hAnsi="Arial"/>
          <w:sz w:val="15"/>
          <w:szCs w:val="15"/>
          <w:color w:val="FF0000"/>
        </w:rPr>
        <w:t xml:space="preserve"> </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000000"/>
        </w:rPr>
        <w:t>Actions</w:t>
      </w:r>
      <w:r>
        <w:rPr>
          <w:rFonts w:ascii="Arial" w:cs="Arial" w:eastAsia="Arial" w:hAnsi="Arial"/>
          <w:sz w:val="15"/>
          <w:szCs w:val="15"/>
          <w:color w:val="FF0000"/>
        </w:rPr>
        <w:t xml:space="preserve"> »</w:t>
      </w:r>
      <w:r>
        <w:rPr>
          <w:rFonts w:ascii="Arial" w:cs="Arial" w:eastAsia="Arial" w:hAnsi="Arial"/>
          <w:sz w:val="15"/>
          <w:szCs w:val="15"/>
          <w:i w:val="1"/>
          <w:iCs w:val="1"/>
          <w:u w:val="single" w:color="auto"/>
          <w:color w:val="0000FF"/>
        </w:rPr>
        <w:t>” désigne</w:t>
      </w:r>
      <w:r>
        <w:rPr>
          <w:rFonts w:ascii="Arial" w:cs="Arial" w:eastAsia="Arial" w:hAnsi="Arial"/>
          <w:sz w:val="15"/>
          <w:szCs w:val="15"/>
          <w:color w:val="FF0000"/>
        </w:rPr>
        <w:t xml:space="preserve"> </w:t>
      </w:r>
      <w:r>
        <w:rPr>
          <w:rFonts w:ascii="Arial" w:cs="Arial" w:eastAsia="Arial" w:hAnsi="Arial"/>
          <w:sz w:val="15"/>
          <w:szCs w:val="15"/>
          <w:i w:val="1"/>
          <w:iCs w:val="1"/>
          <w:color w:val="FF0000"/>
        </w:rPr>
        <w:t>les actions ordinaires de la</w:t>
      </w:r>
      <w:r>
        <w:rPr>
          <w:rFonts w:ascii="Arial" w:cs="Arial" w:eastAsia="Arial" w:hAnsi="Arial"/>
          <w:sz w:val="15"/>
          <w:szCs w:val="15"/>
          <w:color w:val="FF0000"/>
        </w:rPr>
        <w:t xml:space="preserve"> </w:t>
      </w:r>
      <w:r>
        <w:rPr>
          <w:rFonts w:ascii="Arial" w:cs="Arial" w:eastAsia="Arial" w:hAnsi="Arial"/>
          <w:sz w:val="15"/>
          <w:szCs w:val="15"/>
          <w:color w:val="FF0000"/>
          <w:strike w:val="1"/>
        </w:rPr>
        <w:t>société</w:t>
      </w:r>
      <w:r>
        <w:rPr>
          <w:rFonts w:ascii="Arial" w:cs="Arial" w:eastAsia="Arial" w:hAnsi="Arial"/>
          <w:sz w:val="15"/>
          <w:szCs w:val="15"/>
          <w:i w:val="1"/>
          <w:iCs w:val="1"/>
          <w:u w:val="single" w:color="auto"/>
          <w:color w:val="0000FF"/>
        </w:rPr>
        <w:t>Société</w:t>
      </w:r>
      <w:r>
        <w:rPr>
          <w:rFonts w:ascii="Arial" w:cs="Arial" w:eastAsia="Arial" w:hAnsi="Arial"/>
          <w:sz w:val="15"/>
          <w:szCs w:val="15"/>
          <w:color w:val="FF0000"/>
        </w:rPr>
        <w:t xml:space="preserve"> </w:t>
      </w:r>
      <w:r>
        <w:rPr>
          <w:rFonts w:ascii="Arial" w:cs="Arial" w:eastAsia="Arial" w:hAnsi="Arial"/>
          <w:sz w:val="15"/>
          <w:szCs w:val="15"/>
          <w:i w:val="1"/>
          <w:iCs w:val="1"/>
          <w:color w:val="FF0000"/>
        </w:rPr>
        <w:t>sans</w:t>
      </w:r>
      <w:r>
        <w:rPr>
          <w:rFonts w:ascii="Arial" w:cs="Arial" w:eastAsia="Arial" w:hAnsi="Arial"/>
          <w:sz w:val="15"/>
          <w:szCs w:val="15"/>
          <w:color w:val="FF0000"/>
        </w:rPr>
        <w:t xml:space="preserve"> </w:t>
      </w:r>
      <w:r>
        <w:rPr>
          <w:rFonts w:ascii="Arial" w:cs="Arial" w:eastAsia="Arial" w:hAnsi="Arial"/>
          <w:sz w:val="15"/>
          <w:szCs w:val="15"/>
          <w:color w:val="FF0000"/>
          <w:strike w:val="1"/>
        </w:rPr>
        <w:t>désignation de</w:t>
      </w:r>
      <w:r>
        <w:rPr>
          <w:rFonts w:ascii="Arial" w:cs="Arial" w:eastAsia="Arial" w:hAnsi="Arial"/>
          <w:sz w:val="15"/>
          <w:szCs w:val="15"/>
          <w:color w:val="FF0000"/>
        </w:rPr>
        <w:t xml:space="preserve"> </w:t>
      </w:r>
      <w:r>
        <w:rPr>
          <w:rFonts w:ascii="Arial" w:cs="Arial" w:eastAsia="Arial" w:hAnsi="Arial"/>
          <w:sz w:val="15"/>
          <w:szCs w:val="15"/>
          <w:i w:val="1"/>
          <w:iCs w:val="1"/>
          <w:color w:val="000000"/>
        </w:rPr>
        <w:t>valeur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1285875</wp:posOffset>
            </wp:positionH>
            <wp:positionV relativeFrom="paragraph">
              <wp:posOffset>-56515</wp:posOffset>
            </wp:positionV>
            <wp:extent cx="80010"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0010" cy="6985"/>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5"/>
          <w:szCs w:val="15"/>
          <w:i w:val="1"/>
          <w:iCs w:val="1"/>
          <w:color w:val="auto"/>
        </w:rPr>
        <w:t>nominale.</w:t>
      </w:r>
    </w:p>
    <w:p>
      <w:pPr>
        <w:spacing w:after="0" w:line="108" w:lineRule="exact"/>
        <w:rPr>
          <w:sz w:val="20"/>
          <w:szCs w:val="20"/>
          <w:color w:val="auto"/>
        </w:rPr>
      </w:pPr>
    </w:p>
    <w:p>
      <w:pPr>
        <w:ind w:left="1060" w:right="1259"/>
        <w:spacing w:after="0" w:line="253" w:lineRule="auto"/>
        <w:rPr>
          <w:sz w:val="20"/>
          <w:szCs w:val="20"/>
          <w:color w:val="auto"/>
        </w:rPr>
      </w:pPr>
      <w:r>
        <w:rPr>
          <w:rFonts w:ascii="Arial" w:cs="Arial" w:eastAsia="Arial" w:hAnsi="Arial"/>
          <w:sz w:val="15"/>
          <w:szCs w:val="15"/>
          <w:color w:val="FF0000"/>
          <w:strike w:val="1"/>
        </w:rPr>
        <w:t>Outre le</w:t>
      </w:r>
      <w:r>
        <w:rPr>
          <w:rFonts w:ascii="Arial" w:cs="Arial" w:eastAsia="Arial" w:hAnsi="Arial"/>
          <w:sz w:val="15"/>
          <w:szCs w:val="15"/>
          <w:i w:val="1"/>
          <w:iCs w:val="1"/>
          <w:u w:val="single" w:color="auto"/>
          <w:color w:val="0000FF"/>
        </w:rPr>
        <w:t>En plus du</w:t>
      </w:r>
      <w:r>
        <w:rPr>
          <w:rFonts w:ascii="Arial" w:cs="Arial" w:eastAsia="Arial" w:hAnsi="Arial"/>
          <w:sz w:val="15"/>
          <w:szCs w:val="15"/>
          <w:color w:val="FF0000"/>
        </w:rPr>
        <w:t xml:space="preserve"> </w:t>
      </w:r>
      <w:r>
        <w:rPr>
          <w:rFonts w:ascii="Arial" w:cs="Arial" w:eastAsia="Arial" w:hAnsi="Arial"/>
          <w:sz w:val="15"/>
          <w:szCs w:val="15"/>
          <w:i w:val="1"/>
          <w:iCs w:val="1"/>
          <w:color w:val="000000"/>
        </w:rPr>
        <w:t>capital social,</w:t>
      </w:r>
      <w:r>
        <w:rPr>
          <w:rFonts w:ascii="Arial" w:cs="Arial" w:eastAsia="Arial" w:hAnsi="Arial"/>
          <w:sz w:val="15"/>
          <w:szCs w:val="15"/>
          <w:color w:val="FF0000"/>
        </w:rPr>
        <w:t xml:space="preserve"> </w:t>
      </w:r>
      <w:r>
        <w:rPr>
          <w:rFonts w:ascii="Arial" w:cs="Arial" w:eastAsia="Arial" w:hAnsi="Arial"/>
          <w:sz w:val="15"/>
          <w:szCs w:val="15"/>
          <w:color w:val="FF0000"/>
          <w:strike w:val="1"/>
        </w:rPr>
        <w:t>des comptes de primes d’émission sur lesquels toute</w:t>
      </w:r>
      <w:r>
        <w:rPr>
          <w:rFonts w:ascii="Arial" w:cs="Arial" w:eastAsia="Arial" w:hAnsi="Arial"/>
          <w:sz w:val="15"/>
          <w:szCs w:val="15"/>
          <w:color w:val="FF0000"/>
        </w:rPr>
        <w:t xml:space="preserve"> </w:t>
      </w:r>
      <w:r>
        <w:rPr>
          <w:rFonts w:ascii="Arial" w:cs="Arial" w:eastAsia="Arial" w:hAnsi="Arial"/>
          <w:sz w:val="15"/>
          <w:szCs w:val="15"/>
          <w:i w:val="1"/>
          <w:iCs w:val="1"/>
          <w:u w:val="single" w:color="auto"/>
          <w:color w:val="0000FF"/>
        </w:rPr>
        <w:t>un</w:t>
      </w:r>
      <w:r>
        <w:rPr>
          <w:rFonts w:ascii="Arial" w:cs="Arial" w:eastAsia="Arial" w:hAnsi="Arial"/>
          <w:sz w:val="15"/>
          <w:szCs w:val="15"/>
          <w:color w:val="FF0000"/>
        </w:rPr>
        <w:t xml:space="preserve"> </w:t>
      </w:r>
      <w:r>
        <w:rPr>
          <w:rFonts w:ascii="Arial" w:cs="Arial" w:eastAsia="Arial" w:hAnsi="Arial"/>
          <w:sz w:val="15"/>
          <w:szCs w:val="15"/>
          <w:i w:val="1"/>
          <w:iCs w:val="1"/>
          <w:u w:val="single" w:color="auto"/>
          <w:color w:val="0000FF"/>
        </w:rPr>
        <w:t>compte de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prime</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payée sur une Action en plus de sa valeur nominale peut être transférée et</w:t>
      </w:r>
    </w:p>
    <w:p>
      <w:pPr>
        <w:spacing w:after="0" w:line="1" w:lineRule="exact"/>
        <w:rPr>
          <w:sz w:val="20"/>
          <w:szCs w:val="20"/>
          <w:color w:val="auto"/>
        </w:rPr>
      </w:pPr>
    </w:p>
    <w:p>
      <w:pPr>
        <w:ind w:left="1060" w:right="1319"/>
        <w:spacing w:after="0" w:line="241" w:lineRule="auto"/>
        <w:rPr>
          <w:sz w:val="20"/>
          <w:szCs w:val="20"/>
          <w:color w:val="auto"/>
        </w:rPr>
      </w:pPr>
      <w:r>
        <w:rPr>
          <w:rFonts w:ascii="Arial" w:cs="Arial" w:eastAsia="Arial" w:hAnsi="Arial"/>
          <w:sz w:val="15"/>
          <w:szCs w:val="15"/>
          <w:color w:val="FF0000"/>
          <w:strike w:val="1"/>
        </w:rPr>
        <w:t>des comptes d’apport</w:t>
      </w:r>
      <w:r>
        <w:rPr>
          <w:rFonts w:ascii="Arial" w:cs="Arial" w:eastAsia="Arial" w:hAnsi="Arial"/>
          <w:sz w:val="15"/>
          <w:szCs w:val="15"/>
          <w:i w:val="1"/>
          <w:iCs w:val="1"/>
          <w:u w:val="single" w:color="auto"/>
          <w:color w:val="0000FF"/>
        </w:rPr>
        <w:t>d’émission et/ou un compte d’apport</w:t>
      </w:r>
      <w:r>
        <w:rPr>
          <w:rFonts w:ascii="Arial" w:cs="Arial" w:eastAsia="Arial" w:hAnsi="Arial"/>
          <w:sz w:val="15"/>
          <w:szCs w:val="15"/>
          <w:color w:val="FF0000"/>
        </w:rPr>
        <w:t xml:space="preserve"> </w:t>
      </w:r>
      <w:r>
        <w:rPr>
          <w:rFonts w:ascii="Arial" w:cs="Arial" w:eastAsia="Arial" w:hAnsi="Arial"/>
          <w:sz w:val="15"/>
          <w:szCs w:val="15"/>
          <w:i w:val="1"/>
          <w:iCs w:val="1"/>
          <w:color w:val="000000"/>
        </w:rPr>
        <w:t>en capital (compte 115</w:t>
      </w:r>
      <w:r>
        <w:rPr>
          <w:rFonts w:ascii="Arial" w:cs="Arial" w:eastAsia="Arial" w:hAnsi="Arial"/>
          <w:sz w:val="15"/>
          <w:szCs w:val="15"/>
          <w:color w:val="FF0000"/>
          <w:strike w:val="1"/>
        </w:rPr>
        <w:t>, «</w:t>
      </w:r>
      <w:r>
        <w:rPr>
          <w:rFonts w:ascii="Arial" w:cs="Arial" w:eastAsia="Arial" w:hAnsi="Arial"/>
          <w:sz w:val="15"/>
          <w:szCs w:val="15"/>
          <w:color w:val="FF0000"/>
        </w:rPr>
        <w:t xml:space="preserve"> </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000000"/>
        </w:rPr>
        <w:t>Apport en</w:t>
      </w:r>
      <w:r>
        <w:rPr>
          <w:rFonts w:ascii="Arial" w:cs="Arial" w:eastAsia="Arial" w:hAnsi="Arial"/>
          <w:sz w:val="15"/>
          <w:szCs w:val="15"/>
          <w:color w:val="FF0000"/>
        </w:rPr>
        <w:t xml:space="preserve"> </w:t>
      </w:r>
      <w:r>
        <w:rPr>
          <w:rFonts w:ascii="Arial" w:cs="Arial" w:eastAsia="Arial" w:hAnsi="Arial"/>
          <w:sz w:val="15"/>
          <w:szCs w:val="15"/>
          <w:i w:val="1"/>
          <w:iCs w:val="1"/>
          <w:color w:val="000000"/>
        </w:rPr>
        <w:t xml:space="preserve">capitaux propres non rémunéré par des titres </w:t>
      </w:r>
      <w:r>
        <w:rPr>
          <w:rFonts w:ascii="Arial" w:cs="Arial" w:eastAsia="Arial" w:hAnsi="Arial"/>
          <w:sz w:val="15"/>
          <w:szCs w:val="15"/>
          <w:color w:val="FF0000"/>
        </w:rPr>
        <w:t>») peuvent</w:t>
      </w:r>
      <w:r>
        <w:rPr>
          <w:rFonts w:ascii="Arial" w:cs="Arial" w:eastAsia="Arial" w:hAnsi="Arial"/>
          <w:sz w:val="15"/>
          <w:szCs w:val="15"/>
          <w:i w:val="1"/>
          <w:iCs w:val="1"/>
          <w:u w:val="single" w:color="auto"/>
          <w:color w:val="0000FF"/>
        </w:rPr>
        <w:t>”) peut</w:t>
      </w:r>
      <w:r>
        <w:rPr>
          <w:rFonts w:ascii="Arial" w:cs="Arial" w:eastAsia="Arial" w:hAnsi="Arial"/>
          <w:sz w:val="15"/>
          <w:szCs w:val="15"/>
          <w:i w:val="1"/>
          <w:iCs w:val="1"/>
          <w:color w:val="000000"/>
        </w:rPr>
        <w:t xml:space="preserve"> être </w:t>
      </w:r>
      <w:r>
        <w:rPr>
          <w:rFonts w:ascii="Arial" w:cs="Arial" w:eastAsia="Arial" w:hAnsi="Arial"/>
          <w:sz w:val="15"/>
          <w:szCs w:val="15"/>
          <w:color w:val="FF0000"/>
          <w:strike w:val="1"/>
        </w:rPr>
        <w:t>établis</w:t>
      </w:r>
      <w:r>
        <w:rPr>
          <w:rFonts w:ascii="Arial" w:cs="Arial" w:eastAsia="Arial" w:hAnsi="Arial"/>
          <w:sz w:val="15"/>
          <w:szCs w:val="15"/>
          <w:i w:val="1"/>
          <w:iCs w:val="1"/>
          <w:u w:val="single" w:color="auto"/>
          <w:color w:val="0000FF"/>
        </w:rPr>
        <w:t>établi</w:t>
      </w:r>
      <w:r>
        <w:rPr>
          <w:rFonts w:ascii="Arial" w:cs="Arial" w:eastAsia="Arial" w:hAnsi="Arial"/>
          <w:sz w:val="15"/>
          <w:szCs w:val="15"/>
          <w:i w:val="1"/>
          <w:iCs w:val="1"/>
          <w:color w:val="000000"/>
        </w:rPr>
        <w:t xml:space="preserve">. Le Conseil </w:t>
      </w:r>
      <w:r>
        <w:rPr>
          <w:rFonts w:ascii="Arial" w:cs="Arial" w:eastAsia="Arial" w:hAnsi="Arial"/>
          <w:sz w:val="15"/>
          <w:szCs w:val="15"/>
          <w:color w:val="FF0000"/>
          <w:strike w:val="1"/>
        </w:rPr>
        <w:t>d’administration</w:t>
      </w:r>
      <w:r>
        <w:rPr>
          <w:rFonts w:ascii="Arial" w:cs="Arial" w:eastAsia="Arial" w:hAnsi="Arial"/>
          <w:sz w:val="15"/>
          <w:szCs w:val="15"/>
          <w:i w:val="1"/>
          <w:iCs w:val="1"/>
          <w:u w:val="single" w:color="auto"/>
          <w:color w:val="0000FF"/>
        </w:rPr>
        <w:t>d’Administration</w:t>
      </w:r>
      <w:r>
        <w:rPr>
          <w:rFonts w:ascii="Arial" w:cs="Arial" w:eastAsia="Arial" w:hAnsi="Arial"/>
          <w:sz w:val="15"/>
          <w:szCs w:val="15"/>
          <w:color w:val="FF0000"/>
        </w:rPr>
        <w:t xml:space="preserve"> </w:t>
      </w:r>
      <w:r>
        <w:rPr>
          <w:rFonts w:ascii="Arial" w:cs="Arial" w:eastAsia="Arial" w:hAnsi="Arial"/>
          <w:sz w:val="15"/>
          <w:szCs w:val="15"/>
          <w:i w:val="1"/>
          <w:iCs w:val="1"/>
          <w:color w:val="000000"/>
        </w:rPr>
        <w:t>est autorisé à affecter</w:t>
      </w:r>
      <w:r>
        <w:rPr>
          <w:rFonts w:ascii="Arial" w:cs="Arial" w:eastAsia="Arial" w:hAnsi="Arial"/>
          <w:sz w:val="15"/>
          <w:szCs w:val="15"/>
          <w:color w:val="FF0000"/>
        </w:rPr>
        <w:t xml:space="preserve"> </w:t>
      </w:r>
      <w:r>
        <w:rPr>
          <w:rFonts w:ascii="Arial" w:cs="Arial" w:eastAsia="Arial" w:hAnsi="Arial"/>
          <w:sz w:val="15"/>
          <w:szCs w:val="15"/>
          <w:color w:val="FF0000"/>
          <w:strike w:val="1"/>
        </w:rPr>
        <w:t>tout</w:t>
      </w:r>
      <w:r>
        <w:rPr>
          <w:rFonts w:ascii="Arial" w:cs="Arial" w:eastAsia="Arial" w:hAnsi="Arial"/>
          <w:sz w:val="15"/>
          <w:szCs w:val="15"/>
          <w:i w:val="1"/>
          <w:iCs w:val="1"/>
          <w:u w:val="single" w:color="auto"/>
          <w:color w:val="0000FF"/>
        </w:rPr>
        <w:t>la totalité</w:t>
      </w:r>
      <w:r>
        <w:rPr>
          <w:rFonts w:ascii="Arial" w:cs="Arial" w:eastAsia="Arial" w:hAnsi="Arial"/>
          <w:sz w:val="15"/>
          <w:szCs w:val="15"/>
          <w:color w:val="FF0000"/>
        </w:rPr>
        <w:t xml:space="preserve"> </w:t>
      </w:r>
      <w:r>
        <w:rPr>
          <w:rFonts w:ascii="Arial" w:cs="Arial" w:eastAsia="Arial" w:hAnsi="Arial"/>
          <w:sz w:val="15"/>
          <w:szCs w:val="15"/>
          <w:color w:val="000000"/>
        </w:rPr>
        <w:t>ou</w:t>
      </w:r>
      <w:r>
        <w:rPr>
          <w:rFonts w:ascii="Arial" w:cs="Arial" w:eastAsia="Arial" w:hAnsi="Arial"/>
          <w:sz w:val="15"/>
          <w:szCs w:val="15"/>
          <w:color w:val="FF0000"/>
        </w:rPr>
        <w:t xml:space="preserve"> </w:t>
      </w:r>
      <w:r>
        <w:rPr>
          <w:rFonts w:ascii="Arial" w:cs="Arial" w:eastAsia="Arial" w:hAnsi="Arial"/>
          <w:sz w:val="15"/>
          <w:szCs w:val="15"/>
          <w:i w:val="1"/>
          <w:iCs w:val="1"/>
          <w:u w:val="single" w:color="auto"/>
          <w:color w:val="0000FF"/>
        </w:rPr>
        <w:t>une</w:t>
      </w:r>
      <w:r>
        <w:rPr>
          <w:rFonts w:ascii="Arial" w:cs="Arial" w:eastAsia="Arial" w:hAnsi="Arial"/>
          <w:sz w:val="15"/>
          <w:szCs w:val="15"/>
          <w:color w:val="FF0000"/>
        </w:rPr>
        <w:t xml:space="preserve"> </w:t>
      </w:r>
      <w:r>
        <w:rPr>
          <w:rFonts w:ascii="Arial" w:cs="Arial" w:eastAsia="Arial" w:hAnsi="Arial"/>
          <w:sz w:val="15"/>
          <w:szCs w:val="15"/>
          <w:color w:val="000000"/>
        </w:rPr>
        <w:t>partie des comptes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2586990</wp:posOffset>
            </wp:positionH>
            <wp:positionV relativeFrom="paragraph">
              <wp:posOffset>-170815</wp:posOffset>
            </wp:positionV>
            <wp:extent cx="512445"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2445" cy="6985"/>
                    </a:xfrm>
                    <a:prstGeom prst="rect">
                      <a:avLst/>
                    </a:prstGeom>
                    <a:noFill/>
                  </pic:spPr>
                </pic:pic>
              </a:graphicData>
            </a:graphic>
          </wp:anchor>
        </w:drawing>
      </w:r>
    </w:p>
    <w:p>
      <w:pPr>
        <w:ind w:left="1060" w:right="1179"/>
        <w:spacing w:after="0" w:line="241" w:lineRule="auto"/>
        <w:rPr>
          <w:sz w:val="20"/>
          <w:szCs w:val="20"/>
          <w:color w:val="auto"/>
        </w:rPr>
      </w:pPr>
      <w:r>
        <w:rPr>
          <w:rFonts w:ascii="Arial" w:cs="Arial" w:eastAsia="Arial" w:hAnsi="Arial"/>
          <w:sz w:val="15"/>
          <w:szCs w:val="15"/>
          <w:color w:val="auto"/>
        </w:rPr>
        <w:t xml:space="preserve">de primes </w:t>
      </w:r>
      <w:r>
        <w:rPr>
          <w:rFonts w:ascii="Arial" w:cs="Arial" w:eastAsia="Arial" w:hAnsi="Arial"/>
          <w:sz w:val="15"/>
          <w:szCs w:val="15"/>
          <w:color w:val="FF0000"/>
          <w:strike w:val="1"/>
        </w:rPr>
        <w:t>d’émission</w:t>
      </w:r>
      <w:r>
        <w:rPr>
          <w:rFonts w:ascii="Arial" w:cs="Arial" w:eastAsia="Arial" w:hAnsi="Arial"/>
          <w:sz w:val="15"/>
          <w:szCs w:val="15"/>
          <w:i w:val="1"/>
          <w:iCs w:val="1"/>
          <w:u w:val="single" w:color="auto"/>
          <w:color w:val="0000FF"/>
        </w:rPr>
        <w:t>d’émission</w:t>
      </w:r>
      <w:r>
        <w:rPr>
          <w:rFonts w:ascii="Arial" w:cs="Arial" w:eastAsia="Arial" w:hAnsi="Arial"/>
          <w:sz w:val="15"/>
          <w:szCs w:val="15"/>
          <w:color w:val="auto"/>
        </w:rPr>
        <w:t xml:space="preserve"> </w:t>
      </w:r>
      <w:r>
        <w:rPr>
          <w:rFonts w:ascii="Arial" w:cs="Arial" w:eastAsia="Arial" w:hAnsi="Arial"/>
          <w:sz w:val="15"/>
          <w:szCs w:val="15"/>
          <w:i w:val="1"/>
          <w:iCs w:val="1"/>
          <w:color w:val="auto"/>
        </w:rPr>
        <w:t>et des comptes</w:t>
      </w:r>
      <w:r>
        <w:rPr>
          <w:rFonts w:ascii="Arial" w:cs="Arial" w:eastAsia="Arial" w:hAnsi="Arial"/>
          <w:sz w:val="15"/>
          <w:szCs w:val="15"/>
          <w:color w:val="auto"/>
        </w:rPr>
        <w:t xml:space="preserve"> </w:t>
      </w:r>
      <w:r>
        <w:rPr>
          <w:rFonts w:ascii="Arial" w:cs="Arial" w:eastAsia="Arial" w:hAnsi="Arial"/>
          <w:sz w:val="15"/>
          <w:szCs w:val="15"/>
          <w:color w:val="FF0000"/>
          <w:strike w:val="1"/>
        </w:rPr>
        <w:t>d’apport</w:t>
      </w:r>
      <w:r>
        <w:rPr>
          <w:rFonts w:ascii="Arial" w:cs="Arial" w:eastAsia="Arial" w:hAnsi="Arial"/>
          <w:sz w:val="15"/>
          <w:szCs w:val="15"/>
          <w:i w:val="1"/>
          <w:iCs w:val="1"/>
          <w:u w:val="single" w:color="auto"/>
          <w:color w:val="0000FF"/>
        </w:rPr>
        <w:t>d’apport</w:t>
      </w:r>
      <w:r>
        <w:rPr>
          <w:rFonts w:ascii="Arial" w:cs="Arial" w:eastAsia="Arial" w:hAnsi="Arial"/>
          <w:sz w:val="15"/>
          <w:szCs w:val="15"/>
          <w:color w:val="auto"/>
        </w:rPr>
        <w:t xml:space="preserve"> </w:t>
      </w:r>
      <w:r>
        <w:rPr>
          <w:rFonts w:ascii="Arial" w:cs="Arial" w:eastAsia="Arial" w:hAnsi="Arial"/>
          <w:sz w:val="15"/>
          <w:szCs w:val="15"/>
          <w:i w:val="1"/>
          <w:iCs w:val="1"/>
          <w:color w:val="auto"/>
        </w:rPr>
        <w:t>en capital</w:t>
      </w:r>
      <w:r>
        <w:rPr>
          <w:rFonts w:ascii="Arial" w:cs="Arial" w:eastAsia="Arial" w:hAnsi="Arial"/>
          <w:sz w:val="15"/>
          <w:szCs w:val="15"/>
          <w:color w:val="auto"/>
        </w:rPr>
        <w:t xml:space="preserve"> </w:t>
      </w:r>
      <w:r>
        <w:rPr>
          <w:rFonts w:ascii="Arial" w:cs="Arial" w:eastAsia="Arial" w:hAnsi="Arial"/>
          <w:sz w:val="15"/>
          <w:szCs w:val="15"/>
          <w:color w:val="FF0000"/>
          <w:strike w:val="1"/>
        </w:rPr>
        <w:t>versés sur les</w:t>
      </w:r>
      <w:r>
        <w:rPr>
          <w:rFonts w:ascii="Arial" w:cs="Arial" w:eastAsia="Arial" w:hAnsi="Arial"/>
          <w:sz w:val="15"/>
          <w:szCs w:val="15"/>
          <w:color w:val="auto"/>
        </w:rPr>
        <w:t xml:space="preserve"> </w:t>
      </w:r>
      <w:r>
        <w:rPr>
          <w:rFonts w:ascii="Arial" w:cs="Arial" w:eastAsia="Arial" w:hAnsi="Arial"/>
          <w:sz w:val="15"/>
          <w:szCs w:val="15"/>
          <w:color w:val="FF0000"/>
          <w:strike w:val="1"/>
        </w:rPr>
        <w:t>actions</w:t>
      </w:r>
      <w:r>
        <w:rPr>
          <w:rFonts w:ascii="Arial" w:cs="Arial" w:eastAsia="Arial" w:hAnsi="Arial"/>
          <w:sz w:val="15"/>
          <w:szCs w:val="15"/>
          <w:i w:val="1"/>
          <w:iCs w:val="1"/>
          <w:u w:val="single" w:color="auto"/>
          <w:color w:val="0000FF"/>
        </w:rPr>
        <w:t>aux Actions</w:t>
      </w:r>
      <w:r>
        <w:rPr>
          <w:rFonts w:ascii="Arial" w:cs="Arial" w:eastAsia="Arial" w:hAnsi="Arial"/>
          <w:sz w:val="15"/>
          <w:szCs w:val="15"/>
          <w:color w:val="FF0000"/>
        </w:rPr>
        <w:t xml:space="preserve"> </w:t>
      </w:r>
      <w:r>
        <w:rPr>
          <w:rFonts w:ascii="Arial" w:cs="Arial" w:eastAsia="Arial" w:hAnsi="Arial"/>
          <w:sz w:val="15"/>
          <w:szCs w:val="15"/>
          <w:i w:val="1"/>
          <w:iCs w:val="1"/>
          <w:color w:val="000000"/>
        </w:rPr>
        <w:t>émises par la Société</w:t>
      </w:r>
      <w:r>
        <w:rPr>
          <w:rFonts w:ascii="Arial" w:cs="Arial" w:eastAsia="Arial" w:hAnsi="Arial"/>
          <w:sz w:val="15"/>
          <w:szCs w:val="15"/>
          <w:i w:val="1"/>
          <w:iCs w:val="1"/>
          <w:u w:val="single" w:color="auto"/>
          <w:color w:val="0000FF"/>
        </w:rPr>
        <w:t>, de temps</w:t>
      </w:r>
      <w:r>
        <w:rPr>
          <w:rFonts w:ascii="Arial" w:cs="Arial" w:eastAsia="Arial" w:hAnsi="Arial"/>
          <w:sz w:val="15"/>
          <w:szCs w:val="15"/>
          <w:color w:val="FF0000"/>
        </w:rPr>
        <w:t xml:space="preserve"> </w:t>
      </w:r>
      <w:r>
        <w:rPr>
          <w:rFonts w:ascii="Arial" w:cs="Arial" w:eastAsia="Arial" w:hAnsi="Arial"/>
          <w:sz w:val="15"/>
          <w:szCs w:val="15"/>
          <w:i w:val="1"/>
          <w:iCs w:val="1"/>
          <w:color w:val="000000"/>
        </w:rPr>
        <w:t>à</w:t>
      </w:r>
      <w:r>
        <w:rPr>
          <w:rFonts w:ascii="Arial" w:cs="Arial" w:eastAsia="Arial" w:hAnsi="Arial"/>
          <w:sz w:val="15"/>
          <w:szCs w:val="15"/>
          <w:color w:val="FF0000"/>
        </w:rPr>
        <w:t xml:space="preserve"> </w:t>
      </w:r>
      <w:r>
        <w:rPr>
          <w:rFonts w:ascii="Arial" w:cs="Arial" w:eastAsia="Arial" w:hAnsi="Arial"/>
          <w:sz w:val="15"/>
          <w:szCs w:val="15"/>
          <w:color w:val="FF0000"/>
          <w:strike w:val="1"/>
        </w:rPr>
        <w:t>l’un ou l’autre des postes suivants, ou aux</w:t>
      </w:r>
      <w:r>
        <w:rPr>
          <w:rFonts w:ascii="Arial" w:cs="Arial" w:eastAsia="Arial" w:hAnsi="Arial"/>
          <w:sz w:val="15"/>
          <w:szCs w:val="15"/>
          <w:color w:val="FF0000"/>
        </w:rPr>
        <w:t xml:space="preserve"> </w:t>
      </w:r>
      <w:r>
        <w:rPr>
          <w:rFonts w:ascii="Arial" w:cs="Arial" w:eastAsia="Arial" w:hAnsi="Arial"/>
          <w:sz w:val="15"/>
          <w:szCs w:val="15"/>
          <w:color w:val="FF0000"/>
          <w:strike w:val="1"/>
        </w:rPr>
        <w:t>deux, selon ce qu’il jugera</w:t>
      </w:r>
      <w:r>
        <w:rPr>
          <w:rFonts w:ascii="Arial" w:cs="Arial" w:eastAsia="Arial" w:hAnsi="Arial"/>
          <w:sz w:val="15"/>
          <w:szCs w:val="15"/>
          <w:i w:val="1"/>
          <w:iCs w:val="1"/>
          <w:u w:val="single" w:color="auto"/>
          <w:color w:val="0000FF"/>
        </w:rPr>
        <w:t>autre, comme il le juge</w:t>
      </w:r>
      <w:r>
        <w:rPr>
          <w:rFonts w:ascii="Arial" w:cs="Arial" w:eastAsia="Arial" w:hAnsi="Arial"/>
          <w:sz w:val="15"/>
          <w:szCs w:val="15"/>
          <w:color w:val="FF0000"/>
        </w:rPr>
        <w:t xml:space="preserve"> </w:t>
      </w:r>
      <w:r>
        <w:rPr>
          <w:rFonts w:ascii="Arial" w:cs="Arial" w:eastAsia="Arial" w:hAnsi="Arial"/>
          <w:sz w:val="15"/>
          <w:szCs w:val="15"/>
          <w:i w:val="1"/>
          <w:iCs w:val="1"/>
          <w:color w:val="000000"/>
        </w:rPr>
        <w:t>approprié</w:t>
      </w:r>
      <w:r>
        <w:rPr>
          <w:rFonts w:ascii="Arial" w:cs="Arial" w:eastAsia="Arial" w:hAnsi="Arial"/>
          <w:sz w:val="15"/>
          <w:szCs w:val="15"/>
          <w:color w:val="FF0000"/>
        </w:rPr>
        <w:t xml:space="preserve"> </w:t>
      </w:r>
      <w:r>
        <w:rPr>
          <w:rFonts w:ascii="Arial" w:cs="Arial" w:eastAsia="Arial" w:hAnsi="Arial"/>
          <w:sz w:val="15"/>
          <w:szCs w:val="15"/>
          <w:i w:val="1"/>
          <w:iCs w:val="1"/>
          <w:u w:val="single" w:color="auto"/>
          <w:color w:val="0000FF"/>
        </w:rPr>
        <w:t>à l’un ou à l’autre des éléments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-62865</wp:posOffset>
            </wp:positionV>
            <wp:extent cx="26670"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6670" cy="6985"/>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5"/>
          <w:szCs w:val="15"/>
          <w:i w:val="1"/>
          <w:iCs w:val="1"/>
          <w:u w:val="single" w:color="auto"/>
          <w:color w:val="0000FF"/>
        </w:rPr>
        <w:t>suivants</w:t>
      </w:r>
      <w:r>
        <w:rPr>
          <w:rFonts w:ascii="Arial" w:cs="Arial" w:eastAsia="Arial" w:hAnsi="Arial"/>
          <w:sz w:val="15"/>
          <w:szCs w:val="15"/>
          <w:i w:val="1"/>
          <w:iCs w:val="1"/>
          <w:color w:val="000000"/>
        </w:rPr>
        <w:t>:</w:t>
      </w:r>
    </w:p>
    <w:p>
      <w:pPr>
        <w:spacing w:after="0" w:line="96" w:lineRule="exact"/>
        <w:rPr>
          <w:sz w:val="20"/>
          <w:szCs w:val="20"/>
          <w:color w:val="auto"/>
        </w:rPr>
      </w:pPr>
    </w:p>
    <w:p>
      <w:pPr>
        <w:ind w:left="1360" w:right="1519" w:hanging="295"/>
        <w:spacing w:after="0" w:line="287" w:lineRule="auto"/>
        <w:tabs>
          <w:tab w:leader="none" w:pos="1360" w:val="left"/>
        </w:tabs>
        <w:numPr>
          <w:ilvl w:val="0"/>
          <w:numId w:val="61"/>
        </w:numPr>
        <w:rPr>
          <w:rFonts w:ascii="Arial" w:cs="Arial" w:eastAsia="Arial" w:hAnsi="Arial"/>
          <w:sz w:val="15"/>
          <w:szCs w:val="15"/>
          <w:color w:val="auto"/>
        </w:rPr>
      </w:pPr>
      <w:r>
        <w:rPr>
          <w:rFonts w:ascii="Arial" w:cs="Arial" w:eastAsia="Arial" w:hAnsi="Arial"/>
          <w:sz w:val="15"/>
          <w:szCs w:val="15"/>
          <w:i w:val="1"/>
          <w:iCs w:val="1"/>
          <w:color w:val="auto"/>
        </w:rPr>
        <w:t xml:space="preserve">une réserve distribuable à utiliser pour </w:t>
      </w:r>
      <w:r>
        <w:rPr>
          <w:rFonts w:ascii="Arial" w:cs="Arial" w:eastAsia="Arial" w:hAnsi="Arial"/>
          <w:sz w:val="15"/>
          <w:szCs w:val="15"/>
          <w:color w:val="FF0000"/>
          <w:strike w:val="1"/>
        </w:rPr>
        <w:t>des</w:t>
      </w:r>
      <w:r>
        <w:rPr>
          <w:rFonts w:ascii="Arial" w:cs="Arial" w:eastAsia="Arial" w:hAnsi="Arial"/>
          <w:sz w:val="15"/>
          <w:szCs w:val="15"/>
          <w:i w:val="1"/>
          <w:iCs w:val="1"/>
          <w:u w:val="single" w:color="auto"/>
          <w:color w:val="0000FF"/>
        </w:rPr>
        <w:t>les</w:t>
      </w:r>
      <w:r>
        <w:rPr>
          <w:rFonts w:ascii="Arial" w:cs="Arial" w:eastAsia="Arial" w:hAnsi="Arial"/>
          <w:sz w:val="15"/>
          <w:szCs w:val="15"/>
          <w:i w:val="1"/>
          <w:iCs w:val="1"/>
          <w:color w:val="auto"/>
        </w:rPr>
        <w:t xml:space="preserve"> distributions de toute nature à effectuer par la Société ;</w:t>
      </w:r>
    </w:p>
    <w:p>
      <w:pPr>
        <w:spacing w:after="0" w:line="73" w:lineRule="exact"/>
        <w:rPr>
          <w:rFonts w:ascii="Arial" w:cs="Arial" w:eastAsia="Arial" w:hAnsi="Arial"/>
          <w:sz w:val="15"/>
          <w:szCs w:val="15"/>
          <w:color w:val="auto"/>
        </w:rPr>
      </w:pPr>
    </w:p>
    <w:p>
      <w:pPr>
        <w:ind w:left="1360" w:hanging="295"/>
        <w:spacing w:after="0"/>
        <w:tabs>
          <w:tab w:leader="none" w:pos="1360" w:val="left"/>
        </w:tabs>
        <w:numPr>
          <w:ilvl w:val="0"/>
          <w:numId w:val="61"/>
        </w:numPr>
        <w:rPr>
          <w:rFonts w:ascii="Arial" w:cs="Arial" w:eastAsia="Arial" w:hAnsi="Arial"/>
          <w:sz w:val="15"/>
          <w:szCs w:val="15"/>
          <w:color w:val="auto"/>
        </w:rPr>
      </w:pPr>
      <w:r>
        <w:rPr>
          <w:rFonts w:ascii="Arial" w:cs="Arial" w:eastAsia="Arial" w:hAnsi="Arial"/>
          <w:sz w:val="15"/>
          <w:szCs w:val="15"/>
          <w:i w:val="1"/>
          <w:iCs w:val="1"/>
          <w:color w:val="auto"/>
        </w:rPr>
        <w:t xml:space="preserve">une réserve spéciale </w:t>
      </w:r>
      <w:r>
        <w:rPr>
          <w:rFonts w:ascii="Arial" w:cs="Arial" w:eastAsia="Arial" w:hAnsi="Arial"/>
          <w:sz w:val="15"/>
          <w:szCs w:val="15"/>
          <w:color w:val="FF0000"/>
          <w:strike w:val="1"/>
        </w:rPr>
        <w:t>telle que</w:t>
      </w:r>
      <w:r>
        <w:rPr>
          <w:rFonts w:ascii="Arial" w:cs="Arial" w:eastAsia="Arial" w:hAnsi="Arial"/>
          <w:sz w:val="15"/>
          <w:szCs w:val="15"/>
          <w:i w:val="1"/>
          <w:iCs w:val="1"/>
          <w:color w:val="auto"/>
        </w:rPr>
        <w:t xml:space="preserve"> prévue par les articles 430-18, 430-22 et 461-2 de la </w:t>
      </w:r>
      <w:r>
        <w:rPr>
          <w:rFonts w:ascii="Arial" w:cs="Arial" w:eastAsia="Arial" w:hAnsi="Arial"/>
          <w:sz w:val="15"/>
          <w:szCs w:val="15"/>
          <w:color w:val="FF0000"/>
          <w:strike w:val="1"/>
        </w:rPr>
        <w:t>loi</w:t>
      </w:r>
      <w:r>
        <w:rPr>
          <w:rFonts w:ascii="Arial" w:cs="Arial" w:eastAsia="Arial" w:hAnsi="Arial"/>
          <w:sz w:val="15"/>
          <w:szCs w:val="15"/>
          <w:i w:val="1"/>
          <w:iCs w:val="1"/>
          <w:u w:val="single" w:color="auto"/>
          <w:color w:val="0000FF"/>
        </w:rPr>
        <w:t>Loi</w:t>
      </w:r>
      <w:r>
        <w:rPr>
          <w:rFonts w:ascii="Arial" w:cs="Arial" w:eastAsia="Arial" w:hAnsi="Arial"/>
          <w:sz w:val="15"/>
          <w:szCs w:val="15"/>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1186815</wp:posOffset>
            </wp:positionH>
            <wp:positionV relativeFrom="paragraph">
              <wp:posOffset>-243205</wp:posOffset>
            </wp:positionV>
            <wp:extent cx="26670"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670" cy="6985"/>
                    </a:xfrm>
                    <a:prstGeom prst="rect">
                      <a:avLst/>
                    </a:prstGeom>
                    <a:noFill/>
                  </pic:spPr>
                </pic:pic>
              </a:graphicData>
            </a:graphic>
          </wp:anchor>
        </w:drawing>
      </w:r>
    </w:p>
    <w:p>
      <w:pPr>
        <w:spacing w:after="0" w:line="113" w:lineRule="exact"/>
        <w:rPr>
          <w:sz w:val="20"/>
          <w:szCs w:val="20"/>
          <w:color w:val="auto"/>
        </w:rPr>
      </w:pPr>
    </w:p>
    <w:p>
      <w:pPr>
        <w:ind w:left="1060" w:right="1099"/>
        <w:spacing w:after="0" w:line="244" w:lineRule="auto"/>
        <w:rPr>
          <w:sz w:val="20"/>
          <w:szCs w:val="20"/>
          <w:color w:val="auto"/>
        </w:rPr>
      </w:pPr>
      <w:r>
        <w:rPr>
          <w:rFonts w:ascii="Arial" w:cs="Arial" w:eastAsia="Arial" w:hAnsi="Arial"/>
          <w:sz w:val="15"/>
          <w:szCs w:val="15"/>
          <w:b w:val="1"/>
          <w:bCs w:val="1"/>
          <w:i w:val="1"/>
          <w:iCs w:val="1"/>
          <w:color w:val="auto"/>
        </w:rPr>
        <w:t xml:space="preserve">Art. 6. Capital Social Autorisé. </w:t>
      </w:r>
      <w:r>
        <w:rPr>
          <w:rFonts w:ascii="Arial" w:cs="Arial" w:eastAsia="Arial" w:hAnsi="Arial"/>
          <w:sz w:val="15"/>
          <w:szCs w:val="15"/>
          <w:i w:val="1"/>
          <w:iCs w:val="1"/>
          <w:color w:val="auto"/>
        </w:rPr>
        <w:t>Le capital social autorisé</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0000FF"/>
        </w:rPr>
        <w:t>de la Société</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est fixé à un million neuf cent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dix-huit mille trois cent vingt-neuf dollars américains et quatre-vingt-deux centimes (1.918.329</w:t>
      </w:r>
      <w:r>
        <w:rPr>
          <w:rFonts w:ascii="Arial" w:cs="Arial" w:eastAsia="Arial" w:hAnsi="Arial"/>
          <w:sz w:val="15"/>
          <w:szCs w:val="15"/>
          <w:color w:val="FF0000"/>
          <w:strike w:val="1"/>
        </w:rPr>
        <w:t>.</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auto"/>
        </w:rPr>
        <w:t xml:space="preserve">82 USD) divisé en cent quatre-vingt-onze </w:t>
      </w:r>
      <w:r>
        <w:rPr>
          <w:rFonts w:ascii="Arial" w:cs="Arial" w:eastAsia="Arial" w:hAnsi="Arial"/>
          <w:sz w:val="15"/>
          <w:szCs w:val="15"/>
          <w:color w:val="FF0000"/>
          <w:strike w:val="1"/>
        </w:rPr>
        <w:t>mille</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millions</w:t>
      </w:r>
      <w:r>
        <w:rPr>
          <w:rFonts w:ascii="Arial" w:cs="Arial" w:eastAsia="Arial" w:hAnsi="Arial"/>
          <w:sz w:val="15"/>
          <w:szCs w:val="15"/>
          <w:i w:val="1"/>
          <w:iCs w:val="1"/>
          <w:color w:val="auto"/>
        </w:rPr>
        <w:t xml:space="preserve"> huit cent trente-deux mille neuf cent quatre-vingt-deux (191.832.982) </w:t>
      </w:r>
      <w:r>
        <w:rPr>
          <w:rFonts w:ascii="Arial" w:cs="Arial" w:eastAsia="Arial" w:hAnsi="Arial"/>
          <w:sz w:val="15"/>
          <w:szCs w:val="15"/>
          <w:color w:val="FF0000"/>
          <w:strike w:val="1"/>
        </w:rPr>
        <w:t>actions ordinaires de la Société</w:t>
      </w:r>
      <w:r>
        <w:rPr>
          <w:rFonts w:ascii="Arial" w:cs="Arial" w:eastAsia="Arial" w:hAnsi="Arial"/>
          <w:sz w:val="15"/>
          <w:szCs w:val="15"/>
          <w:i w:val="1"/>
          <w:iCs w:val="1"/>
          <w:u w:val="single" w:color="auto"/>
          <w:color w:val="0000FF"/>
        </w:rPr>
        <w:t>Actions</w:t>
      </w:r>
      <w:r>
        <w:rPr>
          <w:rFonts w:ascii="Arial" w:cs="Arial" w:eastAsia="Arial" w:hAnsi="Arial"/>
          <w:sz w:val="15"/>
          <w:szCs w:val="15"/>
          <w:i w:val="1"/>
          <w:iCs w:val="1"/>
          <w:color w:val="auto"/>
        </w:rPr>
        <w:t xml:space="preserve"> sans valeur nominale. Le Conseil </w:t>
      </w:r>
      <w:r>
        <w:rPr>
          <w:rFonts w:ascii="Arial" w:cs="Arial" w:eastAsia="Arial" w:hAnsi="Arial"/>
          <w:sz w:val="15"/>
          <w:szCs w:val="15"/>
          <w:color w:val="FF0000"/>
          <w:strike w:val="1"/>
        </w:rPr>
        <w:t>d’administration</w:t>
      </w:r>
      <w:r>
        <w:rPr>
          <w:rFonts w:ascii="Arial" w:cs="Arial" w:eastAsia="Arial" w:hAnsi="Arial"/>
          <w:sz w:val="15"/>
          <w:szCs w:val="15"/>
          <w:i w:val="1"/>
          <w:iCs w:val="1"/>
          <w:u w:val="single" w:color="auto"/>
          <w:color w:val="0000FF"/>
        </w:rPr>
        <w:t>d’Administration,</w:t>
      </w:r>
      <w:r>
        <w:rPr>
          <w:rFonts w:ascii="Arial" w:cs="Arial" w:eastAsia="Arial" w:hAnsi="Arial"/>
          <w:sz w:val="15"/>
          <w:szCs w:val="15"/>
          <w:color w:val="FF0000"/>
        </w:rPr>
        <w:t xml:space="preserve"> </w:t>
      </w:r>
      <w:r>
        <w:rPr>
          <w:rFonts w:ascii="Arial" w:cs="Arial" w:eastAsia="Arial" w:hAnsi="Arial"/>
          <w:sz w:val="15"/>
          <w:szCs w:val="15"/>
          <w:i w:val="1"/>
          <w:iCs w:val="1"/>
          <w:color w:val="000000"/>
        </w:rPr>
        <w:t>est autorisé, pendant une période se terminant cinq (5) ans après la</w:t>
      </w:r>
      <w:r>
        <w:rPr>
          <w:rFonts w:ascii="Arial" w:cs="Arial" w:eastAsia="Arial" w:hAnsi="Arial"/>
          <w:sz w:val="15"/>
          <w:szCs w:val="15"/>
          <w:color w:val="FF0000"/>
        </w:rPr>
        <w:t xml:space="preserve"> </w:t>
      </w:r>
      <w:r>
        <w:rPr>
          <w:rFonts w:ascii="Arial" w:cs="Arial" w:eastAsia="Arial" w:hAnsi="Arial"/>
          <w:sz w:val="15"/>
          <w:szCs w:val="15"/>
          <w:i w:val="1"/>
          <w:iCs w:val="1"/>
          <w:color w:val="000000"/>
        </w:rPr>
        <w:t xml:space="preserve">date de publication du procès-verbal </w:t>
      </w:r>
      <w:r>
        <w:rPr>
          <w:rFonts w:ascii="Arial" w:cs="Arial" w:eastAsia="Arial" w:hAnsi="Arial"/>
          <w:sz w:val="15"/>
          <w:szCs w:val="15"/>
          <w:color w:val="FF0000"/>
          <w:strike w:val="1"/>
        </w:rPr>
        <w:t>de l’assemblée</w:t>
      </w:r>
      <w:r>
        <w:rPr>
          <w:rFonts w:ascii="Arial" w:cs="Arial" w:eastAsia="Arial" w:hAnsi="Arial"/>
          <w:sz w:val="15"/>
          <w:szCs w:val="15"/>
          <w:i w:val="1"/>
          <w:iCs w:val="1"/>
          <w:u w:val="single" w:color="auto"/>
          <w:color w:val="0000FF"/>
        </w:rPr>
        <w:t>d’assemblée</w:t>
      </w:r>
      <w:r>
        <w:rPr>
          <w:rFonts w:ascii="Arial" w:cs="Arial" w:eastAsia="Arial" w:hAnsi="Arial"/>
          <w:sz w:val="15"/>
          <w:szCs w:val="15"/>
          <w:i w:val="1"/>
          <w:iCs w:val="1"/>
          <w:color w:val="000000"/>
        </w:rPr>
        <w:t xml:space="preserve"> générale extraordinaire du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3171190</wp:posOffset>
            </wp:positionH>
            <wp:positionV relativeFrom="paragraph">
              <wp:posOffset>-564515</wp:posOffset>
            </wp:positionV>
            <wp:extent cx="579755"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79755" cy="6985"/>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5"/>
          <w:szCs w:val="15"/>
          <w:i w:val="1"/>
          <w:iCs w:val="1"/>
          <w:color w:val="auto"/>
        </w:rPr>
        <w:t xml:space="preserve">février 2025 </w:t>
      </w:r>
      <w:r>
        <w:rPr>
          <w:rFonts w:ascii="Arial" w:cs="Arial" w:eastAsia="Arial" w:hAnsi="Arial"/>
          <w:sz w:val="15"/>
          <w:szCs w:val="15"/>
          <w:color w:val="FF0000"/>
          <w:strike w:val="1"/>
        </w:rPr>
        <w:t>dans la gazette électronique RESA (</w:t>
      </w:r>
      <w:r>
        <w:rPr>
          <w:rFonts w:ascii="Arial" w:cs="Arial" w:eastAsia="Arial" w:hAnsi="Arial"/>
          <w:sz w:val="15"/>
          <w:szCs w:val="15"/>
          <w:i w:val="1"/>
          <w:iCs w:val="1"/>
          <w:u w:val="single" w:color="auto"/>
          <w:color w:val="0000FF"/>
        </w:rPr>
        <w:t>, au</w:t>
      </w:r>
      <w:r>
        <w:rPr>
          <w:rFonts w:ascii="Arial" w:cs="Arial" w:eastAsia="Arial" w:hAnsi="Arial"/>
          <w:sz w:val="15"/>
          <w:szCs w:val="15"/>
          <w:i w:val="1"/>
          <w:iCs w:val="1"/>
          <w:color w:val="auto"/>
        </w:rPr>
        <w:t xml:space="preserve"> </w:t>
      </w:r>
      <w:r>
        <w:rPr>
          <w:rFonts w:ascii="Arial" w:cs="Arial" w:eastAsia="Arial" w:hAnsi="Arial"/>
          <w:sz w:val="15"/>
          <w:szCs w:val="15"/>
          <w:color w:val="auto"/>
        </w:rPr>
        <w:t>Recueil Electronique des Sociétés et</w:t>
      </w:r>
    </w:p>
    <w:p>
      <w:pPr>
        <w:ind w:left="1060"/>
        <w:spacing w:after="0"/>
        <w:rPr>
          <w:sz w:val="20"/>
          <w:szCs w:val="20"/>
          <w:color w:val="auto"/>
        </w:rPr>
      </w:pPr>
      <w:r>
        <w:rPr>
          <w:rFonts w:ascii="Arial" w:cs="Arial" w:eastAsia="Arial" w:hAnsi="Arial"/>
          <w:sz w:val="15"/>
          <w:szCs w:val="15"/>
          <w:color w:val="auto"/>
        </w:rPr>
        <w:t>Associations</w:t>
      </w:r>
      <w:r>
        <w:rPr>
          <w:rFonts w:ascii="Arial" w:cs="Arial" w:eastAsia="Arial" w:hAnsi="Arial"/>
          <w:sz w:val="15"/>
          <w:szCs w:val="15"/>
          <w:color w:val="FF0000"/>
          <w:strike w:val="1"/>
        </w:rPr>
        <w:t>) à :</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0000FF"/>
        </w:rPr>
        <w:t>de:</w:t>
      </w:r>
    </w:p>
    <w:p>
      <w:pPr>
        <w:spacing w:after="0" w:line="74" w:lineRule="exact"/>
        <w:rPr>
          <w:sz w:val="20"/>
          <w:szCs w:val="20"/>
          <w:color w:val="auto"/>
        </w:rPr>
      </w:pPr>
    </w:p>
    <w:p>
      <w:pPr>
        <w:ind w:left="1520" w:right="1119" w:hanging="153"/>
        <w:spacing w:after="0" w:line="257" w:lineRule="auto"/>
        <w:tabs>
          <w:tab w:leader="none" w:pos="1520"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réaliser toute augmentation du capital social émis dans les limites du capital social autorisé</w:t>
      </w:r>
      <w:r>
        <w:rPr>
          <w:rFonts w:ascii="Arial" w:cs="Arial" w:eastAsia="Arial" w:hAnsi="Arial"/>
          <w:sz w:val="15"/>
          <w:szCs w:val="15"/>
          <w:color w:val="FF0000"/>
          <w:strike w:val="1"/>
        </w:rPr>
        <w:t>,</w:t>
      </w:r>
      <w:r>
        <w:rPr>
          <w:rFonts w:ascii="Arial" w:cs="Arial" w:eastAsia="Arial" w:hAnsi="Arial"/>
          <w:sz w:val="15"/>
          <w:szCs w:val="15"/>
          <w:i w:val="1"/>
          <w:iCs w:val="1"/>
          <w:color w:val="auto"/>
        </w:rPr>
        <w:t xml:space="preserve"> en une </w:t>
      </w:r>
      <w:r>
        <w:rPr>
          <w:rFonts w:ascii="Arial" w:cs="Arial" w:eastAsia="Arial" w:hAnsi="Arial"/>
          <w:sz w:val="15"/>
          <w:szCs w:val="15"/>
          <w:color w:val="FF0000"/>
          <w:strike w:val="1"/>
        </w:rPr>
        <w:t>ou plusieurs</w:t>
      </w:r>
      <w:r>
        <w:rPr>
          <w:rFonts w:ascii="Arial" w:cs="Arial" w:eastAsia="Arial" w:hAnsi="Arial"/>
          <w:sz w:val="15"/>
          <w:szCs w:val="15"/>
          <w:i w:val="1"/>
          <w:iCs w:val="1"/>
          <w:u w:val="single" w:color="auto"/>
          <w:color w:val="0000FF"/>
        </w:rPr>
        <w:t>seule</w:t>
      </w:r>
      <w:r>
        <w:rPr>
          <w:rFonts w:ascii="Arial" w:cs="Arial" w:eastAsia="Arial" w:hAnsi="Arial"/>
          <w:sz w:val="15"/>
          <w:szCs w:val="15"/>
          <w:i w:val="1"/>
          <w:iCs w:val="1"/>
          <w:color w:val="auto"/>
        </w:rPr>
        <w:t xml:space="preserve"> fois</w:t>
      </w:r>
      <w:r>
        <w:rPr>
          <w:rFonts w:ascii="Arial" w:cs="Arial" w:eastAsia="Arial" w:hAnsi="Arial"/>
          <w:sz w:val="15"/>
          <w:szCs w:val="15"/>
          <w:color w:val="FF0000"/>
          <w:strike w:val="1"/>
        </w:rPr>
        <w:t>,</w:t>
      </w:r>
      <w:r>
        <w:rPr>
          <w:rFonts w:ascii="Arial" w:cs="Arial" w:eastAsia="Arial" w:hAnsi="Arial"/>
          <w:sz w:val="15"/>
          <w:szCs w:val="15"/>
          <w:i w:val="1"/>
          <w:iCs w:val="1"/>
          <w:color w:val="auto"/>
        </w:rPr>
        <w:t xml:space="preserve"> </w:t>
      </w:r>
      <w:r>
        <w:rPr>
          <w:rFonts w:ascii="Arial" w:cs="Arial" w:eastAsia="Arial" w:hAnsi="Arial"/>
          <w:sz w:val="15"/>
          <w:szCs w:val="15"/>
          <w:i w:val="1"/>
          <w:iCs w:val="1"/>
          <w:color w:val="0000FF"/>
        </w:rPr>
        <w:t>ou</w:t>
      </w:r>
      <w:r>
        <w:rPr>
          <w:rFonts w:ascii="Arial" w:cs="Arial" w:eastAsia="Arial" w:hAnsi="Arial"/>
          <w:sz w:val="15"/>
          <w:szCs w:val="15"/>
          <w:i w:val="1"/>
          <w:iCs w:val="1"/>
          <w:color w:val="auto"/>
        </w:rPr>
        <w:t xml:space="preserve"> par </w:t>
      </w:r>
      <w:r>
        <w:rPr>
          <w:rFonts w:ascii="Arial" w:cs="Arial" w:eastAsia="Arial" w:hAnsi="Arial"/>
          <w:sz w:val="15"/>
          <w:szCs w:val="15"/>
          <w:color w:val="FF0000"/>
          <w:strike w:val="1"/>
        </w:rPr>
        <w:t>l’émission de nouvelles Actions</w:t>
      </w:r>
      <w:r>
        <w:rPr>
          <w:rFonts w:ascii="Arial" w:cs="Arial" w:eastAsia="Arial" w:hAnsi="Arial"/>
          <w:sz w:val="15"/>
          <w:szCs w:val="15"/>
          <w:i w:val="1"/>
          <w:iCs w:val="1"/>
          <w:u w:val="single" w:color="auto"/>
          <w:color w:val="0000FF"/>
        </w:rPr>
        <w:t>tranches successives,</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par émission d’Actions</w:t>
      </w:r>
      <w:r>
        <w:rPr>
          <w:rFonts w:ascii="Arial" w:cs="Arial" w:eastAsia="Arial" w:hAnsi="Arial"/>
          <w:sz w:val="15"/>
          <w:szCs w:val="15"/>
          <w:i w:val="1"/>
          <w:iCs w:val="1"/>
          <w:color w:val="000000"/>
        </w:rPr>
        <w:t>, l’octroi d’options, de bons de</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souscriptions</w:t>
      </w:r>
      <w:r>
        <w:rPr>
          <w:rFonts w:ascii="Arial" w:cs="Arial" w:eastAsia="Arial" w:hAnsi="Arial"/>
          <w:sz w:val="15"/>
          <w:szCs w:val="15"/>
          <w:i w:val="1"/>
          <w:iCs w:val="1"/>
          <w:color w:val="0000FF"/>
        </w:rPr>
        <w:t xml:space="preserve"> </w:t>
      </w:r>
      <w:r>
        <w:rPr>
          <w:rFonts w:ascii="Arial" w:cs="Arial" w:eastAsia="Arial" w:hAnsi="Arial"/>
          <w:sz w:val="15"/>
          <w:szCs w:val="15"/>
          <w:i w:val="1"/>
          <w:iCs w:val="1"/>
          <w:u w:val="single" w:color="auto"/>
          <w:color w:val="0000FF"/>
        </w:rPr>
        <w:t>souscription</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ou d’autres</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 xml:space="preserve">instruments similaires </w:t>
      </w:r>
      <w:r>
        <w:rPr>
          <w:rFonts w:ascii="Arial" w:cs="Arial" w:eastAsia="Arial" w:hAnsi="Arial"/>
          <w:sz w:val="15"/>
          <w:szCs w:val="15"/>
          <w:color w:val="FF0000"/>
          <w:strike w:val="1"/>
        </w:rPr>
        <w:t>pouvant être exercés</w:t>
      </w:r>
      <w:r>
        <w:rPr>
          <w:rFonts w:ascii="Arial" w:cs="Arial" w:eastAsia="Arial" w:hAnsi="Arial"/>
          <w:sz w:val="15"/>
          <w:szCs w:val="15"/>
          <w:i w:val="1"/>
          <w:iCs w:val="1"/>
          <w:u w:val="single" w:color="auto"/>
          <w:color w:val="0000FF"/>
        </w:rPr>
        <w:t>exerçables</w:t>
      </w:r>
      <w:r>
        <w:rPr>
          <w:rFonts w:ascii="Arial" w:cs="Arial" w:eastAsia="Arial" w:hAnsi="Arial"/>
          <w:sz w:val="15"/>
          <w:szCs w:val="15"/>
          <w:i w:val="1"/>
          <w:iCs w:val="1"/>
          <w:color w:val="000000"/>
        </w:rPr>
        <w:t xml:space="preserve"> en Actions, de droits de </w:t>
      </w:r>
      <w:r>
        <w:rPr>
          <w:rFonts w:ascii="Arial" w:cs="Arial" w:eastAsia="Arial" w:hAnsi="Arial"/>
          <w:sz w:val="15"/>
          <w:szCs w:val="15"/>
          <w:color w:val="FF0000"/>
          <w:strike w:val="1"/>
        </w:rPr>
        <w:t>souscription</w:t>
      </w:r>
      <w:r>
        <w:rPr>
          <w:rFonts w:ascii="Arial" w:cs="Arial" w:eastAsia="Arial" w:hAnsi="Arial"/>
          <w:sz w:val="15"/>
          <w:szCs w:val="15"/>
          <w:i w:val="1"/>
          <w:iCs w:val="1"/>
          <w:color w:val="000000"/>
        </w:rPr>
        <w:t xml:space="preserve"> </w:t>
      </w:r>
      <w:r>
        <w:rPr>
          <w:rFonts w:ascii="Arial" w:cs="Arial" w:eastAsia="Arial" w:hAnsi="Arial"/>
          <w:sz w:val="15"/>
          <w:szCs w:val="15"/>
          <w:color w:val="FF0000"/>
          <w:strike w:val="1"/>
        </w:rPr>
        <w:t>d’Actions contre paiement</w:t>
      </w:r>
      <w:r>
        <w:rPr>
          <w:rFonts w:ascii="Arial" w:cs="Arial" w:eastAsia="Arial" w:hAnsi="Arial"/>
          <w:sz w:val="15"/>
          <w:szCs w:val="15"/>
          <w:i w:val="1"/>
          <w:iCs w:val="1"/>
          <w:u w:val="single" w:color="auto"/>
          <w:color w:val="0000FF"/>
        </w:rPr>
        <w:t>souscrire à des Actions à libérer par voie de versements</w:t>
      </w:r>
      <w:r>
        <w:rPr>
          <w:rFonts w:ascii="Arial" w:cs="Arial" w:eastAsia="Arial" w:hAnsi="Arial"/>
          <w:sz w:val="15"/>
          <w:szCs w:val="15"/>
          <w:color w:val="FF0000"/>
        </w:rPr>
        <w:t xml:space="preserve"> </w:t>
      </w:r>
      <w:r>
        <w:rPr>
          <w:rFonts w:ascii="Arial" w:cs="Arial" w:eastAsia="Arial" w:hAnsi="Arial"/>
          <w:sz w:val="15"/>
          <w:szCs w:val="15"/>
          <w:i w:val="1"/>
          <w:iCs w:val="1"/>
          <w:color w:val="000000"/>
        </w:rPr>
        <w:t>en</w:t>
      </w:r>
      <w:r>
        <w:rPr>
          <w:rFonts w:ascii="Arial" w:cs="Arial" w:eastAsia="Arial" w:hAnsi="Arial"/>
          <w:sz w:val="15"/>
          <w:szCs w:val="15"/>
          <w:color w:val="FF0000"/>
        </w:rPr>
        <w:t xml:space="preserve"> </w:t>
      </w:r>
      <w:r>
        <w:rPr>
          <w:rFonts w:ascii="Arial" w:cs="Arial" w:eastAsia="Arial" w:hAnsi="Arial"/>
          <w:sz w:val="15"/>
          <w:szCs w:val="15"/>
          <w:i w:val="1"/>
          <w:iCs w:val="1"/>
          <w:color w:val="000000"/>
        </w:rPr>
        <w:t xml:space="preserve">espèces ou </w:t>
      </w:r>
      <w:r>
        <w:rPr>
          <w:rFonts w:ascii="Arial" w:cs="Arial" w:eastAsia="Arial" w:hAnsi="Arial"/>
          <w:sz w:val="15"/>
          <w:szCs w:val="15"/>
          <w:i w:val="1"/>
          <w:iCs w:val="1"/>
          <w:u w:val="single" w:color="auto"/>
          <w:color w:val="0000FF"/>
        </w:rPr>
        <w:t>d’apports</w:t>
      </w:r>
      <w:r>
        <w:rPr>
          <w:rFonts w:ascii="Arial" w:cs="Arial" w:eastAsia="Arial" w:hAnsi="Arial"/>
          <w:sz w:val="15"/>
          <w:szCs w:val="15"/>
          <w:i w:val="1"/>
          <w:iCs w:val="1"/>
          <w:color w:val="000000"/>
        </w:rPr>
        <w:t xml:space="preserve"> en nature </w:t>
      </w:r>
      <w:r>
        <w:rPr>
          <w:rFonts w:ascii="Arial" w:cs="Arial" w:eastAsia="Arial" w:hAnsi="Arial"/>
          <w:sz w:val="15"/>
          <w:szCs w:val="15"/>
          <w:color w:val="FF0000"/>
        </w:rPr>
        <w:t>;</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000000"/>
        </w:rPr>
        <w:t xml:space="preserve"> par </w:t>
      </w:r>
      <w:r>
        <w:rPr>
          <w:rFonts w:ascii="Arial" w:cs="Arial" w:eastAsia="Arial" w:hAnsi="Arial"/>
          <w:sz w:val="15"/>
          <w:szCs w:val="15"/>
          <w:color w:val="FF0000"/>
          <w:strike w:val="1"/>
        </w:rPr>
        <w:t>la conversion</w:t>
      </w:r>
      <w:r>
        <w:rPr>
          <w:rFonts w:ascii="Arial" w:cs="Arial" w:eastAsia="Arial" w:hAnsi="Arial"/>
          <w:sz w:val="15"/>
          <w:szCs w:val="15"/>
          <w:i w:val="1"/>
          <w:iCs w:val="1"/>
          <w:u w:val="single" w:color="auto"/>
          <w:color w:val="0000FF"/>
        </w:rPr>
        <w:t>transformation</w:t>
      </w:r>
      <w:r>
        <w:rPr>
          <w:rFonts w:ascii="Arial" w:cs="Arial" w:eastAsia="Arial" w:hAnsi="Arial"/>
          <w:sz w:val="15"/>
          <w:szCs w:val="15"/>
          <w:i w:val="1"/>
          <w:iCs w:val="1"/>
          <w:color w:val="000000"/>
        </w:rPr>
        <w:t xml:space="preserve"> de créances </w:t>
      </w:r>
      <w:r>
        <w:rPr>
          <w:rFonts w:ascii="Arial" w:cs="Arial" w:eastAsia="Arial" w:hAnsi="Arial"/>
          <w:sz w:val="15"/>
          <w:szCs w:val="15"/>
          <w:color w:val="FF0000"/>
        </w:rPr>
        <w:t>;</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000000"/>
        </w:rPr>
        <w:t xml:space="preserve"> par l’augmentation </w:t>
      </w:r>
      <w:r>
        <w:rPr>
          <w:rFonts w:ascii="Arial" w:cs="Arial" w:eastAsia="Arial" w:hAnsi="Arial"/>
          <w:sz w:val="15"/>
          <w:szCs w:val="15"/>
          <w:color w:val="FF0000"/>
          <w:strike w:val="1"/>
        </w:rPr>
        <w:t>de la valeur nominale</w:t>
      </w:r>
      <w:r>
        <w:rPr>
          <w:rFonts w:ascii="Arial" w:cs="Arial" w:eastAsia="Arial" w:hAnsi="Arial"/>
          <w:sz w:val="15"/>
          <w:szCs w:val="15"/>
          <w:i w:val="1"/>
          <w:iCs w:val="1"/>
          <w:u w:val="single" w:color="auto"/>
          <w:color w:val="0000FF"/>
        </w:rPr>
        <w:t>du pair comptable</w:t>
      </w:r>
      <w:r>
        <w:rPr>
          <w:rFonts w:ascii="Arial" w:cs="Arial" w:eastAsia="Arial" w:hAnsi="Arial"/>
          <w:sz w:val="15"/>
          <w:szCs w:val="15"/>
          <w:i w:val="1"/>
          <w:iCs w:val="1"/>
          <w:color w:val="000000"/>
        </w:rPr>
        <w:t xml:space="preserve"> des </w:t>
      </w:r>
      <w:r>
        <w:rPr>
          <w:rFonts w:ascii="Arial" w:cs="Arial" w:eastAsia="Arial" w:hAnsi="Arial"/>
          <w:sz w:val="15"/>
          <w:szCs w:val="15"/>
          <w:color w:val="FF0000"/>
          <w:strike w:val="1"/>
        </w:rPr>
        <w:t>Actions</w:t>
      </w:r>
      <w:r>
        <w:rPr>
          <w:rFonts w:ascii="Arial" w:cs="Arial" w:eastAsia="Arial" w:hAnsi="Arial"/>
          <w:sz w:val="15"/>
          <w:szCs w:val="15"/>
          <w:i w:val="1"/>
          <w:iCs w:val="1"/>
          <w:u w:val="single" w:color="auto"/>
          <w:color w:val="0000FF"/>
        </w:rPr>
        <w:t>actions</w:t>
      </w:r>
      <w:r>
        <w:rPr>
          <w:rFonts w:ascii="Arial" w:cs="Arial" w:eastAsia="Arial" w:hAnsi="Arial"/>
          <w:sz w:val="15"/>
          <w:szCs w:val="15"/>
          <w:i w:val="1"/>
          <w:iCs w:val="1"/>
          <w:color w:val="000000"/>
        </w:rPr>
        <w:t xml:space="preserve"> existantes </w:t>
      </w:r>
      <w:r>
        <w:rPr>
          <w:rFonts w:ascii="Arial" w:cs="Arial" w:eastAsia="Arial" w:hAnsi="Arial"/>
          <w:sz w:val="15"/>
          <w:szCs w:val="15"/>
          <w:color w:val="FF0000"/>
          <w:strike w:val="1"/>
        </w:rPr>
        <w:t>;</w:t>
      </w:r>
      <w:r>
        <w:rPr>
          <w:rFonts w:ascii="Arial" w:cs="Arial" w:eastAsia="Arial" w:hAnsi="Arial"/>
          <w:sz w:val="15"/>
          <w:szCs w:val="15"/>
          <w:i w:val="1"/>
          <w:iCs w:val="1"/>
          <w:color w:val="000000"/>
        </w:rPr>
        <w:t xml:space="preserve"> ou de toute autre manière </w:t>
      </w:r>
      <w:r>
        <w:rPr>
          <w:rFonts w:ascii="Arial" w:cs="Arial" w:eastAsia="Arial" w:hAnsi="Arial"/>
          <w:sz w:val="15"/>
          <w:szCs w:val="15"/>
          <w:color w:val="FF0000"/>
          <w:strike w:val="1"/>
        </w:rPr>
        <w:t>décidée</w:t>
      </w:r>
      <w:r>
        <w:rPr>
          <w:rFonts w:ascii="Arial" w:cs="Arial" w:eastAsia="Arial" w:hAnsi="Arial"/>
          <w:sz w:val="15"/>
          <w:szCs w:val="15"/>
          <w:i w:val="1"/>
          <w:iCs w:val="1"/>
          <w:u w:val="single" w:color="auto"/>
          <w:color w:val="0000FF"/>
        </w:rPr>
        <w:t>à décider</w:t>
      </w:r>
      <w:r>
        <w:rPr>
          <w:rFonts w:ascii="Arial" w:cs="Arial" w:eastAsia="Arial" w:hAnsi="Arial"/>
          <w:sz w:val="15"/>
          <w:szCs w:val="15"/>
          <w:i w:val="1"/>
          <w:iCs w:val="1"/>
          <w:color w:val="000000"/>
        </w:rPr>
        <w:t xml:space="preserve"> par le Conseil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2154555</wp:posOffset>
            </wp:positionH>
            <wp:positionV relativeFrom="paragraph">
              <wp:posOffset>-720090</wp:posOffset>
            </wp:positionV>
            <wp:extent cx="132715"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2715" cy="6985"/>
                    </a:xfrm>
                    <a:prstGeom prst="rect">
                      <a:avLst/>
                    </a:prstGeom>
                    <a:noFill/>
                  </pic:spPr>
                </pic:pic>
              </a:graphicData>
            </a:graphic>
          </wp:anchor>
        </w:drawing>
        <w:drawing>
          <wp:anchor simplePos="0" relativeHeight="251657728" behindDoc="1" locked="0" layoutInCell="0" allowOverlap="1">
            <wp:simplePos x="0" y="0"/>
            <wp:positionH relativeFrom="column">
              <wp:posOffset>2305050</wp:posOffset>
            </wp:positionH>
            <wp:positionV relativeFrom="paragraph">
              <wp:posOffset>-303530</wp:posOffset>
            </wp:positionV>
            <wp:extent cx="53340"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-303530</wp:posOffset>
            </wp:positionV>
            <wp:extent cx="53340"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3340" cy="6985"/>
                    </a:xfrm>
                    <a:prstGeom prst="rect">
                      <a:avLst/>
                    </a:prstGeom>
                    <a:noFill/>
                  </pic:spPr>
                </pic:pic>
              </a:graphicData>
            </a:graphic>
          </wp:anchor>
        </w:drawing>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4" w:name="page75"/>
    <w:bookmarkEnd w:id="74"/>
    <w:p>
      <w:pPr>
        <w:ind w:left="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20" w:right="1199"/>
        <w:spacing w:after="0" w:line="262" w:lineRule="auto"/>
        <w:rPr>
          <w:sz w:val="20"/>
          <w:szCs w:val="20"/>
          <w:color w:val="auto"/>
        </w:rPr>
      </w:pPr>
      <w:r>
        <w:rPr>
          <w:rFonts w:ascii="Arial" w:cs="Arial" w:eastAsia="Arial" w:hAnsi="Arial"/>
          <w:sz w:val="15"/>
          <w:szCs w:val="15"/>
          <w:color w:val="FF0000"/>
          <w:strike w:val="1"/>
        </w:rPr>
        <w:t>d’administration</w:t>
      </w:r>
      <w:r>
        <w:rPr>
          <w:rFonts w:ascii="Arial" w:cs="Arial" w:eastAsia="Arial" w:hAnsi="Arial"/>
          <w:sz w:val="15"/>
          <w:szCs w:val="15"/>
          <w:i w:val="1"/>
          <w:iCs w:val="1"/>
          <w:u w:val="single" w:color="auto"/>
          <w:color w:val="0000FF"/>
        </w:rPr>
        <w:t>d’Administration</w:t>
      </w:r>
      <w:r>
        <w:rPr>
          <w:rFonts w:ascii="Arial" w:cs="Arial" w:eastAsia="Arial" w:hAnsi="Arial"/>
          <w:sz w:val="15"/>
          <w:szCs w:val="15"/>
          <w:color w:val="FF0000"/>
        </w:rPr>
        <w:t xml:space="preserve"> </w:t>
      </w:r>
      <w:r>
        <w:rPr>
          <w:rFonts w:ascii="Arial" w:cs="Arial" w:eastAsia="Arial" w:hAnsi="Arial"/>
          <w:sz w:val="15"/>
          <w:szCs w:val="15"/>
          <w:i w:val="1"/>
          <w:iCs w:val="1"/>
          <w:color w:val="000000"/>
        </w:rPr>
        <w:t>jusqu’à</w:t>
      </w:r>
      <w:r>
        <w:rPr>
          <w:rFonts w:ascii="Arial" w:cs="Arial" w:eastAsia="Arial" w:hAnsi="Arial"/>
          <w:sz w:val="15"/>
          <w:szCs w:val="15"/>
          <w:color w:val="FF0000"/>
        </w:rPr>
        <w:t xml:space="preserve"> </w:t>
      </w:r>
      <w:r>
        <w:rPr>
          <w:rFonts w:ascii="Arial" w:cs="Arial" w:eastAsia="Arial" w:hAnsi="Arial"/>
          <w:sz w:val="15"/>
          <w:szCs w:val="15"/>
          <w:color w:val="FF0000"/>
          <w:strike w:val="1"/>
        </w:rPr>
        <w:t>un montant</w:t>
      </w:r>
      <w:r>
        <w:rPr>
          <w:rFonts w:ascii="Arial" w:cs="Arial" w:eastAsia="Arial" w:hAnsi="Arial"/>
          <w:sz w:val="15"/>
          <w:szCs w:val="15"/>
          <w:i w:val="1"/>
          <w:iCs w:val="1"/>
          <w:u w:val="single" w:color="auto"/>
          <w:color w:val="0000FF"/>
        </w:rPr>
        <w:t>concurrence</w:t>
      </w:r>
      <w:r>
        <w:rPr>
          <w:rFonts w:ascii="Arial" w:cs="Arial" w:eastAsia="Arial" w:hAnsi="Arial"/>
          <w:sz w:val="15"/>
          <w:szCs w:val="15"/>
          <w:color w:val="FF0000"/>
        </w:rPr>
        <w:t xml:space="preserve"> </w:t>
      </w:r>
      <w:r>
        <w:rPr>
          <w:rFonts w:ascii="Arial" w:cs="Arial" w:eastAsia="Arial" w:hAnsi="Arial"/>
          <w:sz w:val="15"/>
          <w:szCs w:val="15"/>
          <w:i w:val="1"/>
          <w:iCs w:val="1"/>
          <w:color w:val="000000"/>
        </w:rPr>
        <w:t>de un million neuf cent dix-huit mille trois cent vingt-neuf dollars américains et quatre-vingt-deux centimes (1.918.329,82 USD).</w:t>
      </w:r>
    </w:p>
    <w:p>
      <w:pPr>
        <w:spacing w:after="0" w:line="46" w:lineRule="exact"/>
        <w:rPr>
          <w:sz w:val="20"/>
          <w:szCs w:val="20"/>
          <w:color w:val="auto"/>
        </w:rPr>
      </w:pPr>
    </w:p>
    <w:p>
      <w:pPr>
        <w:ind w:left="1520" w:right="1519" w:hanging="153"/>
        <w:spacing w:after="0" w:line="263" w:lineRule="auto"/>
        <w:tabs>
          <w:tab w:leader="none" w:pos="1520" w:val="left"/>
        </w:tabs>
        <w:numPr>
          <w:ilvl w:val="0"/>
          <w:numId w:val="63"/>
        </w:numPr>
        <w:rPr>
          <w:rFonts w:ascii="Arial" w:cs="Arial" w:eastAsia="Arial" w:hAnsi="Arial"/>
          <w:sz w:val="15"/>
          <w:szCs w:val="15"/>
          <w:color w:val="auto"/>
        </w:rPr>
      </w:pPr>
      <w:r>
        <w:rPr>
          <w:rFonts w:ascii="Arial" w:cs="Arial" w:eastAsia="Arial" w:hAnsi="Arial"/>
          <w:sz w:val="15"/>
          <w:szCs w:val="15"/>
          <w:i w:val="1"/>
          <w:iCs w:val="1"/>
          <w:color w:val="FF0000"/>
          <w:strike w:val="1"/>
        </w:rPr>
        <w:t>émettre des bons de souscription, des options</w:t>
      </w:r>
      <w:r>
        <w:rPr>
          <w:rFonts w:ascii="Arial" w:cs="Arial" w:eastAsia="Arial" w:hAnsi="Arial"/>
          <w:sz w:val="15"/>
          <w:szCs w:val="15"/>
          <w:i w:val="1"/>
          <w:iCs w:val="1"/>
          <w:color w:val="000000"/>
        </w:rPr>
        <w:t>Emettre tout warrant, option ou</w:t>
      </w:r>
      <w:r>
        <w:rPr>
          <w:rFonts w:ascii="Arial" w:cs="Arial" w:eastAsia="Arial" w:hAnsi="Arial"/>
          <w:sz w:val="15"/>
          <w:szCs w:val="15"/>
          <w:i w:val="1"/>
          <w:iCs w:val="1"/>
          <w:color w:val="FF0000"/>
        </w:rPr>
        <w:t xml:space="preserve"> </w:t>
      </w:r>
      <w:r>
        <w:rPr>
          <w:rFonts w:ascii="Arial" w:cs="Arial" w:eastAsia="Arial" w:hAnsi="Arial"/>
          <w:sz w:val="15"/>
          <w:szCs w:val="15"/>
          <w:color w:val="FF0000"/>
          <w:strike w:val="1"/>
        </w:rPr>
        <w:t>d’autres</w:t>
      </w:r>
      <w:r>
        <w:rPr>
          <w:rFonts w:ascii="Arial" w:cs="Arial" w:eastAsia="Arial" w:hAnsi="Arial"/>
          <w:sz w:val="15"/>
          <w:szCs w:val="15"/>
          <w:i w:val="1"/>
          <w:iCs w:val="1"/>
          <w:color w:val="FF0000"/>
        </w:rPr>
        <w:t xml:space="preserve"> </w:t>
      </w:r>
      <w:r>
        <w:rPr>
          <w:rFonts w:ascii="Arial" w:cs="Arial" w:eastAsia="Arial" w:hAnsi="Arial"/>
          <w:sz w:val="15"/>
          <w:szCs w:val="15"/>
          <w:color w:val="FF0000"/>
          <w:strike w:val="1"/>
        </w:rPr>
        <w:t>instruments similaires donnant droit à des</w:t>
      </w:r>
      <w:r>
        <w:rPr>
          <w:rFonts w:ascii="Arial" w:cs="Arial" w:eastAsia="Arial" w:hAnsi="Arial"/>
          <w:sz w:val="15"/>
          <w:szCs w:val="15"/>
          <w:i w:val="1"/>
          <w:iCs w:val="1"/>
          <w:u w:val="single" w:color="auto"/>
          <w:color w:val="0000FF"/>
          <w:strike w:val="1"/>
        </w:rPr>
        <w:t>tout autre instrument similaire exerçable en</w:t>
      </w:r>
      <w:r>
        <w:rPr>
          <w:rFonts w:ascii="Arial" w:cs="Arial" w:eastAsia="Arial" w:hAnsi="Arial"/>
          <w:sz w:val="15"/>
          <w:szCs w:val="15"/>
          <w:color w:val="FF0000"/>
          <w:strike w:val="1"/>
        </w:rPr>
        <w:t xml:space="preserve"> </w:t>
      </w:r>
      <w:r>
        <w:rPr>
          <w:rFonts w:ascii="Arial" w:cs="Arial" w:eastAsia="Arial" w:hAnsi="Arial"/>
          <w:sz w:val="15"/>
          <w:szCs w:val="15"/>
          <w:i w:val="1"/>
          <w:iCs w:val="1"/>
          <w:color w:val="000000"/>
          <w:strike w:val="1"/>
        </w:rPr>
        <w:t xml:space="preserve">actions, </w:t>
      </w:r>
      <w:r>
        <w:rPr>
          <w:rFonts w:ascii="Arial" w:cs="Arial" w:eastAsia="Arial" w:hAnsi="Arial"/>
          <w:sz w:val="15"/>
          <w:szCs w:val="15"/>
          <w:color w:val="FF0000"/>
          <w:strike w:val="1"/>
        </w:rPr>
        <w:t>des</w:t>
      </w:r>
      <w:r>
        <w:rPr>
          <w:rFonts w:ascii="Arial" w:cs="Arial" w:eastAsia="Arial" w:hAnsi="Arial"/>
          <w:sz w:val="15"/>
          <w:szCs w:val="15"/>
          <w:i w:val="1"/>
          <w:iCs w:val="1"/>
          <w:color w:val="000000"/>
          <w:strike w:val="1"/>
        </w:rPr>
        <w:t xml:space="preserve"> droits de souscription </w:t>
      </w:r>
      <w:r>
        <w:rPr>
          <w:rFonts w:ascii="Arial" w:cs="Arial" w:eastAsia="Arial" w:hAnsi="Arial"/>
          <w:sz w:val="15"/>
          <w:szCs w:val="15"/>
          <w:color w:val="FF0000"/>
          <w:strike w:val="1"/>
        </w:rPr>
        <w:t>d’actions</w:t>
      </w:r>
      <w:r>
        <w:rPr>
          <w:rFonts w:ascii="Arial" w:cs="Arial" w:eastAsia="Arial" w:hAnsi="Arial"/>
          <w:sz w:val="15"/>
          <w:szCs w:val="15"/>
          <w:i w:val="1"/>
          <w:iCs w:val="1"/>
          <w:u w:val="single" w:color="auto"/>
          <w:color w:val="0000FF"/>
          <w:strike w:val="1"/>
        </w:rPr>
        <w:t>à des actions</w:t>
      </w:r>
      <w:r>
        <w:rPr>
          <w:rFonts w:ascii="Arial" w:cs="Arial" w:eastAsia="Arial" w:hAnsi="Arial"/>
          <w:sz w:val="15"/>
          <w:szCs w:val="15"/>
          <w:i w:val="1"/>
          <w:iCs w:val="1"/>
          <w:color w:val="000000"/>
          <w:strike w:val="1"/>
        </w:rPr>
        <w:t xml:space="preserve"> et </w:t>
      </w:r>
      <w:r>
        <w:rPr>
          <w:rFonts w:ascii="Arial" w:cs="Arial" w:eastAsia="Arial" w:hAnsi="Arial"/>
          <w:sz w:val="15"/>
          <w:szCs w:val="15"/>
          <w:color w:val="FF0000"/>
          <w:strike w:val="1"/>
        </w:rPr>
        <w:t>fixer</w:t>
      </w:r>
      <w:r>
        <w:rPr>
          <w:rFonts w:ascii="Arial" w:cs="Arial" w:eastAsia="Arial" w:hAnsi="Arial"/>
          <w:sz w:val="15"/>
          <w:szCs w:val="15"/>
          <w:i w:val="1"/>
          <w:iCs w:val="1"/>
          <w:u w:val="single" w:color="auto"/>
          <w:color w:val="0000FF"/>
          <w:strike w:val="1"/>
        </w:rPr>
        <w:t>définir</w:t>
      </w:r>
      <w:r>
        <w:rPr>
          <w:rFonts w:ascii="Arial" w:cs="Arial" w:eastAsia="Arial" w:hAnsi="Arial"/>
          <w:sz w:val="15"/>
          <w:szCs w:val="15"/>
          <w:i w:val="1"/>
          <w:iCs w:val="1"/>
          <w:color w:val="000000"/>
          <w:strike w:val="1"/>
        </w:rPr>
        <w:t xml:space="preserve"> les </w:t>
      </w:r>
      <w:r>
        <w:rPr>
          <w:rFonts w:ascii="Arial" w:cs="Arial" w:eastAsia="Arial" w:hAnsi="Arial"/>
          <w:sz w:val="15"/>
          <w:szCs w:val="15"/>
          <w:i w:val="1"/>
          <w:iCs w:val="1"/>
          <w:u w:val="single" w:color="auto"/>
          <w:color w:val="0000FF"/>
          <w:strike w:val="1"/>
        </w:rPr>
        <w:t>termes et</w:t>
      </w:r>
      <w:r>
        <w:rPr>
          <w:rFonts w:ascii="Arial" w:cs="Arial" w:eastAsia="Arial" w:hAnsi="Arial"/>
          <w:sz w:val="15"/>
          <w:szCs w:val="15"/>
          <w:i w:val="1"/>
          <w:iCs w:val="1"/>
          <w:color w:val="000000"/>
          <w:strike w:val="1"/>
        </w:rPr>
        <w:t xml:space="preserve"> conditions de ces instruments.</w:t>
      </w:r>
    </w:p>
    <w:p>
      <w:pPr>
        <w:spacing w:after="0" w:line="58" w:lineRule="exact"/>
        <w:rPr>
          <w:rFonts w:ascii="Arial" w:cs="Arial" w:eastAsia="Arial" w:hAnsi="Arial"/>
          <w:sz w:val="15"/>
          <w:szCs w:val="15"/>
          <w:color w:val="auto"/>
        </w:rPr>
      </w:pPr>
    </w:p>
    <w:p>
      <w:pPr>
        <w:ind w:left="1520" w:right="1099" w:hanging="153"/>
        <w:spacing w:after="0" w:line="255" w:lineRule="auto"/>
        <w:tabs>
          <w:tab w:leader="none" w:pos="1520" w:val="left"/>
        </w:tabs>
        <w:numPr>
          <w:ilvl w:val="0"/>
          <w:numId w:val="63"/>
        </w:numPr>
        <w:rPr>
          <w:rFonts w:ascii="Arial" w:cs="Arial" w:eastAsia="Arial" w:hAnsi="Arial"/>
          <w:sz w:val="15"/>
          <w:szCs w:val="15"/>
          <w:color w:val="auto"/>
        </w:rPr>
      </w:pPr>
      <w:r>
        <w:rPr>
          <w:rFonts w:ascii="Arial" w:cs="Arial" w:eastAsia="Arial" w:hAnsi="Arial"/>
          <w:sz w:val="15"/>
          <w:szCs w:val="15"/>
          <w:i w:val="1"/>
          <w:iCs w:val="1"/>
          <w:color w:val="auto"/>
        </w:rPr>
        <w:t xml:space="preserve">déterminer les </w:t>
      </w:r>
      <w:r>
        <w:rPr>
          <w:rFonts w:ascii="Arial" w:cs="Arial" w:eastAsia="Arial" w:hAnsi="Arial"/>
          <w:sz w:val="15"/>
          <w:szCs w:val="15"/>
          <w:color w:val="FF0000"/>
          <w:strike w:val="1"/>
        </w:rPr>
        <w:t>termes</w:t>
      </w:r>
      <w:r>
        <w:rPr>
          <w:rFonts w:ascii="Arial" w:cs="Arial" w:eastAsia="Arial" w:hAnsi="Arial"/>
          <w:sz w:val="15"/>
          <w:szCs w:val="15"/>
          <w:i w:val="1"/>
          <w:iCs w:val="1"/>
          <w:u w:val="single" w:color="auto"/>
          <w:color w:val="0000FF"/>
        </w:rPr>
        <w:t>modalités</w:t>
      </w:r>
      <w:r>
        <w:rPr>
          <w:rFonts w:ascii="Arial" w:cs="Arial" w:eastAsia="Arial" w:hAnsi="Arial"/>
          <w:sz w:val="15"/>
          <w:szCs w:val="15"/>
          <w:i w:val="1"/>
          <w:iCs w:val="1"/>
          <w:color w:val="auto"/>
        </w:rPr>
        <w:t xml:space="preserve"> et </w:t>
      </w:r>
      <w:r>
        <w:rPr>
          <w:rFonts w:ascii="Arial" w:cs="Arial" w:eastAsia="Arial" w:hAnsi="Arial"/>
          <w:sz w:val="15"/>
          <w:szCs w:val="15"/>
          <w:i w:val="1"/>
          <w:iCs w:val="1"/>
          <w:u w:val="single" w:color="auto"/>
          <w:color w:val="0000FF"/>
        </w:rPr>
        <w:t>les</w:t>
      </w:r>
      <w:r>
        <w:rPr>
          <w:rFonts w:ascii="Arial" w:cs="Arial" w:eastAsia="Arial" w:hAnsi="Arial"/>
          <w:sz w:val="15"/>
          <w:szCs w:val="15"/>
          <w:i w:val="1"/>
          <w:iCs w:val="1"/>
          <w:color w:val="auto"/>
        </w:rPr>
        <w:t xml:space="preserve"> conditions </w:t>
      </w:r>
      <w:r>
        <w:rPr>
          <w:rFonts w:ascii="Arial" w:cs="Arial" w:eastAsia="Arial" w:hAnsi="Arial"/>
          <w:sz w:val="15"/>
          <w:szCs w:val="15"/>
          <w:color w:val="FF0000"/>
          <w:strike w:val="1"/>
        </w:rPr>
        <w:t>de toute</w:t>
      </w:r>
      <w:r>
        <w:rPr>
          <w:rFonts w:ascii="Arial" w:cs="Arial" w:eastAsia="Arial" w:hAnsi="Arial"/>
          <w:sz w:val="15"/>
          <w:szCs w:val="15"/>
          <w:i w:val="1"/>
          <w:iCs w:val="1"/>
          <w:u w:val="single" w:color="auto"/>
          <w:color w:val="0000FF"/>
        </w:rPr>
        <w:t>d’une</w:t>
      </w:r>
      <w:r>
        <w:rPr>
          <w:rFonts w:ascii="Arial" w:cs="Arial" w:eastAsia="Arial" w:hAnsi="Arial"/>
          <w:sz w:val="15"/>
          <w:szCs w:val="15"/>
          <w:i w:val="1"/>
          <w:iCs w:val="1"/>
          <w:color w:val="auto"/>
        </w:rPr>
        <w:t xml:space="preserve"> augmentation du capital social émis, </w:t>
      </w:r>
      <w:r>
        <w:rPr>
          <w:rFonts w:ascii="Arial" w:cs="Arial" w:eastAsia="Arial" w:hAnsi="Arial"/>
          <w:sz w:val="15"/>
          <w:szCs w:val="15"/>
          <w:color w:val="FF0000"/>
          <w:strike w:val="1"/>
        </w:rPr>
        <w:t>y compris</w:t>
      </w:r>
      <w:r>
        <w:rPr>
          <w:rFonts w:ascii="Arial" w:cs="Arial" w:eastAsia="Arial" w:hAnsi="Arial"/>
          <w:sz w:val="15"/>
          <w:szCs w:val="15"/>
          <w:i w:val="1"/>
          <w:iCs w:val="1"/>
          <w:u w:val="single" w:color="auto"/>
          <w:color w:val="0000FF"/>
        </w:rPr>
        <w:t>incluant</w:t>
      </w:r>
      <w:r>
        <w:rPr>
          <w:rFonts w:ascii="Arial" w:cs="Arial" w:eastAsia="Arial" w:hAnsi="Arial"/>
          <w:sz w:val="15"/>
          <w:szCs w:val="15"/>
          <w:i w:val="1"/>
          <w:iCs w:val="1"/>
          <w:color w:val="auto"/>
        </w:rPr>
        <w:t xml:space="preserve">, mais </w:t>
      </w:r>
      <w:r>
        <w:rPr>
          <w:rFonts w:ascii="Arial" w:cs="Arial" w:eastAsia="Arial" w:hAnsi="Arial"/>
          <w:sz w:val="15"/>
          <w:szCs w:val="15"/>
          <w:color w:val="FF0000"/>
          <w:strike w:val="1"/>
        </w:rPr>
        <w:t>sans s’y limiter</w:t>
      </w:r>
      <w:r>
        <w:rPr>
          <w:rFonts w:ascii="Arial" w:cs="Arial" w:eastAsia="Arial" w:hAnsi="Arial"/>
          <w:sz w:val="15"/>
          <w:szCs w:val="15"/>
          <w:i w:val="1"/>
          <w:iCs w:val="1"/>
          <w:u w:val="single" w:color="auto"/>
          <w:color w:val="0000FF"/>
        </w:rPr>
        <w:t>pas uniquement</w:t>
      </w:r>
      <w:r>
        <w:rPr>
          <w:rFonts w:ascii="Arial" w:cs="Arial" w:eastAsia="Arial" w:hAnsi="Arial"/>
          <w:sz w:val="15"/>
          <w:szCs w:val="15"/>
          <w:i w:val="1"/>
          <w:iCs w:val="1"/>
          <w:color w:val="auto"/>
        </w:rPr>
        <w:t xml:space="preserve">, le lieu et la date de l’émission ou des émissions successives, le prix d’émission, le </w:t>
      </w:r>
      <w:r>
        <w:rPr>
          <w:rFonts w:ascii="Arial" w:cs="Arial" w:eastAsia="Arial" w:hAnsi="Arial"/>
          <w:sz w:val="15"/>
          <w:szCs w:val="15"/>
          <w:color w:val="FF0000"/>
          <w:strike w:val="1"/>
        </w:rPr>
        <w:t>montant des</w:t>
      </w:r>
      <w:r>
        <w:rPr>
          <w:rFonts w:ascii="Arial" w:cs="Arial" w:eastAsia="Arial" w:hAnsi="Arial"/>
          <w:sz w:val="15"/>
          <w:szCs w:val="15"/>
          <w:i w:val="1"/>
          <w:iCs w:val="1"/>
          <w:u w:val="single" w:color="auto"/>
          <w:color w:val="0000FF"/>
        </w:rPr>
        <w:t>nombre d’Actions</w:t>
      </w:r>
      <w:r>
        <w:rPr>
          <w:rFonts w:ascii="Arial" w:cs="Arial" w:eastAsia="Arial" w:hAnsi="Arial"/>
          <w:sz w:val="15"/>
          <w:szCs w:val="15"/>
          <w:i w:val="1"/>
          <w:iCs w:val="1"/>
          <w:color w:val="auto"/>
        </w:rPr>
        <w:t xml:space="preserve"> nouvelles </w:t>
      </w:r>
      <w:r>
        <w:rPr>
          <w:rFonts w:ascii="Arial" w:cs="Arial" w:eastAsia="Arial" w:hAnsi="Arial"/>
          <w:sz w:val="15"/>
          <w:szCs w:val="15"/>
          <w:color w:val="FF0000"/>
          <w:strike w:val="1"/>
        </w:rPr>
        <w:t>Actions</w:t>
      </w:r>
      <w:r>
        <w:rPr>
          <w:rFonts w:ascii="Arial" w:cs="Arial" w:eastAsia="Arial" w:hAnsi="Arial"/>
          <w:sz w:val="15"/>
          <w:szCs w:val="15"/>
          <w:color w:val="FF0000"/>
        </w:rPr>
        <w:t xml:space="preserve"> </w:t>
      </w:r>
      <w:r>
        <w:rPr>
          <w:rFonts w:ascii="Arial" w:cs="Arial" w:eastAsia="Arial" w:hAnsi="Arial"/>
          <w:sz w:val="15"/>
          <w:szCs w:val="15"/>
          <w:i w:val="1"/>
          <w:iCs w:val="1"/>
          <w:color w:val="000000"/>
        </w:rPr>
        <w:t>à émettre,</w:t>
      </w:r>
      <w:r>
        <w:rPr>
          <w:rFonts w:ascii="Arial" w:cs="Arial" w:eastAsia="Arial" w:hAnsi="Arial"/>
          <w:sz w:val="15"/>
          <w:szCs w:val="15"/>
          <w:color w:val="FF0000"/>
        </w:rPr>
        <w:t xml:space="preserve"> </w:t>
      </w:r>
      <w:r>
        <w:rPr>
          <w:rFonts w:ascii="Arial" w:cs="Arial" w:eastAsia="Arial" w:hAnsi="Arial"/>
          <w:sz w:val="15"/>
          <w:szCs w:val="15"/>
          <w:color w:val="FF0000"/>
          <w:strike w:val="1"/>
        </w:rPr>
        <w:t>si</w:t>
      </w:r>
      <w:r>
        <w:rPr>
          <w:rFonts w:ascii="Arial" w:cs="Arial" w:eastAsia="Arial" w:hAnsi="Arial"/>
          <w:sz w:val="15"/>
          <w:szCs w:val="15"/>
          <w:i w:val="1"/>
          <w:iCs w:val="1"/>
          <w:u w:val="single" w:color="auto"/>
          <w:color w:val="0000FF"/>
        </w:rPr>
        <w:t>que</w:t>
      </w:r>
      <w:r>
        <w:rPr>
          <w:rFonts w:ascii="Arial" w:cs="Arial" w:eastAsia="Arial" w:hAnsi="Arial"/>
          <w:sz w:val="15"/>
          <w:szCs w:val="15"/>
          <w:color w:val="FF0000"/>
        </w:rPr>
        <w:t xml:space="preserve"> </w:t>
      </w:r>
      <w:r>
        <w:rPr>
          <w:rFonts w:ascii="Arial" w:cs="Arial" w:eastAsia="Arial" w:hAnsi="Arial"/>
          <w:sz w:val="15"/>
          <w:szCs w:val="15"/>
          <w:i w:val="1"/>
          <w:iCs w:val="1"/>
          <w:color w:val="000000"/>
        </w:rPr>
        <w:t>les nouvelles Actions</w:t>
      </w:r>
      <w:r>
        <w:rPr>
          <w:rFonts w:ascii="Arial" w:cs="Arial" w:eastAsia="Arial" w:hAnsi="Arial"/>
          <w:sz w:val="15"/>
          <w:szCs w:val="15"/>
          <w:color w:val="FF0000"/>
        </w:rPr>
        <w:t xml:space="preserve"> </w:t>
      </w:r>
      <w:r>
        <w:rPr>
          <w:rFonts w:ascii="Arial" w:cs="Arial" w:eastAsia="Arial" w:hAnsi="Arial"/>
          <w:sz w:val="15"/>
          <w:szCs w:val="15"/>
          <w:color w:val="FF0000"/>
          <w:strike w:val="1"/>
        </w:rPr>
        <w:t>doivent être émises et souscrites</w:t>
      </w:r>
      <w:r>
        <w:rPr>
          <w:rFonts w:ascii="Arial" w:cs="Arial" w:eastAsia="Arial" w:hAnsi="Arial"/>
          <w:sz w:val="15"/>
          <w:szCs w:val="15"/>
          <w:i w:val="1"/>
          <w:iCs w:val="1"/>
          <w:u w:val="single" w:color="auto"/>
          <w:color w:val="0000FF"/>
        </w:rPr>
        <w:t>soient à</w:t>
      </w:r>
      <w:r>
        <w:rPr>
          <w:rFonts w:ascii="Arial" w:cs="Arial" w:eastAsia="Arial" w:hAnsi="Arial"/>
          <w:sz w:val="15"/>
          <w:szCs w:val="15"/>
          <w:color w:val="FF0000"/>
        </w:rPr>
        <w:t xml:space="preserve"> </w:t>
      </w:r>
      <w:r>
        <w:rPr>
          <w:rFonts w:ascii="Arial" w:cs="Arial" w:eastAsia="Arial" w:hAnsi="Arial"/>
          <w:sz w:val="15"/>
          <w:szCs w:val="15"/>
          <w:i w:val="1"/>
          <w:iCs w:val="1"/>
          <w:u w:val="single" w:color="auto"/>
          <w:color w:val="0000FF"/>
        </w:rPr>
        <w:t>émettre ou souscrire</w:t>
      </w:r>
      <w:r>
        <w:rPr>
          <w:rFonts w:ascii="Arial" w:cs="Arial" w:eastAsia="Arial" w:hAnsi="Arial"/>
          <w:sz w:val="15"/>
          <w:szCs w:val="15"/>
          <w:i w:val="1"/>
          <w:iCs w:val="1"/>
          <w:color w:val="000000"/>
        </w:rPr>
        <w:t>, avec ou sans prime d’émission et les</w:t>
      </w:r>
      <w:r>
        <w:rPr>
          <w:rFonts w:ascii="Arial" w:cs="Arial" w:eastAsia="Arial" w:hAnsi="Arial"/>
          <w:sz w:val="15"/>
          <w:szCs w:val="15"/>
          <w:i w:val="1"/>
          <w:iCs w:val="1"/>
          <w:color w:val="0000FF"/>
        </w:rPr>
        <w:t xml:space="preserve"> </w:t>
      </w:r>
      <w:r>
        <w:rPr>
          <w:rFonts w:ascii="Arial" w:cs="Arial" w:eastAsia="Arial" w:hAnsi="Arial"/>
          <w:sz w:val="15"/>
          <w:szCs w:val="15"/>
          <w:i w:val="1"/>
          <w:iCs w:val="1"/>
          <w:u w:val="single" w:color="auto"/>
          <w:color w:val="0000FF"/>
        </w:rPr>
        <w:t>conditions et</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modalités de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 xml:space="preserve">souscription et de libération des Actions nouvelles (en </w:t>
      </w:r>
      <w:r>
        <w:rPr>
          <w:rFonts w:ascii="Arial" w:cs="Arial" w:eastAsia="Arial" w:hAnsi="Arial"/>
          <w:sz w:val="15"/>
          <w:szCs w:val="15"/>
          <w:color w:val="FF0000"/>
          <w:strike w:val="1"/>
        </w:rPr>
        <w:t>espèces</w:t>
      </w:r>
      <w:r>
        <w:rPr>
          <w:rFonts w:ascii="Arial" w:cs="Arial" w:eastAsia="Arial" w:hAnsi="Arial"/>
          <w:sz w:val="15"/>
          <w:szCs w:val="15"/>
          <w:i w:val="1"/>
          <w:iCs w:val="1"/>
          <w:u w:val="single" w:color="auto"/>
          <w:color w:val="0000FF"/>
        </w:rPr>
        <w:t>espèce</w:t>
      </w:r>
      <w:r>
        <w:rPr>
          <w:rFonts w:ascii="Arial" w:cs="Arial" w:eastAsia="Arial" w:hAnsi="Arial"/>
          <w:sz w:val="15"/>
          <w:szCs w:val="15"/>
          <w:i w:val="1"/>
          <w:iCs w:val="1"/>
          <w:color w:val="000000"/>
        </w:rPr>
        <w:t xml:space="preserve"> ou en nature ou par incorporation de réserves disponibles </w:t>
      </w:r>
      <w:r>
        <w:rPr>
          <w:rFonts w:ascii="Arial" w:cs="Arial" w:eastAsia="Arial" w:hAnsi="Arial"/>
          <w:sz w:val="15"/>
          <w:szCs w:val="15"/>
          <w:color w:val="FF0000"/>
          <w:strike w:val="1"/>
        </w:rPr>
        <w:t>ou de fonds disponibles</w:t>
      </w:r>
      <w:r>
        <w:rPr>
          <w:rFonts w:ascii="Arial" w:cs="Arial" w:eastAsia="Arial" w:hAnsi="Arial"/>
          <w:sz w:val="15"/>
          <w:szCs w:val="15"/>
          <w:i w:val="1"/>
          <w:iCs w:val="1"/>
          <w:color w:val="000000"/>
        </w:rPr>
        <w:t xml:space="preserve"> sur le compte </w:t>
      </w:r>
      <w:r>
        <w:rPr>
          <w:rFonts w:ascii="Arial" w:cs="Arial" w:eastAsia="Arial" w:hAnsi="Arial"/>
          <w:sz w:val="15"/>
          <w:szCs w:val="15"/>
          <w:i w:val="1"/>
          <w:iCs w:val="1"/>
          <w:u w:val="single" w:color="auto"/>
          <w:color w:val="0000FF"/>
        </w:rPr>
        <w:t>d’apport en</w:t>
      </w:r>
      <w:r>
        <w:rPr>
          <w:rFonts w:ascii="Arial" w:cs="Arial" w:eastAsia="Arial" w:hAnsi="Arial"/>
          <w:sz w:val="15"/>
          <w:szCs w:val="15"/>
          <w:i w:val="1"/>
          <w:iCs w:val="1"/>
          <w:color w:val="000000"/>
        </w:rPr>
        <w:t xml:space="preserve"> </w:t>
      </w:r>
      <w:r>
        <w:rPr>
          <w:rFonts w:ascii="Arial" w:cs="Arial" w:eastAsia="Arial" w:hAnsi="Arial"/>
          <w:sz w:val="15"/>
          <w:szCs w:val="15"/>
          <w:i w:val="1"/>
          <w:iCs w:val="1"/>
          <w:u w:val="single" w:color="auto"/>
          <w:color w:val="0000FF"/>
        </w:rPr>
        <w:t>capital (compte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115</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w:t>
      </w:r>
      <w:r>
        <w:rPr>
          <w:rFonts w:ascii="Arial" w:cs="Arial" w:eastAsia="Arial" w:hAnsi="Arial"/>
          <w:sz w:val="15"/>
          <w:szCs w:val="15"/>
          <w:i w:val="1"/>
          <w:iCs w:val="1"/>
          <w:color w:val="0000FF"/>
        </w:rPr>
        <w:t xml:space="preserve"> </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000000"/>
        </w:rPr>
        <w:t>Apport en capitaux propres non rémunéré par des titres</w:t>
      </w:r>
      <w:r>
        <w:rPr>
          <w:rFonts w:ascii="Arial" w:cs="Arial" w:eastAsia="Arial" w:hAnsi="Arial"/>
          <w:sz w:val="15"/>
          <w:szCs w:val="15"/>
          <w:i w:val="1"/>
          <w:iCs w:val="1"/>
          <w:color w:val="0000FF"/>
        </w:rPr>
        <w:t xml:space="preserve"> </w:t>
      </w:r>
      <w:r>
        <w:rPr>
          <w:rFonts w:ascii="Arial" w:cs="Arial" w:eastAsia="Arial" w:hAnsi="Arial"/>
          <w:sz w:val="15"/>
          <w:szCs w:val="15"/>
          <w:color w:val="FF0000"/>
        </w:rPr>
        <w:t>»,</w:t>
      </w:r>
      <w:r>
        <w:rPr>
          <w:rFonts w:ascii="Arial" w:cs="Arial" w:eastAsia="Arial" w:hAnsi="Arial"/>
          <w:sz w:val="15"/>
          <w:szCs w:val="15"/>
          <w:i w:val="1"/>
          <w:iCs w:val="1"/>
          <w:u w:val="single" w:color="auto"/>
          <w:color w:val="0000FF"/>
        </w:rPr>
        <w:t>”), sur</w:t>
      </w:r>
      <w:r>
        <w:rPr>
          <w:rFonts w:ascii="Arial" w:cs="Arial" w:eastAsia="Arial" w:hAnsi="Arial"/>
          <w:sz w:val="15"/>
          <w:szCs w:val="15"/>
          <w:i w:val="1"/>
          <w:iCs w:val="1"/>
          <w:color w:val="0000FF"/>
        </w:rPr>
        <w:t xml:space="preserve"> </w:t>
      </w:r>
      <w:r>
        <w:rPr>
          <w:rFonts w:ascii="Arial" w:cs="Arial" w:eastAsia="Arial" w:hAnsi="Arial"/>
          <w:sz w:val="15"/>
          <w:szCs w:val="15"/>
          <w:color w:val="000000"/>
        </w:rPr>
        <w:t>le</w:t>
      </w:r>
      <w:r>
        <w:rPr>
          <w:rFonts w:ascii="Arial" w:cs="Arial" w:eastAsia="Arial" w:hAnsi="Arial"/>
          <w:sz w:val="15"/>
          <w:szCs w:val="15"/>
          <w:i w:val="1"/>
          <w:iCs w:val="1"/>
          <w:color w:val="0000FF"/>
        </w:rPr>
        <w:t xml:space="preserve"> </w:t>
      </w:r>
      <w:r>
        <w:rPr>
          <w:rFonts w:ascii="Arial" w:cs="Arial" w:eastAsia="Arial" w:hAnsi="Arial"/>
          <w:sz w:val="15"/>
          <w:szCs w:val="15"/>
          <w:color w:val="000000"/>
        </w:rPr>
        <w:t xml:space="preserve">compte de </w:t>
      </w:r>
      <w:r>
        <w:rPr>
          <w:rFonts w:ascii="Arial" w:cs="Arial" w:eastAsia="Arial" w:hAnsi="Arial"/>
          <w:sz w:val="15"/>
          <w:szCs w:val="15"/>
          <w:color w:val="FF0000"/>
          <w:strike w:val="1"/>
        </w:rPr>
        <w:t>primes</w:t>
      </w:r>
      <w:r>
        <w:rPr>
          <w:rFonts w:ascii="Arial" w:cs="Arial" w:eastAsia="Arial" w:hAnsi="Arial"/>
          <w:sz w:val="15"/>
          <w:szCs w:val="15"/>
          <w:i w:val="1"/>
          <w:iCs w:val="1"/>
          <w:u w:val="single" w:color="auto"/>
          <w:color w:val="0000FF"/>
        </w:rPr>
        <w:t>prime</w:t>
      </w:r>
      <w:r>
        <w:rPr>
          <w:rFonts w:ascii="Arial" w:cs="Arial" w:eastAsia="Arial" w:hAnsi="Arial"/>
          <w:sz w:val="15"/>
          <w:szCs w:val="15"/>
          <w:color w:val="000000"/>
        </w:rPr>
        <w:t xml:space="preserve"> </w:t>
      </w:r>
      <w:r>
        <w:rPr>
          <w:rFonts w:ascii="Arial" w:cs="Arial" w:eastAsia="Arial" w:hAnsi="Arial"/>
          <w:sz w:val="15"/>
          <w:szCs w:val="15"/>
          <w:i w:val="1"/>
          <w:iCs w:val="1"/>
          <w:color w:val="000000"/>
        </w:rPr>
        <w:t>d’émission ou les bénéfices non distribués). Si la contrepartie payable</w:t>
      </w:r>
      <w:r>
        <w:rPr>
          <w:rFonts w:ascii="Arial" w:cs="Arial" w:eastAsia="Arial" w:hAnsi="Arial"/>
          <w:sz w:val="15"/>
          <w:szCs w:val="15"/>
          <w:color w:val="000000"/>
        </w:rPr>
        <w:t xml:space="preserve"> </w:t>
      </w:r>
      <w:r>
        <w:rPr>
          <w:rFonts w:ascii="Arial" w:cs="Arial" w:eastAsia="Arial" w:hAnsi="Arial"/>
          <w:sz w:val="15"/>
          <w:szCs w:val="15"/>
          <w:i w:val="1"/>
          <w:iCs w:val="1"/>
          <w:color w:val="000000"/>
        </w:rPr>
        <w:t xml:space="preserve">à la Société pour </w:t>
      </w:r>
      <w:r>
        <w:rPr>
          <w:rFonts w:ascii="Arial" w:cs="Arial" w:eastAsia="Arial" w:hAnsi="Arial"/>
          <w:sz w:val="15"/>
          <w:szCs w:val="15"/>
          <w:color w:val="FF0000"/>
          <w:strike w:val="1"/>
        </w:rPr>
        <w:t>des</w:t>
      </w:r>
      <w:r>
        <w:rPr>
          <w:rFonts w:ascii="Arial" w:cs="Arial" w:eastAsia="Arial" w:hAnsi="Arial"/>
          <w:sz w:val="15"/>
          <w:szCs w:val="15"/>
          <w:i w:val="1"/>
          <w:iCs w:val="1"/>
          <w:u w:val="single" w:color="auto"/>
          <w:color w:val="0000FF"/>
        </w:rPr>
        <w:t>les</w:t>
      </w:r>
      <w:r>
        <w:rPr>
          <w:rFonts w:ascii="Arial" w:cs="Arial" w:eastAsia="Arial" w:hAnsi="Arial"/>
          <w:sz w:val="15"/>
          <w:szCs w:val="15"/>
          <w:i w:val="1"/>
          <w:iCs w:val="1"/>
          <w:color w:val="000000"/>
        </w:rPr>
        <w:t xml:space="preserve"> Actions nouvellement émises </w:t>
      </w:r>
      <w:r>
        <w:rPr>
          <w:rFonts w:ascii="Arial" w:cs="Arial" w:eastAsia="Arial" w:hAnsi="Arial"/>
          <w:sz w:val="15"/>
          <w:szCs w:val="15"/>
          <w:color w:val="FF0000"/>
          <w:strike w:val="1"/>
        </w:rPr>
        <w:t>dépasse la valeur nominale</w:t>
      </w:r>
      <w:r>
        <w:rPr>
          <w:rFonts w:ascii="Arial" w:cs="Arial" w:eastAsia="Arial" w:hAnsi="Arial"/>
          <w:sz w:val="15"/>
          <w:szCs w:val="15"/>
          <w:i w:val="1"/>
          <w:iCs w:val="1"/>
          <w:u w:val="single" w:color="auto"/>
          <w:color w:val="0000FF"/>
        </w:rPr>
        <w:t>excède le</w:t>
      </w:r>
      <w:r>
        <w:rPr>
          <w:rFonts w:ascii="Arial" w:cs="Arial" w:eastAsia="Arial" w:hAnsi="Arial"/>
          <w:sz w:val="15"/>
          <w:szCs w:val="15"/>
          <w:i w:val="1"/>
          <w:iCs w:val="1"/>
          <w:color w:val="000000"/>
        </w:rPr>
        <w:t xml:space="preserve"> </w:t>
      </w:r>
      <w:r>
        <w:rPr>
          <w:rFonts w:ascii="Arial" w:cs="Arial" w:eastAsia="Arial" w:hAnsi="Arial"/>
          <w:sz w:val="15"/>
          <w:szCs w:val="15"/>
          <w:i w:val="1"/>
          <w:iCs w:val="1"/>
          <w:u w:val="single" w:color="auto"/>
          <w:color w:val="0000FF"/>
        </w:rPr>
        <w:t>pair comptable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de ces Actions,</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l’excédent doit être traité</w:t>
      </w:r>
      <w:r>
        <w:rPr>
          <w:rFonts w:ascii="Arial" w:cs="Arial" w:eastAsia="Arial" w:hAnsi="Arial"/>
          <w:sz w:val="15"/>
          <w:szCs w:val="15"/>
          <w:i w:val="1"/>
          <w:iCs w:val="1"/>
          <w:u w:val="single" w:color="auto"/>
          <w:color w:val="0000FF"/>
        </w:rPr>
        <w:t>l’excès est à traiter</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comme</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une</w:t>
      </w:r>
      <w:r>
        <w:rPr>
          <w:rFonts w:ascii="Arial" w:cs="Arial" w:eastAsia="Arial" w:hAnsi="Arial"/>
          <w:sz w:val="15"/>
          <w:szCs w:val="15"/>
          <w:i w:val="1"/>
          <w:iCs w:val="1"/>
          <w:u w:val="single" w:color="auto"/>
          <w:color w:val="0000FF"/>
        </w:rPr>
        <w:t>de la</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 xml:space="preserve">prime d’émission </w:t>
      </w:r>
      <w:r>
        <w:rPr>
          <w:rFonts w:ascii="Arial" w:cs="Arial" w:eastAsia="Arial" w:hAnsi="Arial"/>
          <w:sz w:val="15"/>
          <w:szCs w:val="15"/>
          <w:color w:val="FF0000"/>
          <w:strike w:val="1"/>
        </w:rPr>
        <w:t>relative</w:t>
      </w:r>
      <w:r>
        <w:rPr>
          <w:rFonts w:ascii="Arial" w:cs="Arial" w:eastAsia="Arial" w:hAnsi="Arial"/>
          <w:sz w:val="15"/>
          <w:szCs w:val="15"/>
          <w:i w:val="1"/>
          <w:iCs w:val="1"/>
          <w:u w:val="single" w:color="auto"/>
          <w:color w:val="0000FF"/>
        </w:rPr>
        <w:t>relatives</w:t>
      </w:r>
      <w:r>
        <w:rPr>
          <w:rFonts w:ascii="Arial" w:cs="Arial" w:eastAsia="Arial" w:hAnsi="Arial"/>
          <w:sz w:val="15"/>
          <w:szCs w:val="15"/>
          <w:i w:val="1"/>
          <w:iCs w:val="1"/>
          <w:color w:val="000000"/>
        </w:rPr>
        <w:t xml:space="preserve"> aux Actions dans les livres </w:t>
      </w:r>
      <w:r>
        <w:rPr>
          <w:rFonts w:ascii="Arial" w:cs="Arial" w:eastAsia="Arial" w:hAnsi="Arial"/>
          <w:sz w:val="15"/>
          <w:szCs w:val="15"/>
          <w:color w:val="FF0000"/>
          <w:strike w:val="1"/>
        </w:rPr>
        <w:t>comptables</w:t>
      </w:r>
      <w:r>
        <w:rPr>
          <w:rFonts w:ascii="Arial" w:cs="Arial" w:eastAsia="Arial" w:hAnsi="Arial"/>
          <w:sz w:val="15"/>
          <w:szCs w:val="15"/>
          <w:i w:val="1"/>
          <w:iCs w:val="1"/>
          <w:color w:val="000000"/>
        </w:rPr>
        <w:t xml:space="preserve"> de la Société</w:t>
      </w:r>
      <w:r>
        <w:rPr>
          <w:rFonts w:ascii="Arial" w:cs="Arial" w:eastAsia="Arial" w:hAnsi="Arial"/>
          <w:sz w:val="15"/>
          <w:szCs w:val="15"/>
          <w:color w:val="FF0000"/>
          <w:strike w:val="1"/>
        </w:rPr>
        <w:t>.</w:t>
      </w:r>
      <w:r>
        <w:rPr>
          <w:rFonts w:ascii="Arial" w:cs="Arial" w:eastAsia="Arial" w:hAnsi="Arial"/>
          <w:sz w:val="15"/>
          <w:szCs w:val="15"/>
          <w:i w:val="1"/>
          <w:iCs w:val="1"/>
          <w:u w:val="single" w:color="auto"/>
          <w:color w:val="0000FF"/>
        </w:rPr>
        <w:t>;</w:t>
      </w:r>
    </w:p>
    <w:p>
      <w:pPr>
        <w:spacing w:after="0" w:line="63" w:lineRule="exact"/>
        <w:rPr>
          <w:rFonts w:ascii="Arial" w:cs="Arial" w:eastAsia="Arial" w:hAnsi="Arial"/>
          <w:sz w:val="15"/>
          <w:szCs w:val="15"/>
          <w:color w:val="auto"/>
        </w:rPr>
      </w:pPr>
    </w:p>
    <w:p>
      <w:pPr>
        <w:ind w:left="1520" w:right="1099" w:hanging="153"/>
        <w:spacing w:after="0" w:line="257" w:lineRule="auto"/>
        <w:tabs>
          <w:tab w:leader="none" w:pos="1520" w:val="left"/>
        </w:tabs>
        <w:numPr>
          <w:ilvl w:val="0"/>
          <w:numId w:val="63"/>
        </w:numPr>
        <w:rPr>
          <w:rFonts w:ascii="Arial" w:cs="Arial" w:eastAsia="Arial" w:hAnsi="Arial"/>
          <w:sz w:val="15"/>
          <w:szCs w:val="15"/>
          <w:color w:val="auto"/>
        </w:rPr>
      </w:pPr>
      <w:r>
        <w:rPr>
          <w:rFonts w:ascii="Arial" w:cs="Arial" w:eastAsia="Arial" w:hAnsi="Arial"/>
          <w:sz w:val="15"/>
          <w:szCs w:val="15"/>
          <w:i w:val="1"/>
          <w:iCs w:val="1"/>
          <w:color w:val="FF0000"/>
          <w:strike w:val="1"/>
        </w:rPr>
        <w:t>limiter ou</w:t>
      </w:r>
      <w:r>
        <w:rPr>
          <w:rFonts w:ascii="Arial" w:cs="Arial" w:eastAsia="Arial" w:hAnsi="Arial"/>
          <w:sz w:val="15"/>
          <w:szCs w:val="15"/>
          <w:i w:val="1"/>
          <w:iCs w:val="1"/>
          <w:color w:val="FF0000"/>
        </w:rPr>
        <w:t xml:space="preserve"> </w:t>
      </w:r>
      <w:r>
        <w:rPr>
          <w:rFonts w:ascii="Arial" w:cs="Arial" w:eastAsia="Arial" w:hAnsi="Arial"/>
          <w:sz w:val="15"/>
          <w:szCs w:val="15"/>
          <w:i w:val="1"/>
          <w:iCs w:val="1"/>
          <w:color w:val="000000"/>
        </w:rPr>
        <w:t>supprimer</w:t>
      </w:r>
      <w:r>
        <w:rPr>
          <w:rFonts w:ascii="Arial" w:cs="Arial" w:eastAsia="Arial" w:hAnsi="Arial"/>
          <w:sz w:val="15"/>
          <w:szCs w:val="15"/>
          <w:i w:val="1"/>
          <w:iCs w:val="1"/>
          <w:color w:val="FF0000"/>
        </w:rPr>
        <w:t xml:space="preserve"> </w:t>
      </w:r>
      <w:r>
        <w:rPr>
          <w:rFonts w:ascii="Arial" w:cs="Arial" w:eastAsia="Arial" w:hAnsi="Arial"/>
          <w:sz w:val="15"/>
          <w:szCs w:val="15"/>
          <w:i w:val="1"/>
          <w:iCs w:val="1"/>
          <w:u w:val="single" w:color="auto"/>
          <w:color w:val="0000FF"/>
        </w:rPr>
        <w:t>ou limiter</w:t>
      </w:r>
      <w:r>
        <w:rPr>
          <w:rFonts w:ascii="Arial" w:cs="Arial" w:eastAsia="Arial" w:hAnsi="Arial"/>
          <w:sz w:val="15"/>
          <w:szCs w:val="15"/>
          <w:i w:val="1"/>
          <w:iCs w:val="1"/>
          <w:color w:val="FF0000"/>
        </w:rPr>
        <w:t xml:space="preserve"> </w:t>
      </w:r>
      <w:r>
        <w:rPr>
          <w:rFonts w:ascii="Arial" w:cs="Arial" w:eastAsia="Arial" w:hAnsi="Arial"/>
          <w:sz w:val="15"/>
          <w:szCs w:val="15"/>
          <w:i w:val="1"/>
          <w:iCs w:val="1"/>
          <w:color w:val="000000"/>
        </w:rPr>
        <w:t>le droit de souscription préférentiel</w:t>
      </w:r>
      <w:r>
        <w:rPr>
          <w:rFonts w:ascii="Arial" w:cs="Arial" w:eastAsia="Arial" w:hAnsi="Arial"/>
          <w:sz w:val="15"/>
          <w:szCs w:val="15"/>
          <w:i w:val="1"/>
          <w:iCs w:val="1"/>
          <w:color w:val="FF0000"/>
        </w:rPr>
        <w:t xml:space="preserve"> </w:t>
      </w:r>
      <w:r>
        <w:rPr>
          <w:rFonts w:ascii="Arial" w:cs="Arial" w:eastAsia="Arial" w:hAnsi="Arial"/>
          <w:sz w:val="15"/>
          <w:szCs w:val="15"/>
          <w:i w:val="1"/>
          <w:iCs w:val="1"/>
          <w:u w:val="single" w:color="auto"/>
          <w:color w:val="0000FF"/>
        </w:rPr>
        <w:t>des actionnaires</w:t>
      </w:r>
      <w:r>
        <w:rPr>
          <w:rFonts w:ascii="Arial" w:cs="Arial" w:eastAsia="Arial" w:hAnsi="Arial"/>
          <w:sz w:val="15"/>
          <w:szCs w:val="15"/>
          <w:i w:val="1"/>
          <w:iCs w:val="1"/>
          <w:color w:val="FF0000"/>
        </w:rPr>
        <w:t xml:space="preserve"> </w:t>
      </w:r>
      <w:r>
        <w:rPr>
          <w:rFonts w:ascii="Arial" w:cs="Arial" w:eastAsia="Arial" w:hAnsi="Arial"/>
          <w:sz w:val="15"/>
          <w:szCs w:val="15"/>
          <w:i w:val="1"/>
          <w:iCs w:val="1"/>
          <w:color w:val="000000"/>
        </w:rPr>
        <w:t>réservé aux</w:t>
      </w:r>
      <w:r>
        <w:rPr>
          <w:rFonts w:ascii="Arial" w:cs="Arial" w:eastAsia="Arial" w:hAnsi="Arial"/>
          <w:sz w:val="15"/>
          <w:szCs w:val="15"/>
          <w:i w:val="1"/>
          <w:iCs w:val="1"/>
          <w:color w:val="FF0000"/>
        </w:rPr>
        <w:t xml:space="preserve"> </w:t>
      </w:r>
      <w:r>
        <w:rPr>
          <w:rFonts w:ascii="Arial" w:cs="Arial" w:eastAsia="Arial" w:hAnsi="Arial"/>
          <w:sz w:val="15"/>
          <w:szCs w:val="15"/>
          <w:i w:val="1"/>
          <w:iCs w:val="1"/>
          <w:u w:val="single" w:color="auto"/>
          <w:color w:val="0000FF"/>
        </w:rPr>
        <w:t>seuls</w:t>
      </w:r>
      <w:r>
        <w:rPr>
          <w:rFonts w:ascii="Arial" w:cs="Arial" w:eastAsia="Arial" w:hAnsi="Arial"/>
          <w:sz w:val="15"/>
          <w:szCs w:val="15"/>
          <w:i w:val="1"/>
          <w:iCs w:val="1"/>
          <w:color w:val="0000FF"/>
        </w:rPr>
        <w:t xml:space="preserve"> </w:t>
      </w:r>
      <w:r>
        <w:rPr>
          <w:rFonts w:ascii="Arial" w:cs="Arial" w:eastAsia="Arial" w:hAnsi="Arial"/>
          <w:sz w:val="15"/>
          <w:szCs w:val="15"/>
          <w:color w:val="000000"/>
        </w:rPr>
        <w:t>actionnaires existants</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en</w:t>
      </w:r>
      <w:r>
        <w:rPr>
          <w:rFonts w:ascii="Arial" w:cs="Arial" w:eastAsia="Arial" w:hAnsi="Arial"/>
          <w:sz w:val="15"/>
          <w:szCs w:val="15"/>
          <w:i w:val="1"/>
          <w:iCs w:val="1"/>
          <w:u w:val="single" w:color="auto"/>
          <w:color w:val="0000FF"/>
        </w:rPr>
        <w:t>dans le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cas d’émission</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d’actions</w:t>
      </w:r>
      <w:r>
        <w:rPr>
          <w:rFonts w:ascii="Arial" w:cs="Arial" w:eastAsia="Arial" w:hAnsi="Arial"/>
          <w:sz w:val="15"/>
          <w:szCs w:val="15"/>
          <w:i w:val="1"/>
          <w:iCs w:val="1"/>
          <w:u w:val="single" w:color="auto"/>
          <w:color w:val="0000FF"/>
        </w:rPr>
        <w:t>d’Actions</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contre paiement en</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espèces, en émettant des actions pour un</w:t>
      </w:r>
      <w:r>
        <w:rPr>
          <w:rFonts w:ascii="Arial" w:cs="Arial" w:eastAsia="Arial" w:hAnsi="Arial"/>
          <w:sz w:val="15"/>
          <w:szCs w:val="15"/>
          <w:i w:val="1"/>
          <w:iCs w:val="1"/>
          <w:u w:val="single" w:color="auto"/>
          <w:color w:val="0000FF"/>
          <w:strike w:val="1"/>
        </w:rPr>
        <w:t>numéraire, par émission d’Actions jusqu’à</w:t>
      </w:r>
      <w:r>
        <w:rPr>
          <w:rFonts w:ascii="Arial" w:cs="Arial" w:eastAsia="Arial" w:hAnsi="Arial"/>
          <w:sz w:val="15"/>
          <w:szCs w:val="15"/>
          <w:color w:val="FF0000"/>
          <w:strike w:val="1"/>
        </w:rPr>
        <w:t xml:space="preserve"> </w:t>
      </w:r>
      <w:r>
        <w:rPr>
          <w:rFonts w:ascii="Arial" w:cs="Arial" w:eastAsia="Arial" w:hAnsi="Arial"/>
          <w:sz w:val="15"/>
          <w:szCs w:val="15"/>
          <w:i w:val="1"/>
          <w:iCs w:val="1"/>
          <w:u w:val="single" w:color="auto"/>
          <w:color w:val="0000FF"/>
          <w:strike w:val="1"/>
        </w:rPr>
        <w:t>concurrence d’un</w:t>
      </w:r>
      <w:r>
        <w:rPr>
          <w:rFonts w:ascii="Arial" w:cs="Arial" w:eastAsia="Arial" w:hAnsi="Arial"/>
          <w:sz w:val="15"/>
          <w:szCs w:val="15"/>
          <w:i w:val="1"/>
          <w:iCs w:val="1"/>
          <w:color w:val="0000FF"/>
          <w:strike w:val="1"/>
        </w:rPr>
        <w:t xml:space="preserve"> </w:t>
      </w:r>
      <w:r>
        <w:rPr>
          <w:rFonts w:ascii="Arial" w:cs="Arial" w:eastAsia="Arial" w:hAnsi="Arial"/>
          <w:sz w:val="15"/>
          <w:szCs w:val="15"/>
          <w:i w:val="1"/>
          <w:iCs w:val="1"/>
          <w:color w:val="000000"/>
          <w:strike w:val="1"/>
        </w:rPr>
        <w:t>montant ne dépassant pas le capital social autorisé et en annulant ou en</w:t>
      </w:r>
      <w:r>
        <w:rPr>
          <w:rFonts w:ascii="Arial" w:cs="Arial" w:eastAsia="Arial" w:hAnsi="Arial"/>
          <w:sz w:val="15"/>
          <w:szCs w:val="15"/>
          <w:i w:val="1"/>
          <w:iCs w:val="1"/>
          <w:color w:val="0000FF"/>
          <w:strike w:val="1"/>
        </w:rPr>
        <w:t xml:space="preserve"> </w:t>
      </w:r>
      <w:r>
        <w:rPr>
          <w:rFonts w:ascii="Arial" w:cs="Arial" w:eastAsia="Arial" w:hAnsi="Arial"/>
          <w:sz w:val="15"/>
          <w:szCs w:val="15"/>
          <w:i w:val="1"/>
          <w:iCs w:val="1"/>
          <w:color w:val="000000"/>
          <w:strike w:val="1"/>
        </w:rPr>
        <w:t xml:space="preserve">limitant le droit préférentiel </w:t>
      </w:r>
      <w:r>
        <w:rPr>
          <w:rFonts w:ascii="Arial" w:cs="Arial" w:eastAsia="Arial" w:hAnsi="Arial"/>
          <w:sz w:val="15"/>
          <w:szCs w:val="15"/>
          <w:i w:val="1"/>
          <w:iCs w:val="1"/>
          <w:u w:val="single" w:color="auto"/>
          <w:color w:val="0000FF"/>
          <w:strike w:val="1"/>
        </w:rPr>
        <w:t>de souscription</w:t>
      </w:r>
      <w:r>
        <w:rPr>
          <w:rFonts w:ascii="Arial" w:cs="Arial" w:eastAsia="Arial" w:hAnsi="Arial"/>
          <w:sz w:val="15"/>
          <w:szCs w:val="15"/>
          <w:i w:val="1"/>
          <w:iCs w:val="1"/>
          <w:color w:val="000000"/>
          <w:strike w:val="1"/>
        </w:rPr>
        <w:t xml:space="preserve"> </w:t>
      </w:r>
      <w:r>
        <w:rPr>
          <w:rFonts w:ascii="Arial" w:cs="Arial" w:eastAsia="Arial" w:hAnsi="Arial"/>
          <w:sz w:val="15"/>
          <w:szCs w:val="15"/>
          <w:color w:val="000000"/>
          <w:strike w:val="1"/>
        </w:rPr>
        <w:t>des actionnaires existants</w:t>
      </w:r>
      <w:r>
        <w:rPr>
          <w:rFonts w:ascii="Arial" w:cs="Arial" w:eastAsia="Arial" w:hAnsi="Arial"/>
          <w:sz w:val="15"/>
          <w:szCs w:val="15"/>
          <w:i w:val="1"/>
          <w:iCs w:val="1"/>
          <w:color w:val="000000"/>
          <w:strike w:val="1"/>
        </w:rPr>
        <w:t xml:space="preserve"> </w:t>
      </w:r>
      <w:r>
        <w:rPr>
          <w:rFonts w:ascii="Arial" w:cs="Arial" w:eastAsia="Arial" w:hAnsi="Arial"/>
          <w:sz w:val="15"/>
          <w:szCs w:val="15"/>
          <w:color w:val="FF0000"/>
          <w:strike w:val="1"/>
        </w:rPr>
        <w:t>de souscrire ces</w:t>
      </w:r>
      <w:r>
        <w:rPr>
          <w:rFonts w:ascii="Arial" w:cs="Arial" w:eastAsia="Arial" w:hAnsi="Arial"/>
          <w:sz w:val="15"/>
          <w:szCs w:val="15"/>
          <w:i w:val="1"/>
          <w:iCs w:val="1"/>
          <w:u w:val="single" w:color="auto"/>
          <w:color w:val="0000FF"/>
          <w:strike w:val="1"/>
        </w:rPr>
        <w:t>aux</w:t>
      </w:r>
      <w:r>
        <w:rPr>
          <w:rFonts w:ascii="Arial" w:cs="Arial" w:eastAsia="Arial" w:hAnsi="Arial"/>
          <w:sz w:val="15"/>
          <w:szCs w:val="15"/>
          <w:i w:val="1"/>
          <w:iCs w:val="1"/>
          <w:color w:val="000000"/>
          <w:strike w:val="1"/>
        </w:rPr>
        <w:t xml:space="preserve"> Actions </w:t>
      </w:r>
      <w:r>
        <w:rPr>
          <w:rFonts w:ascii="Arial" w:cs="Arial" w:eastAsia="Arial" w:hAnsi="Arial"/>
          <w:sz w:val="15"/>
          <w:szCs w:val="15"/>
          <w:color w:val="FF0000"/>
          <w:strike w:val="1"/>
        </w:rPr>
        <w:t>dans le cadre du</w:t>
      </w:r>
      <w:r>
        <w:rPr>
          <w:rFonts w:ascii="Arial" w:cs="Arial" w:eastAsia="Arial" w:hAnsi="Arial"/>
          <w:sz w:val="15"/>
          <w:szCs w:val="15"/>
          <w:i w:val="1"/>
          <w:iCs w:val="1"/>
          <w:u w:val="single" w:color="auto"/>
          <w:color w:val="0000FF"/>
          <w:strike w:val="1"/>
        </w:rPr>
        <w:t>relatives au</w:t>
      </w:r>
      <w:r>
        <w:rPr>
          <w:rFonts w:ascii="Arial" w:cs="Arial" w:eastAsia="Arial" w:hAnsi="Arial"/>
          <w:sz w:val="15"/>
          <w:szCs w:val="15"/>
          <w:i w:val="1"/>
          <w:iCs w:val="1"/>
          <w:color w:val="000000"/>
          <w:strike w:val="1"/>
        </w:rPr>
        <w:t xml:space="preserve"> programme d’options d’achat </w:t>
      </w:r>
      <w:r>
        <w:rPr>
          <w:rFonts w:ascii="Arial" w:cs="Arial" w:eastAsia="Arial" w:hAnsi="Arial"/>
          <w:sz w:val="15"/>
          <w:szCs w:val="15"/>
          <w:color w:val="FF0000"/>
          <w:strike w:val="1"/>
        </w:rPr>
        <w:t>d’Actions pour</w:t>
      </w:r>
      <w:r>
        <w:rPr>
          <w:rFonts w:ascii="Arial" w:cs="Arial" w:eastAsia="Arial" w:hAnsi="Arial"/>
          <w:sz w:val="15"/>
          <w:szCs w:val="15"/>
          <w:i w:val="1"/>
          <w:iCs w:val="1"/>
          <w:color w:val="000000"/>
          <w:strike w:val="1"/>
        </w:rPr>
        <w:t xml:space="preserve"> </w:t>
      </w:r>
      <w:r>
        <w:rPr>
          <w:rFonts w:ascii="Arial" w:cs="Arial" w:eastAsia="Arial" w:hAnsi="Arial"/>
          <w:sz w:val="15"/>
          <w:szCs w:val="15"/>
          <w:color w:val="FF0000"/>
          <w:strike w:val="1"/>
        </w:rPr>
        <w:t>les</w:t>
      </w:r>
      <w:r>
        <w:rPr>
          <w:rFonts w:ascii="Arial" w:cs="Arial" w:eastAsia="Arial" w:hAnsi="Arial"/>
          <w:sz w:val="15"/>
          <w:szCs w:val="15"/>
          <w:i w:val="1"/>
          <w:iCs w:val="1"/>
          <w:u w:val="single" w:color="auto"/>
          <w:color w:val="0000FF"/>
          <w:strike w:val="1"/>
        </w:rPr>
        <w:t>d’actions des</w:t>
      </w:r>
      <w:r>
        <w:rPr>
          <w:rFonts w:ascii="Arial" w:cs="Arial" w:eastAsia="Arial" w:hAnsi="Arial"/>
          <w:sz w:val="15"/>
          <w:szCs w:val="15"/>
          <w:color w:val="FF0000"/>
          <w:strike w:val="1"/>
        </w:rPr>
        <w:t xml:space="preserve"> </w:t>
      </w:r>
      <w:r>
        <w:rPr>
          <w:rFonts w:ascii="Arial" w:cs="Arial" w:eastAsia="Arial" w:hAnsi="Arial"/>
          <w:sz w:val="15"/>
          <w:szCs w:val="15"/>
          <w:i w:val="1"/>
          <w:iCs w:val="1"/>
          <w:color w:val="000000"/>
          <w:strike w:val="1"/>
        </w:rPr>
        <w:t>salariés de la</w:t>
      </w:r>
      <w:r>
        <w:rPr>
          <w:rFonts w:ascii="Arial" w:cs="Arial" w:eastAsia="Arial" w:hAnsi="Arial"/>
          <w:sz w:val="15"/>
          <w:szCs w:val="15"/>
          <w:color w:val="FF0000"/>
          <w:strike w:val="1"/>
        </w:rPr>
        <w:t xml:space="preserve"> société</w:t>
      </w:r>
      <w:r>
        <w:rPr>
          <w:rFonts w:ascii="Arial" w:cs="Arial" w:eastAsia="Arial" w:hAnsi="Arial"/>
          <w:sz w:val="15"/>
          <w:szCs w:val="15"/>
          <w:i w:val="1"/>
          <w:iCs w:val="1"/>
          <w:u w:val="single" w:color="auto"/>
          <w:color w:val="0000FF"/>
          <w:strike w:val="1"/>
        </w:rPr>
        <w:t>Société</w:t>
      </w:r>
      <w:r>
        <w:rPr>
          <w:rFonts w:ascii="Arial" w:cs="Arial" w:eastAsia="Arial" w:hAnsi="Arial"/>
          <w:sz w:val="15"/>
          <w:szCs w:val="15"/>
          <w:i w:val="1"/>
          <w:iCs w:val="1"/>
          <w:color w:val="000000"/>
          <w:strike w:val="1"/>
        </w:rPr>
        <w:t>.</w:t>
      </w:r>
    </w:p>
    <w:p>
      <w:pPr>
        <w:spacing w:after="0" w:line="64" w:lineRule="exact"/>
        <w:rPr>
          <w:rFonts w:ascii="Arial" w:cs="Arial" w:eastAsia="Arial" w:hAnsi="Arial"/>
          <w:sz w:val="15"/>
          <w:szCs w:val="15"/>
          <w:color w:val="auto"/>
        </w:rPr>
      </w:pPr>
    </w:p>
    <w:p>
      <w:pPr>
        <w:ind w:left="1520" w:right="1079" w:hanging="153"/>
        <w:spacing w:after="0" w:line="254" w:lineRule="auto"/>
        <w:tabs>
          <w:tab w:leader="none" w:pos="1520" w:val="left"/>
        </w:tabs>
        <w:numPr>
          <w:ilvl w:val="0"/>
          <w:numId w:val="63"/>
        </w:numPr>
        <w:rPr>
          <w:rFonts w:ascii="Arial" w:cs="Arial" w:eastAsia="Arial" w:hAnsi="Arial"/>
          <w:sz w:val="15"/>
          <w:szCs w:val="15"/>
          <w:color w:val="auto"/>
        </w:rPr>
      </w:pPr>
      <w:r>
        <w:rPr>
          <w:rFonts w:ascii="Arial" w:cs="Arial" w:eastAsia="Arial" w:hAnsi="Arial"/>
          <w:sz w:val="15"/>
          <w:szCs w:val="15"/>
          <w:i w:val="1"/>
          <w:iCs w:val="1"/>
          <w:color w:val="FF0000"/>
          <w:strike w:val="1"/>
        </w:rPr>
        <w:t>prendre toutes les mesures nécessaires</w:t>
      </w:r>
      <w:r>
        <w:rPr>
          <w:rFonts w:ascii="Arial" w:cs="Arial" w:eastAsia="Arial" w:hAnsi="Arial"/>
          <w:sz w:val="15"/>
          <w:szCs w:val="15"/>
          <w:i w:val="1"/>
          <w:iCs w:val="1"/>
          <w:u w:val="single" w:color="auto"/>
          <w:color w:val="0000FF"/>
        </w:rPr>
        <w:t>faire tout ce qu’il sera nécessaire</w:t>
      </w:r>
      <w:r>
        <w:rPr>
          <w:rFonts w:ascii="Arial" w:cs="Arial" w:eastAsia="Arial" w:hAnsi="Arial"/>
          <w:sz w:val="15"/>
          <w:szCs w:val="15"/>
          <w:i w:val="1"/>
          <w:iCs w:val="1"/>
          <w:color w:val="FF0000"/>
        </w:rPr>
        <w:t xml:space="preserve"> </w:t>
      </w:r>
      <w:r>
        <w:rPr>
          <w:rFonts w:ascii="Arial" w:cs="Arial" w:eastAsia="Arial" w:hAnsi="Arial"/>
          <w:sz w:val="15"/>
          <w:szCs w:val="15"/>
          <w:i w:val="1"/>
          <w:iCs w:val="1"/>
          <w:color w:val="000000"/>
        </w:rPr>
        <w:t>pour modifier</w:t>
      </w:r>
      <w:r>
        <w:rPr>
          <w:rFonts w:ascii="Arial" w:cs="Arial" w:eastAsia="Arial" w:hAnsi="Arial"/>
          <w:sz w:val="15"/>
          <w:szCs w:val="15"/>
          <w:i w:val="1"/>
          <w:iCs w:val="1"/>
          <w:color w:val="FF0000"/>
        </w:rPr>
        <w:t xml:space="preserve"> </w:t>
      </w:r>
      <w:r>
        <w:rPr>
          <w:rFonts w:ascii="Arial" w:cs="Arial" w:eastAsia="Arial" w:hAnsi="Arial"/>
          <w:sz w:val="15"/>
          <w:szCs w:val="15"/>
          <w:color w:val="FF0000"/>
          <w:strike w:val="1"/>
        </w:rPr>
        <w:t>les</w:t>
      </w:r>
      <w:r>
        <w:rPr>
          <w:rFonts w:ascii="Arial" w:cs="Arial" w:eastAsia="Arial" w:hAnsi="Arial"/>
          <w:sz w:val="15"/>
          <w:szCs w:val="15"/>
          <w:i w:val="1"/>
          <w:iCs w:val="1"/>
          <w:color w:val="FF0000"/>
        </w:rPr>
        <w:t xml:space="preserve"> </w:t>
      </w:r>
      <w:r>
        <w:rPr>
          <w:rFonts w:ascii="Arial" w:cs="Arial" w:eastAsia="Arial" w:hAnsi="Arial"/>
          <w:sz w:val="15"/>
          <w:szCs w:val="15"/>
          <w:color w:val="FF0000"/>
          <w:strike w:val="1"/>
        </w:rPr>
        <w:t>articles</w:t>
      </w:r>
      <w:r>
        <w:rPr>
          <w:rFonts w:ascii="Arial" w:cs="Arial" w:eastAsia="Arial" w:hAnsi="Arial"/>
          <w:sz w:val="15"/>
          <w:szCs w:val="15"/>
          <w:i w:val="1"/>
          <w:iCs w:val="1"/>
          <w:u w:val="single" w:color="auto"/>
          <w:color w:val="0000FF"/>
        </w:rPr>
        <w:t>l’article</w:t>
      </w:r>
      <w:r>
        <w:rPr>
          <w:rFonts w:ascii="Arial" w:cs="Arial" w:eastAsia="Arial" w:hAnsi="Arial"/>
          <w:sz w:val="15"/>
          <w:szCs w:val="15"/>
          <w:color w:val="FF0000"/>
        </w:rPr>
        <w:t xml:space="preserve"> </w:t>
      </w:r>
      <w:r>
        <w:rPr>
          <w:rFonts w:ascii="Arial" w:cs="Arial" w:eastAsia="Arial" w:hAnsi="Arial"/>
          <w:sz w:val="15"/>
          <w:szCs w:val="15"/>
          <w:i w:val="1"/>
          <w:iCs w:val="1"/>
          <w:color w:val="000000"/>
        </w:rPr>
        <w:t>5 et</w:t>
      </w:r>
      <w:r>
        <w:rPr>
          <w:rFonts w:ascii="Arial" w:cs="Arial" w:eastAsia="Arial" w:hAnsi="Arial"/>
          <w:sz w:val="15"/>
          <w:szCs w:val="15"/>
          <w:color w:val="FF0000"/>
        </w:rPr>
        <w:t xml:space="preserve"> </w:t>
      </w:r>
      <w:r>
        <w:rPr>
          <w:rFonts w:ascii="Arial" w:cs="Arial" w:eastAsia="Arial" w:hAnsi="Arial"/>
          <w:sz w:val="15"/>
          <w:szCs w:val="15"/>
          <w:i w:val="1"/>
          <w:iCs w:val="1"/>
          <w:u w:val="single" w:color="auto"/>
          <w:color w:val="0000FF"/>
        </w:rPr>
        <w:t>l’article</w:t>
      </w:r>
      <w:r>
        <w:rPr>
          <w:rFonts w:ascii="Arial" w:cs="Arial" w:eastAsia="Arial" w:hAnsi="Arial"/>
          <w:sz w:val="15"/>
          <w:szCs w:val="15"/>
          <w:color w:val="FF0000"/>
        </w:rPr>
        <w:t xml:space="preserve"> </w:t>
      </w:r>
      <w:r>
        <w:rPr>
          <w:rFonts w:ascii="Arial" w:cs="Arial" w:eastAsia="Arial" w:hAnsi="Arial"/>
          <w:sz w:val="15"/>
          <w:szCs w:val="15"/>
          <w:i w:val="1"/>
          <w:iCs w:val="1"/>
          <w:color w:val="000000"/>
        </w:rPr>
        <w:t>6 des Statuts afin</w:t>
      </w:r>
      <w:r>
        <w:rPr>
          <w:rFonts w:ascii="Arial" w:cs="Arial" w:eastAsia="Arial" w:hAnsi="Arial"/>
          <w:sz w:val="15"/>
          <w:szCs w:val="15"/>
          <w:color w:val="FF0000"/>
        </w:rPr>
        <w:t xml:space="preserve"> </w:t>
      </w:r>
      <w:r>
        <w:rPr>
          <w:rFonts w:ascii="Arial" w:cs="Arial" w:eastAsia="Arial" w:hAnsi="Arial"/>
          <w:sz w:val="15"/>
          <w:szCs w:val="15"/>
          <w:color w:val="FF0000"/>
          <w:strike w:val="1"/>
        </w:rPr>
        <w:t>d’enregistrer</w:t>
      </w:r>
      <w:r>
        <w:rPr>
          <w:rFonts w:ascii="Arial" w:cs="Arial" w:eastAsia="Arial" w:hAnsi="Arial"/>
          <w:sz w:val="15"/>
          <w:szCs w:val="15"/>
          <w:i w:val="1"/>
          <w:iCs w:val="1"/>
          <w:u w:val="single" w:color="auto"/>
          <w:color w:val="0000FF"/>
        </w:rPr>
        <w:t>de constater</w:t>
      </w:r>
      <w:r>
        <w:rPr>
          <w:rFonts w:ascii="Arial" w:cs="Arial" w:eastAsia="Arial" w:hAnsi="Arial"/>
          <w:sz w:val="15"/>
          <w:szCs w:val="15"/>
          <w:color w:val="FF0000"/>
        </w:rPr>
        <w:t xml:space="preserve"> </w:t>
      </w:r>
      <w:r>
        <w:rPr>
          <w:rFonts w:ascii="Arial" w:cs="Arial" w:eastAsia="Arial" w:hAnsi="Arial"/>
          <w:sz w:val="15"/>
          <w:szCs w:val="15"/>
          <w:i w:val="1"/>
          <w:iCs w:val="1"/>
          <w:color w:val="000000"/>
        </w:rPr>
        <w:t>la modification du</w:t>
      </w:r>
      <w:r>
        <w:rPr>
          <w:rFonts w:ascii="Arial" w:cs="Arial" w:eastAsia="Arial" w:hAnsi="Arial"/>
          <w:sz w:val="15"/>
          <w:szCs w:val="15"/>
          <w:color w:val="FF0000"/>
        </w:rPr>
        <w:t xml:space="preserve"> </w:t>
      </w:r>
      <w:r>
        <w:rPr>
          <w:rFonts w:ascii="Arial" w:cs="Arial" w:eastAsia="Arial" w:hAnsi="Arial"/>
          <w:sz w:val="15"/>
          <w:szCs w:val="15"/>
          <w:i w:val="1"/>
          <w:iCs w:val="1"/>
          <w:color w:val="000000"/>
        </w:rPr>
        <w:t xml:space="preserve">capital social émis </w:t>
      </w:r>
      <w:r>
        <w:rPr>
          <w:rFonts w:ascii="Arial" w:cs="Arial" w:eastAsia="Arial" w:hAnsi="Arial"/>
          <w:sz w:val="15"/>
          <w:szCs w:val="15"/>
          <w:i w:val="1"/>
          <w:iCs w:val="1"/>
          <w:u w:val="single" w:color="auto"/>
          <w:color w:val="0000FF"/>
        </w:rPr>
        <w:t>et du capital social autorisé</w:t>
      </w:r>
      <w:r>
        <w:rPr>
          <w:rFonts w:ascii="Arial" w:cs="Arial" w:eastAsia="Arial" w:hAnsi="Arial"/>
          <w:sz w:val="15"/>
          <w:szCs w:val="15"/>
          <w:i w:val="1"/>
          <w:iCs w:val="1"/>
          <w:color w:val="000000"/>
        </w:rPr>
        <w:t xml:space="preserve"> à la suite d’une augmentation </w:t>
      </w:r>
      <w:r>
        <w:rPr>
          <w:rFonts w:ascii="Arial" w:cs="Arial" w:eastAsia="Arial" w:hAnsi="Arial"/>
          <w:sz w:val="15"/>
          <w:szCs w:val="15"/>
          <w:color w:val="FF0000"/>
          <w:strike w:val="1"/>
        </w:rPr>
        <w:t>en vertu</w:t>
      </w:r>
      <w:r>
        <w:rPr>
          <w:rFonts w:ascii="Arial" w:cs="Arial" w:eastAsia="Arial" w:hAnsi="Arial"/>
          <w:sz w:val="15"/>
          <w:szCs w:val="15"/>
          <w:i w:val="1"/>
          <w:iCs w:val="1"/>
          <w:u w:val="single" w:color="auto"/>
          <w:color w:val="0000FF"/>
        </w:rPr>
        <w:t>de capital</w:t>
      </w:r>
      <w:r>
        <w:rPr>
          <w:rFonts w:ascii="Arial" w:cs="Arial" w:eastAsia="Arial" w:hAnsi="Arial"/>
          <w:sz w:val="15"/>
          <w:szCs w:val="15"/>
          <w:i w:val="1"/>
          <w:iCs w:val="1"/>
          <w:color w:val="000000"/>
        </w:rPr>
        <w:t xml:space="preserve"> </w:t>
      </w:r>
      <w:r>
        <w:rPr>
          <w:rFonts w:ascii="Arial" w:cs="Arial" w:eastAsia="Arial" w:hAnsi="Arial"/>
          <w:sz w:val="15"/>
          <w:szCs w:val="15"/>
          <w:i w:val="1"/>
          <w:iCs w:val="1"/>
          <w:u w:val="single" w:color="auto"/>
          <w:color w:val="0000FF"/>
        </w:rPr>
        <w:t>réalisée sur base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du présent article. Le Conseil</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d’administration</w:t>
      </w:r>
      <w:r>
        <w:rPr>
          <w:rFonts w:ascii="Arial" w:cs="Arial" w:eastAsia="Arial" w:hAnsi="Arial"/>
          <w:sz w:val="15"/>
          <w:szCs w:val="15"/>
          <w:i w:val="1"/>
          <w:iCs w:val="1"/>
          <w:u w:val="single" w:color="auto"/>
          <w:color w:val="0000FF"/>
        </w:rPr>
        <w:t>d’Administration</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est</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habilité</w:t>
      </w:r>
      <w:r>
        <w:rPr>
          <w:rFonts w:ascii="Arial" w:cs="Arial" w:eastAsia="Arial" w:hAnsi="Arial"/>
          <w:sz w:val="15"/>
          <w:szCs w:val="15"/>
          <w:i w:val="1"/>
          <w:iCs w:val="1"/>
          <w:u w:val="single" w:color="auto"/>
          <w:color w:val="0000FF"/>
        </w:rPr>
        <w:t>autorisé</w:t>
      </w:r>
      <w:r>
        <w:rPr>
          <w:rFonts w:ascii="Arial" w:cs="Arial" w:eastAsia="Arial" w:hAnsi="Arial"/>
          <w:sz w:val="15"/>
          <w:szCs w:val="15"/>
          <w:color w:val="FF0000"/>
        </w:rPr>
        <w:t xml:space="preserve"> </w:t>
      </w:r>
      <w:r>
        <w:rPr>
          <w:rFonts w:ascii="Arial" w:cs="Arial" w:eastAsia="Arial" w:hAnsi="Arial"/>
          <w:sz w:val="15"/>
          <w:szCs w:val="15"/>
          <w:i w:val="1"/>
          <w:iCs w:val="1"/>
          <w:color w:val="000000"/>
        </w:rPr>
        <w:t>à</w:t>
      </w:r>
      <w:r>
        <w:rPr>
          <w:rFonts w:ascii="Arial" w:cs="Arial" w:eastAsia="Arial" w:hAnsi="Arial"/>
          <w:sz w:val="15"/>
          <w:szCs w:val="15"/>
          <w:color w:val="FF0000"/>
        </w:rPr>
        <w:t xml:space="preserve"> </w:t>
      </w:r>
      <w:r>
        <w:rPr>
          <w:rFonts w:ascii="Arial" w:cs="Arial" w:eastAsia="Arial" w:hAnsi="Arial"/>
          <w:sz w:val="15"/>
          <w:szCs w:val="15"/>
          <w:color w:val="FF0000"/>
          <w:strike w:val="1"/>
        </w:rPr>
        <w:t>prendre</w:t>
      </w:r>
      <w:r>
        <w:rPr>
          <w:rFonts w:ascii="Arial" w:cs="Arial" w:eastAsia="Arial" w:hAnsi="Arial"/>
          <w:sz w:val="15"/>
          <w:szCs w:val="15"/>
          <w:i w:val="1"/>
          <w:iCs w:val="1"/>
          <w:u w:val="single" w:color="auto"/>
          <w:color w:val="0000FF"/>
        </w:rPr>
        <w:t>faire</w:t>
      </w:r>
      <w:r>
        <w:rPr>
          <w:rFonts w:ascii="Arial" w:cs="Arial" w:eastAsia="Arial" w:hAnsi="Arial"/>
          <w:sz w:val="15"/>
          <w:szCs w:val="15"/>
          <w:color w:val="FF0000"/>
        </w:rPr>
        <w:t xml:space="preserve"> </w:t>
      </w:r>
      <w:r>
        <w:rPr>
          <w:rFonts w:ascii="Arial" w:cs="Arial" w:eastAsia="Arial" w:hAnsi="Arial"/>
          <w:sz w:val="15"/>
          <w:szCs w:val="15"/>
          <w:i w:val="1"/>
          <w:iCs w:val="1"/>
          <w:color w:val="000000"/>
        </w:rPr>
        <w:t>ou à autoriser</w:t>
      </w:r>
      <w:r>
        <w:rPr>
          <w:rFonts w:ascii="Arial" w:cs="Arial" w:eastAsia="Arial" w:hAnsi="Arial"/>
          <w:sz w:val="15"/>
          <w:szCs w:val="15"/>
          <w:color w:val="FF0000"/>
        </w:rPr>
        <w:t xml:space="preserve"> </w:t>
      </w:r>
      <w:r>
        <w:rPr>
          <w:rFonts w:ascii="Arial" w:cs="Arial" w:eastAsia="Arial" w:hAnsi="Arial"/>
          <w:sz w:val="15"/>
          <w:szCs w:val="15"/>
          <w:i w:val="1"/>
          <w:iCs w:val="1"/>
          <w:u w:val="single" w:color="auto"/>
          <w:color w:val="0000FF"/>
        </w:rPr>
        <w:t>tous</w:t>
      </w:r>
      <w:r>
        <w:rPr>
          <w:rFonts w:ascii="Arial" w:cs="Arial" w:eastAsia="Arial" w:hAnsi="Arial"/>
          <w:sz w:val="15"/>
          <w:szCs w:val="15"/>
          <w:color w:val="FF0000"/>
        </w:rPr>
        <w:t xml:space="preserve"> </w:t>
      </w:r>
      <w:r>
        <w:rPr>
          <w:rFonts w:ascii="Arial" w:cs="Arial" w:eastAsia="Arial" w:hAnsi="Arial"/>
          <w:sz w:val="15"/>
          <w:szCs w:val="15"/>
          <w:i w:val="1"/>
          <w:iCs w:val="1"/>
          <w:color w:val="000000"/>
        </w:rPr>
        <w:t>les</w:t>
      </w:r>
      <w:r>
        <w:rPr>
          <w:rFonts w:ascii="Arial" w:cs="Arial" w:eastAsia="Arial" w:hAnsi="Arial"/>
          <w:sz w:val="15"/>
          <w:szCs w:val="15"/>
          <w:color w:val="FF0000"/>
        </w:rPr>
        <w:t xml:space="preserve"> </w:t>
      </w:r>
      <w:r>
        <w:rPr>
          <w:rFonts w:ascii="Arial" w:cs="Arial" w:eastAsia="Arial" w:hAnsi="Arial"/>
          <w:sz w:val="15"/>
          <w:szCs w:val="15"/>
          <w:color w:val="FF0000"/>
          <w:strike w:val="1"/>
        </w:rPr>
        <w:t>mesures nécessaires à</w:t>
      </w:r>
      <w:r>
        <w:rPr>
          <w:rFonts w:ascii="Arial" w:cs="Arial" w:eastAsia="Arial" w:hAnsi="Arial"/>
          <w:sz w:val="15"/>
          <w:szCs w:val="15"/>
          <w:i w:val="1"/>
          <w:iCs w:val="1"/>
          <w:u w:val="single" w:color="auto"/>
          <w:color w:val="0000FF"/>
        </w:rPr>
        <w:t>actes requis</w:t>
      </w:r>
      <w:r>
        <w:rPr>
          <w:rFonts w:ascii="Arial" w:cs="Arial" w:eastAsia="Arial" w:hAnsi="Arial"/>
          <w:sz w:val="15"/>
          <w:szCs w:val="15"/>
          <w:color w:val="FF0000"/>
        </w:rPr>
        <w:t xml:space="preserve"> </w:t>
      </w:r>
      <w:r>
        <w:rPr>
          <w:rFonts w:ascii="Arial" w:cs="Arial" w:eastAsia="Arial" w:hAnsi="Arial"/>
          <w:sz w:val="15"/>
          <w:szCs w:val="15"/>
          <w:i w:val="1"/>
          <w:iCs w:val="1"/>
          <w:u w:val="single" w:color="auto"/>
          <w:color w:val="0000FF"/>
        </w:rPr>
        <w:t>pour</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l’exécution et</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à</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la publication</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de cette</w:t>
      </w:r>
      <w:r>
        <w:rPr>
          <w:rFonts w:ascii="Arial" w:cs="Arial" w:eastAsia="Arial" w:hAnsi="Arial"/>
          <w:sz w:val="15"/>
          <w:szCs w:val="15"/>
          <w:i w:val="1"/>
          <w:iCs w:val="1"/>
          <w:u w:val="single" w:color="auto"/>
          <w:color w:val="0000FF"/>
        </w:rPr>
        <w:t>d’une telle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modification</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conformément à</w:t>
      </w:r>
      <w:r>
        <w:rPr>
          <w:rFonts w:ascii="Arial" w:cs="Arial" w:eastAsia="Arial" w:hAnsi="Arial"/>
          <w:sz w:val="15"/>
          <w:szCs w:val="15"/>
          <w:i w:val="1"/>
          <w:iCs w:val="1"/>
          <w:u w:val="single" w:color="auto"/>
          <w:color w:val="0000FF"/>
        </w:rPr>
        <w:t>en accord</w:t>
      </w:r>
      <w:r>
        <w:rPr>
          <w:rFonts w:ascii="Arial" w:cs="Arial" w:eastAsia="Arial" w:hAnsi="Arial"/>
          <w:sz w:val="15"/>
          <w:szCs w:val="15"/>
          <w:i w:val="1"/>
          <w:iCs w:val="1"/>
          <w:color w:val="0000FF"/>
        </w:rPr>
        <w:t xml:space="preserve"> </w:t>
      </w:r>
      <w:r>
        <w:rPr>
          <w:rFonts w:ascii="Arial" w:cs="Arial" w:eastAsia="Arial" w:hAnsi="Arial"/>
          <w:sz w:val="15"/>
          <w:szCs w:val="15"/>
          <w:i w:val="1"/>
          <w:iCs w:val="1"/>
          <w:u w:val="single" w:color="auto"/>
          <w:color w:val="0000FF"/>
        </w:rPr>
        <w:t>avec</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la</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loi. En outre,</w:t>
      </w:r>
      <w:r>
        <w:rPr>
          <w:rFonts w:ascii="Arial" w:cs="Arial" w:eastAsia="Arial" w:hAnsi="Arial"/>
          <w:sz w:val="15"/>
          <w:szCs w:val="15"/>
          <w:i w:val="1"/>
          <w:iCs w:val="1"/>
          <w:u w:val="single" w:color="auto"/>
          <w:color w:val="0000FF"/>
        </w:rPr>
        <w:t>Loi. Par ailleurs</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le Conseil</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d’administration</w:t>
      </w:r>
      <w:r>
        <w:rPr>
          <w:rFonts w:ascii="Arial" w:cs="Arial" w:eastAsia="Arial" w:hAnsi="Arial"/>
          <w:sz w:val="15"/>
          <w:szCs w:val="15"/>
          <w:i w:val="1"/>
          <w:iCs w:val="1"/>
          <w:u w:val="single" w:color="auto"/>
          <w:color w:val="0000FF"/>
        </w:rPr>
        <w:t>d’Administration</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peut</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 xml:space="preserve">déléguer à </w:t>
      </w:r>
      <w:r>
        <w:rPr>
          <w:rFonts w:ascii="Arial" w:cs="Arial" w:eastAsia="Arial" w:hAnsi="Arial"/>
          <w:sz w:val="15"/>
          <w:szCs w:val="15"/>
          <w:color w:val="FF0000"/>
          <w:strike w:val="1"/>
        </w:rPr>
        <w:t>tout</w:t>
      </w:r>
      <w:r>
        <w:rPr>
          <w:rFonts w:ascii="Arial" w:cs="Arial" w:eastAsia="Arial" w:hAnsi="Arial"/>
          <w:sz w:val="15"/>
          <w:szCs w:val="15"/>
          <w:i w:val="1"/>
          <w:iCs w:val="1"/>
          <w:u w:val="single" w:color="auto"/>
          <w:color w:val="0000FF"/>
        </w:rPr>
        <w:t>n’importe quel</w:t>
      </w:r>
      <w:r>
        <w:rPr>
          <w:rFonts w:ascii="Arial" w:cs="Arial" w:eastAsia="Arial" w:hAnsi="Arial"/>
          <w:sz w:val="15"/>
          <w:szCs w:val="15"/>
          <w:i w:val="1"/>
          <w:iCs w:val="1"/>
          <w:color w:val="000000"/>
        </w:rPr>
        <w:t xml:space="preserve"> Administrateur (tel que défini à l’article 11) ou dirigeant de la Société </w:t>
      </w:r>
      <w:r>
        <w:rPr>
          <w:rFonts w:ascii="Arial" w:cs="Arial" w:eastAsia="Arial" w:hAnsi="Arial"/>
          <w:sz w:val="15"/>
          <w:szCs w:val="15"/>
          <w:color w:val="FF0000"/>
          <w:strike w:val="1"/>
        </w:rPr>
        <w:t>dûment autorisé</w:t>
      </w:r>
      <w:r>
        <w:rPr>
          <w:rFonts w:ascii="Arial" w:cs="Arial" w:eastAsia="Arial" w:hAnsi="Arial"/>
          <w:sz w:val="15"/>
          <w:szCs w:val="15"/>
          <w:i w:val="1"/>
          <w:iCs w:val="1"/>
          <w:color w:val="000000"/>
        </w:rPr>
        <w:t xml:space="preserve">, à un comité </w:t>
      </w:r>
      <w:r>
        <w:rPr>
          <w:rFonts w:ascii="Arial" w:cs="Arial" w:eastAsia="Arial" w:hAnsi="Arial"/>
          <w:sz w:val="15"/>
          <w:szCs w:val="15"/>
          <w:color w:val="FF0000"/>
          <w:strike w:val="1"/>
        </w:rPr>
        <w:t>désigné par celle-ci</w:t>
      </w:r>
      <w:r>
        <w:rPr>
          <w:rFonts w:ascii="Arial" w:cs="Arial" w:eastAsia="Arial" w:hAnsi="Arial"/>
          <w:sz w:val="15"/>
          <w:szCs w:val="15"/>
          <w:i w:val="1"/>
          <w:iCs w:val="1"/>
          <w:u w:val="single" w:color="auto"/>
          <w:color w:val="0000FF"/>
        </w:rPr>
        <w:t>dûment mandaté</w:t>
      </w:r>
      <w:r>
        <w:rPr>
          <w:rFonts w:ascii="Arial" w:cs="Arial" w:eastAsia="Arial" w:hAnsi="Arial"/>
          <w:sz w:val="15"/>
          <w:szCs w:val="15"/>
          <w:i w:val="1"/>
          <w:iCs w:val="1"/>
          <w:color w:val="000000"/>
        </w:rPr>
        <w:t xml:space="preserve"> ou à toute </w:t>
      </w:r>
      <w:r>
        <w:rPr>
          <w:rFonts w:ascii="Arial" w:cs="Arial" w:eastAsia="Arial" w:hAnsi="Arial"/>
          <w:sz w:val="15"/>
          <w:szCs w:val="15"/>
          <w:color w:val="FF0000"/>
          <w:strike w:val="1"/>
        </w:rPr>
        <w:t>autre</w:t>
      </w:r>
      <w:r>
        <w:rPr>
          <w:rFonts w:ascii="Arial" w:cs="Arial" w:eastAsia="Arial" w:hAnsi="Arial"/>
          <w:sz w:val="15"/>
          <w:szCs w:val="15"/>
          <w:i w:val="1"/>
          <w:iCs w:val="1"/>
          <w:color w:val="000000"/>
        </w:rPr>
        <w:t xml:space="preserve"> personne dûment </w:t>
      </w:r>
      <w:r>
        <w:rPr>
          <w:rFonts w:ascii="Arial" w:cs="Arial" w:eastAsia="Arial" w:hAnsi="Arial"/>
          <w:sz w:val="15"/>
          <w:szCs w:val="15"/>
          <w:color w:val="FF0000"/>
          <w:strike w:val="1"/>
        </w:rPr>
        <w:t>autorisée, les fonctions d’acceptation des</w:t>
      </w:r>
      <w:r>
        <w:rPr>
          <w:rFonts w:ascii="Arial" w:cs="Arial" w:eastAsia="Arial" w:hAnsi="Arial"/>
          <w:sz w:val="15"/>
          <w:szCs w:val="15"/>
          <w:i w:val="1"/>
          <w:iCs w:val="1"/>
          <w:color w:val="000000"/>
        </w:rPr>
        <w:t xml:space="preserve"> </w:t>
      </w:r>
      <w:r>
        <w:rPr>
          <w:rFonts w:ascii="Arial" w:cs="Arial" w:eastAsia="Arial" w:hAnsi="Arial"/>
          <w:sz w:val="15"/>
          <w:szCs w:val="15"/>
          <w:i w:val="1"/>
          <w:iCs w:val="1"/>
          <w:u w:val="single" w:color="auto"/>
          <w:color w:val="0000FF"/>
        </w:rPr>
        <w:t>autorisé, le pouvoir d’accepter</w:t>
      </w:r>
      <w:r>
        <w:rPr>
          <w:rFonts w:ascii="Arial" w:cs="Arial" w:eastAsia="Arial" w:hAnsi="Arial"/>
          <w:sz w:val="15"/>
          <w:szCs w:val="15"/>
          <w:i w:val="1"/>
          <w:iCs w:val="1"/>
          <w:color w:val="000000"/>
        </w:rPr>
        <w:t xml:space="preserve"> </w:t>
      </w:r>
      <w:r>
        <w:rPr>
          <w:rFonts w:ascii="Arial" w:cs="Arial" w:eastAsia="Arial" w:hAnsi="Arial"/>
          <w:sz w:val="15"/>
          <w:szCs w:val="15"/>
          <w:i w:val="1"/>
          <w:iCs w:val="1"/>
          <w:u w:val="single" w:color="auto"/>
          <w:color w:val="0000FF"/>
        </w:rPr>
        <w:t>les</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souscriptions et de</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réception des paiements</w:t>
      </w:r>
      <w:r>
        <w:rPr>
          <w:rFonts w:ascii="Arial" w:cs="Arial" w:eastAsia="Arial" w:hAnsi="Arial"/>
          <w:sz w:val="15"/>
          <w:szCs w:val="15"/>
          <w:i w:val="1"/>
          <w:iCs w:val="1"/>
          <w:u w:val="single" w:color="auto"/>
          <w:color w:val="0000FF"/>
        </w:rPr>
        <w:t>recevoir paiement</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pour les Actions ou de faire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 xml:space="preserve">tout ce </w:t>
      </w:r>
      <w:r>
        <w:rPr>
          <w:rFonts w:ascii="Arial" w:cs="Arial" w:eastAsia="Arial" w:hAnsi="Arial"/>
          <w:sz w:val="15"/>
          <w:szCs w:val="15"/>
          <w:color w:val="FF0000"/>
          <w:strike w:val="1"/>
        </w:rPr>
        <w:t>qui est</w:t>
      </w:r>
      <w:r>
        <w:rPr>
          <w:rFonts w:ascii="Arial" w:cs="Arial" w:eastAsia="Arial" w:hAnsi="Arial"/>
          <w:sz w:val="15"/>
          <w:szCs w:val="15"/>
          <w:i w:val="1"/>
          <w:iCs w:val="1"/>
          <w:u w:val="single" w:color="auto"/>
          <w:color w:val="0000FF"/>
        </w:rPr>
        <w:t>qu’il sera</w:t>
      </w:r>
      <w:r>
        <w:rPr>
          <w:rFonts w:ascii="Arial" w:cs="Arial" w:eastAsia="Arial" w:hAnsi="Arial"/>
          <w:sz w:val="15"/>
          <w:szCs w:val="15"/>
          <w:i w:val="1"/>
          <w:iCs w:val="1"/>
          <w:color w:val="000000"/>
        </w:rPr>
        <w:t xml:space="preserve"> nécessaire pour modifier </w:t>
      </w:r>
      <w:r>
        <w:rPr>
          <w:rFonts w:ascii="Arial" w:cs="Arial" w:eastAsia="Arial" w:hAnsi="Arial"/>
          <w:sz w:val="15"/>
          <w:szCs w:val="15"/>
          <w:color w:val="FF0000"/>
          <w:strike w:val="1"/>
        </w:rPr>
        <w:t>les articles</w:t>
      </w:r>
      <w:r>
        <w:rPr>
          <w:rFonts w:ascii="Arial" w:cs="Arial" w:eastAsia="Arial" w:hAnsi="Arial"/>
          <w:sz w:val="15"/>
          <w:szCs w:val="15"/>
          <w:i w:val="1"/>
          <w:iCs w:val="1"/>
          <w:u w:val="single" w:color="auto"/>
          <w:color w:val="0000FF"/>
        </w:rPr>
        <w:t>l’article</w:t>
      </w:r>
      <w:r>
        <w:rPr>
          <w:rFonts w:ascii="Arial" w:cs="Arial" w:eastAsia="Arial" w:hAnsi="Arial"/>
          <w:sz w:val="15"/>
          <w:szCs w:val="15"/>
          <w:i w:val="1"/>
          <w:iCs w:val="1"/>
          <w:color w:val="000000"/>
        </w:rPr>
        <w:t xml:space="preserve"> 5 et 6 des </w:t>
      </w:r>
      <w:r>
        <w:rPr>
          <w:rFonts w:ascii="Arial" w:cs="Arial" w:eastAsia="Arial" w:hAnsi="Arial"/>
          <w:sz w:val="15"/>
          <w:szCs w:val="15"/>
          <w:color w:val="FF0000"/>
          <w:strike w:val="1"/>
        </w:rPr>
        <w:t>présents</w:t>
      </w:r>
      <w:r>
        <w:rPr>
          <w:rFonts w:ascii="Arial" w:cs="Arial" w:eastAsia="Arial" w:hAnsi="Arial"/>
          <w:sz w:val="15"/>
          <w:szCs w:val="15"/>
          <w:i w:val="1"/>
          <w:iCs w:val="1"/>
          <w:color w:val="000000"/>
        </w:rPr>
        <w:t xml:space="preserve"> Statuts afin </w:t>
      </w:r>
      <w:r>
        <w:rPr>
          <w:rFonts w:ascii="Arial" w:cs="Arial" w:eastAsia="Arial" w:hAnsi="Arial"/>
          <w:sz w:val="15"/>
          <w:szCs w:val="15"/>
          <w:color w:val="FF0000"/>
          <w:strike w:val="1"/>
        </w:rPr>
        <w:t>d’enregistrer</w:t>
      </w:r>
      <w:r>
        <w:rPr>
          <w:rFonts w:ascii="Arial" w:cs="Arial" w:eastAsia="Arial" w:hAnsi="Arial"/>
          <w:sz w:val="15"/>
          <w:szCs w:val="15"/>
          <w:i w:val="1"/>
          <w:iCs w:val="1"/>
          <w:u w:val="single" w:color="auto"/>
          <w:color w:val="0000FF"/>
        </w:rPr>
        <w:t>de constater</w:t>
      </w:r>
      <w:r>
        <w:rPr>
          <w:rFonts w:ascii="Arial" w:cs="Arial" w:eastAsia="Arial" w:hAnsi="Arial"/>
          <w:sz w:val="15"/>
          <w:szCs w:val="15"/>
          <w:i w:val="1"/>
          <w:iCs w:val="1"/>
          <w:color w:val="000000"/>
        </w:rPr>
        <w:t xml:space="preserve"> la modification </w:t>
      </w:r>
      <w:r>
        <w:rPr>
          <w:rFonts w:ascii="Arial" w:cs="Arial" w:eastAsia="Arial" w:hAnsi="Arial"/>
          <w:sz w:val="15"/>
          <w:szCs w:val="15"/>
          <w:color w:val="FF0000"/>
          <w:strike w:val="1"/>
        </w:rPr>
        <w:t>du capital social</w:t>
      </w:r>
      <w:r>
        <w:rPr>
          <w:rFonts w:ascii="Arial" w:cs="Arial" w:eastAsia="Arial" w:hAnsi="Arial"/>
          <w:sz w:val="15"/>
          <w:szCs w:val="15"/>
          <w:i w:val="1"/>
          <w:iCs w:val="1"/>
          <w:color w:val="000000"/>
        </w:rPr>
        <w:t xml:space="preserve"> </w:t>
      </w:r>
      <w:r>
        <w:rPr>
          <w:rFonts w:ascii="Arial" w:cs="Arial" w:eastAsia="Arial" w:hAnsi="Arial"/>
          <w:sz w:val="15"/>
          <w:szCs w:val="15"/>
          <w:i w:val="1"/>
          <w:iCs w:val="1"/>
          <w:u w:val="single" w:color="auto"/>
          <w:color w:val="0000FF"/>
        </w:rPr>
        <w:t>des Statuts</w:t>
      </w:r>
      <w:r>
        <w:rPr>
          <w:rFonts w:ascii="Arial" w:cs="Arial" w:eastAsia="Arial" w:hAnsi="Arial"/>
          <w:sz w:val="15"/>
          <w:szCs w:val="15"/>
          <w:i w:val="1"/>
          <w:iCs w:val="1"/>
          <w:color w:val="000000"/>
        </w:rPr>
        <w:t xml:space="preserve"> à la suite d’une augmentation </w:t>
      </w:r>
      <w:r>
        <w:rPr>
          <w:rFonts w:ascii="Arial" w:cs="Arial" w:eastAsia="Arial" w:hAnsi="Arial"/>
          <w:sz w:val="15"/>
          <w:szCs w:val="15"/>
          <w:color w:val="FF0000"/>
          <w:strike w:val="1"/>
        </w:rPr>
        <w:t>en vertu du</w:t>
      </w:r>
      <w:r>
        <w:rPr>
          <w:rFonts w:ascii="Arial" w:cs="Arial" w:eastAsia="Arial" w:hAnsi="Arial"/>
          <w:sz w:val="15"/>
          <w:szCs w:val="15"/>
          <w:i w:val="1"/>
          <w:iCs w:val="1"/>
          <w:u w:val="single" w:color="auto"/>
          <w:color w:val="0000FF"/>
        </w:rPr>
        <w:t>de capital réalisée conformément au</w:t>
      </w:r>
      <w:r>
        <w:rPr>
          <w:rFonts w:ascii="Arial" w:cs="Arial" w:eastAsia="Arial" w:hAnsi="Arial"/>
          <w:sz w:val="15"/>
          <w:szCs w:val="15"/>
          <w:i w:val="1"/>
          <w:iCs w:val="1"/>
          <w:color w:val="000000"/>
        </w:rPr>
        <w:t xml:space="preserve"> </w:t>
      </w:r>
      <w:r>
        <w:rPr>
          <w:rFonts w:ascii="Arial" w:cs="Arial" w:eastAsia="Arial" w:hAnsi="Arial"/>
          <w:sz w:val="15"/>
          <w:szCs w:val="15"/>
          <w:color w:val="000000"/>
        </w:rPr>
        <w:t>présent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-3056890</wp:posOffset>
            </wp:positionV>
            <wp:extent cx="10668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06680" cy="6985"/>
                    </a:xfrm>
                    <a:prstGeom prst="rect">
                      <a:avLst/>
                    </a:prstGeom>
                    <a:noFill/>
                  </pic:spPr>
                </pic:pic>
              </a:graphicData>
            </a:graphic>
          </wp:anchor>
        </w:drawing>
      </w:r>
    </w:p>
    <w:p>
      <w:pPr>
        <w:spacing w:after="0" w:line="71" w:lineRule="exact"/>
        <w:rPr>
          <w:sz w:val="20"/>
          <w:szCs w:val="20"/>
          <w:color w:val="auto"/>
        </w:rPr>
      </w:pPr>
    </w:p>
    <w:p>
      <w:pPr>
        <w:ind w:left="1060" w:right="1099"/>
        <w:spacing w:after="0" w:line="253" w:lineRule="auto"/>
        <w:rPr>
          <w:sz w:val="20"/>
          <w:szCs w:val="20"/>
          <w:color w:val="auto"/>
        </w:rPr>
      </w:pPr>
      <w:r>
        <w:rPr>
          <w:rFonts w:ascii="Arial" w:cs="Arial" w:eastAsia="Arial" w:hAnsi="Arial"/>
          <w:sz w:val="15"/>
          <w:szCs w:val="15"/>
          <w:i w:val="1"/>
          <w:iCs w:val="1"/>
          <w:color w:val="auto"/>
        </w:rPr>
        <w:t xml:space="preserve">Après chaque augmentation du capital social émis </w:t>
      </w:r>
      <w:r>
        <w:rPr>
          <w:rFonts w:ascii="Arial" w:cs="Arial" w:eastAsia="Arial" w:hAnsi="Arial"/>
          <w:sz w:val="15"/>
          <w:szCs w:val="15"/>
          <w:color w:val="FF0000"/>
          <w:strike w:val="1"/>
        </w:rPr>
        <w:t>conformément à ce qui précède</w:t>
      </w:r>
      <w:r>
        <w:rPr>
          <w:rFonts w:ascii="Arial" w:cs="Arial" w:eastAsia="Arial" w:hAnsi="Arial"/>
          <w:sz w:val="15"/>
          <w:szCs w:val="15"/>
          <w:i w:val="1"/>
          <w:iCs w:val="1"/>
          <w:u w:val="single" w:color="auto"/>
          <w:color w:val="0000FF"/>
        </w:rPr>
        <w:t>comme décrit ci-dessus</w:t>
      </w:r>
      <w:r>
        <w:rPr>
          <w:rFonts w:ascii="Arial" w:cs="Arial" w:eastAsia="Arial" w:hAnsi="Arial"/>
          <w:sz w:val="15"/>
          <w:szCs w:val="15"/>
          <w:i w:val="1"/>
          <w:iCs w:val="1"/>
          <w:color w:val="000000"/>
        </w:rPr>
        <w:t>, les présents Statuts</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seront</w:t>
      </w:r>
      <w:r>
        <w:rPr>
          <w:rFonts w:ascii="Arial" w:cs="Arial" w:eastAsia="Arial" w:hAnsi="Arial"/>
          <w:sz w:val="15"/>
          <w:szCs w:val="15"/>
          <w:i w:val="1"/>
          <w:iCs w:val="1"/>
          <w:u w:val="single" w:color="auto"/>
          <w:color w:val="0000FF"/>
        </w:rPr>
        <w:t>devront être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modifiés pour refléter</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cette</w:t>
      </w:r>
      <w:r>
        <w:rPr>
          <w:rFonts w:ascii="Arial" w:cs="Arial" w:eastAsia="Arial" w:hAnsi="Arial"/>
          <w:sz w:val="15"/>
          <w:szCs w:val="15"/>
          <w:i w:val="1"/>
          <w:iCs w:val="1"/>
          <w:u w:val="single" w:color="auto"/>
          <w:color w:val="0000FF"/>
        </w:rPr>
        <w:t>une telle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augmentation</w:t>
      </w:r>
      <w:r>
        <w:rPr>
          <w:rFonts w:ascii="Arial" w:cs="Arial" w:eastAsia="Arial" w:hAnsi="Arial"/>
          <w:sz w:val="15"/>
          <w:szCs w:val="15"/>
          <w:i w:val="1"/>
          <w:iCs w:val="1"/>
          <w:u w:val="single" w:color="auto"/>
          <w:color w:val="0000FF"/>
        </w:rPr>
        <w:t>,</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 xml:space="preserve">sans </w:t>
      </w:r>
      <w:r>
        <w:rPr>
          <w:rFonts w:ascii="Arial" w:cs="Arial" w:eastAsia="Arial" w:hAnsi="Arial"/>
          <w:sz w:val="15"/>
          <w:szCs w:val="15"/>
          <w:color w:val="FF0000"/>
          <w:strike w:val="1"/>
        </w:rPr>
        <w:t>qu’il soit nécessaire d’obtenir une nouvelle approbation</w:t>
      </w:r>
      <w:r>
        <w:rPr>
          <w:rFonts w:ascii="Arial" w:cs="Arial" w:eastAsia="Arial" w:hAnsi="Arial"/>
          <w:sz w:val="15"/>
          <w:szCs w:val="15"/>
          <w:i w:val="1"/>
          <w:iCs w:val="1"/>
          <w:u w:val="single" w:color="auto"/>
          <w:color w:val="0000FF"/>
        </w:rPr>
        <w:t>nécessiter l’approbation</w:t>
      </w:r>
      <w:r>
        <w:rPr>
          <w:rFonts w:ascii="Arial" w:cs="Arial" w:eastAsia="Arial" w:hAnsi="Arial"/>
          <w:sz w:val="15"/>
          <w:szCs w:val="15"/>
          <w:i w:val="1"/>
          <w:iCs w:val="1"/>
          <w:color w:val="000000"/>
        </w:rPr>
        <w:t xml:space="preserve"> </w:t>
      </w:r>
      <w:r>
        <w:rPr>
          <w:rFonts w:ascii="Arial" w:cs="Arial" w:eastAsia="Arial" w:hAnsi="Arial"/>
          <w:sz w:val="15"/>
          <w:szCs w:val="15"/>
          <w:i w:val="1"/>
          <w:iCs w:val="1"/>
          <w:u w:val="single" w:color="auto"/>
          <w:color w:val="0000FF"/>
        </w:rPr>
        <w:t>additionnelle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des actionnaires de la Société.</w:t>
      </w:r>
    </w:p>
    <w:p>
      <w:pPr>
        <w:spacing w:after="0" w:line="87" w:lineRule="exact"/>
        <w:rPr>
          <w:sz w:val="20"/>
          <w:szCs w:val="20"/>
          <w:color w:val="auto"/>
        </w:rPr>
      </w:pPr>
    </w:p>
    <w:p>
      <w:pPr>
        <w:ind w:left="1060" w:right="1099"/>
        <w:spacing w:after="0" w:line="288" w:lineRule="auto"/>
        <w:rPr>
          <w:sz w:val="20"/>
          <w:szCs w:val="20"/>
          <w:color w:val="auto"/>
        </w:rPr>
      </w:pPr>
      <w:r>
        <w:rPr>
          <w:rFonts w:ascii="Arial" w:cs="Arial" w:eastAsia="Arial" w:hAnsi="Arial"/>
          <w:sz w:val="15"/>
          <w:szCs w:val="15"/>
          <w:b w:val="1"/>
          <w:bCs w:val="1"/>
          <w:i w:val="1"/>
          <w:iCs w:val="1"/>
          <w:color w:val="auto"/>
        </w:rPr>
        <w:t xml:space="preserve">Art. 7. Actions. </w:t>
      </w:r>
      <w:r>
        <w:rPr>
          <w:rFonts w:ascii="Arial" w:cs="Arial" w:eastAsia="Arial" w:hAnsi="Arial"/>
          <w:sz w:val="15"/>
          <w:szCs w:val="15"/>
          <w:i w:val="1"/>
          <w:iCs w:val="1"/>
          <w:color w:val="auto"/>
        </w:rPr>
        <w:t>Chaque Action sera et restera sous forme nominale. Les actionnaires n’auront pas le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droit de demander la conversion des actions en Actions au porteur.</w:t>
      </w:r>
    </w:p>
    <w:p>
      <w:pPr>
        <w:spacing w:after="0" w:line="61" w:lineRule="exact"/>
        <w:rPr>
          <w:sz w:val="20"/>
          <w:szCs w:val="20"/>
          <w:color w:val="auto"/>
        </w:rPr>
      </w:pPr>
    </w:p>
    <w:p>
      <w:pPr>
        <w:ind w:left="1060" w:right="1299"/>
        <w:spacing w:after="0" w:line="253" w:lineRule="auto"/>
        <w:rPr>
          <w:sz w:val="20"/>
          <w:szCs w:val="20"/>
          <w:color w:val="auto"/>
        </w:rPr>
      </w:pPr>
      <w:r>
        <w:rPr>
          <w:rFonts w:ascii="Arial" w:cs="Arial" w:eastAsia="Arial" w:hAnsi="Arial"/>
          <w:sz w:val="15"/>
          <w:szCs w:val="15"/>
          <w:i w:val="1"/>
          <w:iCs w:val="1"/>
          <w:color w:val="auto"/>
        </w:rPr>
        <w:t>Un registre des actions sera disponible pour consultation par les actionnaires de la Société au siège social de la Société conformément aux dispositions de l’Article 430-3 de la Loi et moyennant un préavis raisonnable. Chaque actionnaire a le droit de consulter le registre pendant les heures ouvrables normales conformément aux dispositions de la Loi.</w:t>
      </w:r>
    </w:p>
    <w:p>
      <w:pPr>
        <w:spacing w:after="0" w:line="87"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Chaque actionnaire notifiera à la Société tout changement d’adresse par voie de lettre recommandée.</w:t>
      </w:r>
    </w:p>
    <w:p>
      <w:pPr>
        <w:spacing w:after="0" w:line="11"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La Société pourra se prévaloir de la dernière adresse ainsi communiquée.</w:t>
      </w:r>
    </w:p>
    <w:p>
      <w:pPr>
        <w:spacing w:after="0" w:line="108"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La propriété des Actions résultera des inscriptions contenues dans ledit registre.</w:t>
      </w:r>
    </w:p>
    <w:p>
      <w:pPr>
        <w:spacing w:after="0" w:line="122" w:lineRule="exact"/>
        <w:rPr>
          <w:sz w:val="20"/>
          <w:szCs w:val="20"/>
          <w:color w:val="auto"/>
        </w:rPr>
      </w:pPr>
    </w:p>
    <w:p>
      <w:pPr>
        <w:ind w:left="1060" w:right="1359"/>
        <w:spacing w:after="0" w:line="262" w:lineRule="auto"/>
        <w:rPr>
          <w:sz w:val="20"/>
          <w:szCs w:val="20"/>
          <w:color w:val="auto"/>
        </w:rPr>
      </w:pPr>
      <w:r>
        <w:rPr>
          <w:rFonts w:ascii="Arial" w:cs="Arial" w:eastAsia="Arial" w:hAnsi="Arial"/>
          <w:sz w:val="15"/>
          <w:szCs w:val="15"/>
          <w:i w:val="1"/>
          <w:iCs w:val="1"/>
          <w:color w:val="auto"/>
        </w:rPr>
        <w:t>Toute personne qui est tenue de déclarer la propriété des Actions sur l’Annexe 13D ou 13G conformément à la Règle 13d-1 ou les changements dans cette propriété conformément à la Règle 13d-2, chacune telle qu’elle a été</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5" w:name="page76"/>
    <w:bookmarkEnd w:id="75"/>
    <w:p>
      <w:pPr>
        <w:ind w:left="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60" w:right="1639"/>
        <w:spacing w:after="0" w:line="245" w:lineRule="auto"/>
        <w:rPr>
          <w:sz w:val="20"/>
          <w:szCs w:val="20"/>
          <w:color w:val="auto"/>
        </w:rPr>
      </w:pPr>
      <w:r>
        <w:rPr>
          <w:rFonts w:ascii="Arial" w:cs="Arial" w:eastAsia="Arial" w:hAnsi="Arial"/>
          <w:sz w:val="15"/>
          <w:szCs w:val="15"/>
          <w:i w:val="1"/>
          <w:iCs w:val="1"/>
          <w:color w:val="auto"/>
        </w:rPr>
        <w:t>promulguée par la Securities and Exchange Commission des États-Unis en vertu du Securities Exchange Act de 1934, tel que modifié, doit notifier au Conseil d’Administration de la Société</w:t>
      </w:r>
    </w:p>
    <w:p>
      <w:pPr>
        <w:spacing w:after="0" w:line="1" w:lineRule="exact"/>
        <w:rPr>
          <w:sz w:val="20"/>
          <w:szCs w:val="20"/>
          <w:color w:val="auto"/>
        </w:rPr>
      </w:pPr>
    </w:p>
    <w:p>
      <w:pPr>
        <w:jc w:val="both"/>
        <w:ind w:left="1060" w:right="1239"/>
        <w:spacing w:after="0" w:line="228" w:lineRule="auto"/>
        <w:rPr>
          <w:sz w:val="20"/>
          <w:szCs w:val="20"/>
          <w:color w:val="auto"/>
        </w:rPr>
      </w:pPr>
      <w:r>
        <w:rPr>
          <w:rFonts w:ascii="Arial" w:cs="Arial" w:eastAsia="Arial" w:hAnsi="Arial"/>
          <w:sz w:val="15"/>
          <w:szCs w:val="15"/>
          <w:i w:val="1"/>
          <w:iCs w:val="1"/>
          <w:color w:val="auto"/>
        </w:rPr>
        <w:t>immédiatement après une acquisition ou une disposition à des fins déclarables et, en aucun cas plus tard que la date de dépôt de cette annexe 13D ou 13G, la proportion d’Actions détenue par la</w:t>
      </w:r>
    </w:p>
    <w:p>
      <w:pPr>
        <w:ind w:left="1060"/>
        <w:spacing w:after="0"/>
        <w:rPr>
          <w:sz w:val="20"/>
          <w:szCs w:val="20"/>
          <w:color w:val="auto"/>
        </w:rPr>
      </w:pPr>
      <w:r>
        <w:rPr>
          <w:rFonts w:ascii="Arial" w:cs="Arial" w:eastAsia="Arial" w:hAnsi="Arial"/>
          <w:sz w:val="15"/>
          <w:szCs w:val="15"/>
          <w:i w:val="1"/>
          <w:iCs w:val="1"/>
          <w:color w:val="auto"/>
        </w:rPr>
        <w:t>personne concernée suite à l’acquisition ou la disposition.</w:t>
      </w:r>
    </w:p>
    <w:p>
      <w:pPr>
        <w:spacing w:after="0" w:line="96" w:lineRule="exact"/>
        <w:rPr>
          <w:sz w:val="20"/>
          <w:szCs w:val="20"/>
          <w:color w:val="auto"/>
        </w:rPr>
      </w:pPr>
    </w:p>
    <w:p>
      <w:pPr>
        <w:jc w:val="both"/>
        <w:ind w:left="1060" w:right="1239"/>
        <w:spacing w:after="0" w:line="254" w:lineRule="auto"/>
        <w:rPr>
          <w:sz w:val="20"/>
          <w:szCs w:val="20"/>
          <w:color w:val="auto"/>
        </w:rPr>
      </w:pPr>
      <w:r>
        <w:rPr>
          <w:rFonts w:ascii="Arial" w:cs="Arial" w:eastAsia="Arial" w:hAnsi="Arial"/>
          <w:sz w:val="15"/>
          <w:szCs w:val="15"/>
          <w:i w:val="1"/>
          <w:iCs w:val="1"/>
          <w:color w:val="auto"/>
        </w:rPr>
        <w:t>Tout transfert d’Actions devra être inscrit au registre des actions conformément à la loi applicable. Le Conseil d’Administration de la Société peut déléguer ses pouvoirs en ce qui concerne l’inscription de ces transferts dans le registre des actions.</w:t>
      </w:r>
    </w:p>
    <w:p>
      <w:pPr>
        <w:spacing w:after="0" w:line="86" w:lineRule="exact"/>
        <w:rPr>
          <w:sz w:val="20"/>
          <w:szCs w:val="20"/>
          <w:color w:val="auto"/>
        </w:rPr>
      </w:pPr>
    </w:p>
    <w:p>
      <w:pPr>
        <w:ind w:left="1060" w:right="1139"/>
        <w:spacing w:after="0" w:line="253" w:lineRule="auto"/>
        <w:rPr>
          <w:sz w:val="20"/>
          <w:szCs w:val="20"/>
          <w:color w:val="auto"/>
        </w:rPr>
      </w:pPr>
      <w:r>
        <w:rPr>
          <w:rFonts w:ascii="Arial" w:cs="Arial" w:eastAsia="Arial" w:hAnsi="Arial"/>
          <w:sz w:val="15"/>
          <w:szCs w:val="15"/>
          <w:i w:val="1"/>
          <w:iCs w:val="1"/>
          <w:color w:val="auto"/>
        </w:rPr>
        <w:t>Chaque Action est indivisible. En cas de détention d’une Action par plus d’une personne, la Société a le droit de suspendre les droits attachés (à l’exception des droits d’information prévus par l’article 461-6 de la Loi) jusqu’à ce qu’une seule personne ait été désignée comme son détenteur envers la Société.</w:t>
      </w:r>
    </w:p>
    <w:p>
      <w:pPr>
        <w:spacing w:after="0" w:line="87" w:lineRule="exact"/>
        <w:rPr>
          <w:sz w:val="20"/>
          <w:szCs w:val="20"/>
          <w:color w:val="auto"/>
        </w:rPr>
      </w:pPr>
    </w:p>
    <w:p>
      <w:pPr>
        <w:ind w:left="1060" w:right="1099"/>
        <w:spacing w:after="0" w:line="244" w:lineRule="auto"/>
        <w:rPr>
          <w:sz w:val="20"/>
          <w:szCs w:val="20"/>
          <w:color w:val="auto"/>
        </w:rPr>
      </w:pPr>
      <w:r>
        <w:rPr>
          <w:rFonts w:ascii="Arial" w:cs="Arial" w:eastAsia="Arial" w:hAnsi="Arial"/>
          <w:sz w:val="15"/>
          <w:szCs w:val="15"/>
          <w:i w:val="1"/>
          <w:iCs w:val="1"/>
          <w:color w:val="auto"/>
        </w:rPr>
        <w:t>Lorsque les Actions sont enregistrées dans le registre des actionnaires au nom d’une ou plusieurs personnes sous le nom d’un système de règlement des titres ou d’un opérateur d’un tel système de règlement des titres ou d’un opérateur d’un tel système ou au nom d’un dépositaire professionnel de titres ou de tout autre dépositaire (ces systèmes, professionnels et autres dépositaires étant ci-après définis comme étant des “</w:t>
      </w:r>
      <w:r>
        <w:rPr>
          <w:rFonts w:ascii="Arial" w:cs="Arial" w:eastAsia="Arial" w:hAnsi="Arial"/>
          <w:sz w:val="15"/>
          <w:szCs w:val="15"/>
          <w:b w:val="1"/>
          <w:bCs w:val="1"/>
          <w:i w:val="1"/>
          <w:iCs w:val="1"/>
          <w:color w:val="auto"/>
        </w:rPr>
        <w:t>Dépositaires</w:t>
      </w:r>
      <w:r>
        <w:rPr>
          <w:rFonts w:ascii="Arial" w:cs="Arial" w:eastAsia="Arial" w:hAnsi="Arial"/>
          <w:sz w:val="15"/>
          <w:szCs w:val="15"/>
          <w:i w:val="1"/>
          <w:iCs w:val="1"/>
          <w:color w:val="auto"/>
        </w:rPr>
        <w:t>” et individuellement un “</w:t>
      </w:r>
      <w:r>
        <w:rPr>
          <w:rFonts w:ascii="Arial" w:cs="Arial" w:eastAsia="Arial" w:hAnsi="Arial"/>
          <w:sz w:val="15"/>
          <w:szCs w:val="15"/>
          <w:b w:val="1"/>
          <w:bCs w:val="1"/>
          <w:i w:val="1"/>
          <w:iCs w:val="1"/>
          <w:color w:val="auto"/>
        </w:rPr>
        <w:t>Dépositaire</w:t>
      </w:r>
      <w:r>
        <w:rPr>
          <w:rFonts w:ascii="Arial" w:cs="Arial" w:eastAsia="Arial" w:hAnsi="Arial"/>
          <w:sz w:val="15"/>
          <w:szCs w:val="15"/>
          <w:i w:val="1"/>
          <w:iCs w:val="1"/>
          <w:color w:val="auto"/>
        </w:rPr>
        <w:t>”) ou d’un sous-dépositaire désigné par un ou plusieurs Dépositaires(les “</w:t>
      </w:r>
      <w:r>
        <w:rPr>
          <w:rFonts w:ascii="Arial" w:cs="Arial" w:eastAsia="Arial" w:hAnsi="Arial"/>
          <w:sz w:val="15"/>
          <w:szCs w:val="15"/>
          <w:b w:val="1"/>
          <w:bCs w:val="1"/>
          <w:i w:val="1"/>
          <w:iCs w:val="1"/>
          <w:color w:val="auto"/>
        </w:rPr>
        <w:t>Détenteurs Indirects</w:t>
      </w:r>
      <w:r>
        <w:rPr>
          <w:rFonts w:ascii="Arial" w:cs="Arial" w:eastAsia="Arial" w:hAnsi="Arial"/>
          <w:sz w:val="15"/>
          <w:szCs w:val="15"/>
          <w:i w:val="1"/>
          <w:iCs w:val="1"/>
          <w:color w:val="auto"/>
        </w:rPr>
        <w:t>”), la Société, à condition d’avoir reçu un certificat en bonne et due forme du Dépositaire qui garde les Actions, permettra aux Détenteurs Indirects d’exercer les droits attachés à ces Actions, y compris l’admission et le vote aux assemblées générales, et considérera ces personnes comme étant des actionnaires pour les besoins de l’article 9. Le Conseil d’Administration peut déterminer les conditions formelles auxquelles ces certificats doivent se conformer.</w:t>
      </w:r>
    </w:p>
    <w:p>
      <w:pPr>
        <w:spacing w:after="0" w:line="96" w:lineRule="exact"/>
        <w:rPr>
          <w:sz w:val="20"/>
          <w:szCs w:val="20"/>
          <w:color w:val="auto"/>
        </w:rPr>
      </w:pPr>
    </w:p>
    <w:p>
      <w:pPr>
        <w:ind w:left="1060" w:right="1099"/>
        <w:spacing w:after="0" w:line="253" w:lineRule="auto"/>
        <w:rPr>
          <w:sz w:val="20"/>
          <w:szCs w:val="20"/>
          <w:color w:val="auto"/>
        </w:rPr>
      </w:pPr>
      <w:r>
        <w:rPr>
          <w:rFonts w:ascii="Arial" w:cs="Arial" w:eastAsia="Arial" w:hAnsi="Arial"/>
          <w:sz w:val="15"/>
          <w:szCs w:val="15"/>
          <w:i w:val="1"/>
          <w:iCs w:val="1"/>
          <w:color w:val="auto"/>
        </w:rPr>
        <w:t>Nonobstant ce qui précède, la Société fera des paiements, sous forme de dividendes ou autrement, en espèces, actions ou tout autre actif, uniquement dans les mains du Dépositaire ou du sous-dépositaire inscrit au registre des actions de la Société ou conformément à leurs instructions, et ce paiement libérera la Société de toutes ses obligations relatives à celui-ci.</w:t>
      </w:r>
    </w:p>
    <w:p>
      <w:pPr>
        <w:spacing w:after="0" w:line="87" w:lineRule="exact"/>
        <w:rPr>
          <w:sz w:val="20"/>
          <w:szCs w:val="20"/>
          <w:color w:val="auto"/>
        </w:rPr>
      </w:pPr>
    </w:p>
    <w:p>
      <w:pPr>
        <w:ind w:left="1060" w:right="1139"/>
        <w:spacing w:after="0" w:line="253" w:lineRule="auto"/>
        <w:rPr>
          <w:sz w:val="20"/>
          <w:szCs w:val="20"/>
          <w:color w:val="auto"/>
        </w:rPr>
      </w:pPr>
      <w:r>
        <w:rPr>
          <w:rFonts w:ascii="Arial" w:cs="Arial" w:eastAsia="Arial" w:hAnsi="Arial"/>
          <w:sz w:val="15"/>
          <w:szCs w:val="15"/>
          <w:b w:val="1"/>
          <w:bCs w:val="1"/>
          <w:i w:val="1"/>
          <w:iCs w:val="1"/>
          <w:color w:val="auto"/>
        </w:rPr>
        <w:t xml:space="preserve">Art. 8. Paiement des Actions. </w:t>
      </w:r>
      <w:r>
        <w:rPr>
          <w:rFonts w:ascii="Arial" w:cs="Arial" w:eastAsia="Arial" w:hAnsi="Arial"/>
          <w:sz w:val="15"/>
          <w:szCs w:val="15"/>
          <w:i w:val="1"/>
          <w:iCs w:val="1"/>
          <w:color w:val="auto"/>
        </w:rPr>
        <w:t>Les paiements sur les Actions non entièrement libérés à la date de la</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souscription devront être effectués au moment et selon les conditions qui seront fixées de périodiquement par le Conseil d’Administration, conformément à la Loi. Toute somme appelée sur les Actions sera prélevée également sur toutes les Actions non encore libérées.</w:t>
      </w:r>
    </w:p>
    <w:p>
      <w:pPr>
        <w:spacing w:after="0" w:line="87" w:lineRule="exact"/>
        <w:rPr>
          <w:sz w:val="20"/>
          <w:szCs w:val="20"/>
          <w:color w:val="auto"/>
        </w:rPr>
      </w:pPr>
    </w:p>
    <w:p>
      <w:pPr>
        <w:ind w:left="1060" w:right="1079"/>
        <w:spacing w:after="0" w:line="245" w:lineRule="auto"/>
        <w:rPr>
          <w:sz w:val="20"/>
          <w:szCs w:val="20"/>
          <w:color w:val="auto"/>
        </w:rPr>
      </w:pPr>
      <w:r>
        <w:rPr>
          <w:rFonts w:ascii="Arial" w:cs="Arial" w:eastAsia="Arial" w:hAnsi="Arial"/>
          <w:sz w:val="15"/>
          <w:szCs w:val="15"/>
          <w:b w:val="1"/>
          <w:bCs w:val="1"/>
          <w:i w:val="1"/>
          <w:iCs w:val="1"/>
          <w:color w:val="auto"/>
        </w:rPr>
        <w:t xml:space="preserve">Art. 9. Augmentation et Réduction du Capital Social. </w:t>
      </w:r>
      <w:r>
        <w:rPr>
          <w:rFonts w:ascii="Arial" w:cs="Arial" w:eastAsia="Arial" w:hAnsi="Arial"/>
          <w:sz w:val="15"/>
          <w:szCs w:val="15"/>
          <w:i w:val="1"/>
          <w:iCs w:val="1"/>
          <w:color w:val="auto"/>
        </w:rPr>
        <w:t>Le capital social émis et le capital social</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autorisé de la Société peut être augmenté ou réduit, en une ou en plusieurs fois, par résolution de l’assemblée générale des actionnaires votant aux conditions de quorum et de majorité déterminées par ces Statuts ou, le cas échéant, par la Loi pour toute modification des statuts. À moins d’être émises en vertu d’une décision du Conseil d’Administration ou d’un représentant dûment autorisé de celui-ci, suite aux pouvoirs conférés au Conseil d’Administration, des articles 5 et 6, les nouvelles Actions devant être souscrites par un apport en numéraire seront proposées par préférence aux actionnaires existants, au prorata de la part du capital social détenue par ces actionnaires. Le Conseil d’Administration, déterminera le délai dans lequel le droit préférentiel de souscription devra être exercé. Ce délai ne pourra pas être inférieur à trente (30) jours.</w:t>
      </w:r>
    </w:p>
    <w:p>
      <w:pPr>
        <w:spacing w:after="0" w:line="94" w:lineRule="exact"/>
        <w:rPr>
          <w:sz w:val="20"/>
          <w:szCs w:val="20"/>
          <w:color w:val="auto"/>
        </w:rPr>
      </w:pPr>
    </w:p>
    <w:p>
      <w:pPr>
        <w:ind w:left="1060" w:right="1119"/>
        <w:spacing w:after="0" w:line="253" w:lineRule="auto"/>
        <w:rPr>
          <w:sz w:val="20"/>
          <w:szCs w:val="20"/>
          <w:color w:val="auto"/>
        </w:rPr>
      </w:pPr>
      <w:r>
        <w:rPr>
          <w:rFonts w:ascii="Arial" w:cs="Arial" w:eastAsia="Arial" w:hAnsi="Arial"/>
          <w:sz w:val="15"/>
          <w:szCs w:val="15"/>
          <w:i w:val="1"/>
          <w:iCs w:val="1"/>
          <w:color w:val="auto"/>
        </w:rPr>
        <w:t>Nonobstant ce qui précède, l’assemblée générale des actionnaires, votant aux conditions de quorum et de majorité requises pour toute modification des Statuts pourra limiter ou révoquer le droit préférentiel de souscription, ou autoriser le Conseil d’Administration à agir ainsi en cas d’augmentation du capital social dans le cadre du capital autorisé.</w:t>
      </w:r>
    </w:p>
    <w:p>
      <w:pPr>
        <w:spacing w:after="0" w:line="87" w:lineRule="exact"/>
        <w:rPr>
          <w:sz w:val="20"/>
          <w:szCs w:val="20"/>
          <w:color w:val="auto"/>
        </w:rPr>
      </w:pPr>
    </w:p>
    <w:p>
      <w:pPr>
        <w:ind w:left="1060" w:right="1119"/>
        <w:spacing w:after="0" w:line="253" w:lineRule="auto"/>
        <w:rPr>
          <w:sz w:val="20"/>
          <w:szCs w:val="20"/>
          <w:color w:val="auto"/>
        </w:rPr>
      </w:pPr>
      <w:r>
        <w:rPr>
          <w:rFonts w:ascii="Arial" w:cs="Arial" w:eastAsia="Arial" w:hAnsi="Arial"/>
          <w:sz w:val="15"/>
          <w:szCs w:val="15"/>
          <w:i w:val="1"/>
          <w:iCs w:val="1"/>
          <w:color w:val="auto"/>
        </w:rPr>
        <w:t>Le droit préférentiel de souscription pourra aussi être révoqué individuellement par les actionnaires, ou par l’assemblée générale, votant aux conditions de quorum et de majorité requises pour les modifications des Statuts et à la condition que la suppression du droit de souscription préférentiel soit expressément mentionnée dans la liste des actionnaires présents.</w:t>
      </w:r>
    </w:p>
    <w:p>
      <w:pPr>
        <w:spacing w:after="0" w:line="87" w:lineRule="exact"/>
        <w:rPr>
          <w:sz w:val="20"/>
          <w:szCs w:val="20"/>
          <w:color w:val="auto"/>
        </w:rPr>
      </w:pPr>
    </w:p>
    <w:p>
      <w:pPr>
        <w:ind w:left="1060" w:right="1419"/>
        <w:spacing w:after="0" w:line="272" w:lineRule="auto"/>
        <w:rPr>
          <w:sz w:val="20"/>
          <w:szCs w:val="20"/>
          <w:color w:val="auto"/>
        </w:rPr>
      </w:pPr>
      <w:r>
        <w:rPr>
          <w:rFonts w:ascii="Arial" w:cs="Arial" w:eastAsia="Arial" w:hAnsi="Arial"/>
          <w:sz w:val="15"/>
          <w:szCs w:val="15"/>
          <w:i w:val="1"/>
          <w:iCs w:val="1"/>
          <w:color w:val="auto"/>
        </w:rPr>
        <w:t>Le droit de souscription préférentiel n’est pas applicable lorsque le capital social est augmenté par apports en nature.</w:t>
      </w:r>
    </w:p>
    <w:p>
      <w:pPr>
        <w:spacing w:after="0" w:line="73" w:lineRule="exact"/>
        <w:rPr>
          <w:sz w:val="20"/>
          <w:szCs w:val="20"/>
          <w:color w:val="auto"/>
        </w:rPr>
      </w:pPr>
    </w:p>
    <w:p>
      <w:pPr>
        <w:ind w:left="1060"/>
        <w:spacing w:after="0"/>
        <w:tabs>
          <w:tab w:leader="none" w:pos="4700" w:val="left"/>
        </w:tabs>
        <w:rPr>
          <w:sz w:val="20"/>
          <w:szCs w:val="20"/>
          <w:color w:val="auto"/>
        </w:rPr>
      </w:pPr>
      <w:r>
        <w:rPr>
          <w:rFonts w:ascii="Arial" w:cs="Arial" w:eastAsia="Arial" w:hAnsi="Arial"/>
          <w:sz w:val="15"/>
          <w:szCs w:val="15"/>
          <w:b w:val="1"/>
          <w:bCs w:val="1"/>
          <w:i w:val="1"/>
          <w:iCs w:val="1"/>
          <w:color w:val="auto"/>
        </w:rPr>
        <w:t>Art. 10. Acquisition ou Rachat d’Actions Propres.</w:t>
      </w:r>
      <w:r>
        <w:rPr>
          <w:sz w:val="20"/>
          <w:szCs w:val="20"/>
          <w:color w:val="auto"/>
        </w:rPr>
        <w:tab/>
      </w:r>
      <w:r>
        <w:rPr>
          <w:rFonts w:ascii="Arial" w:cs="Arial" w:eastAsia="Arial" w:hAnsi="Arial"/>
          <w:sz w:val="15"/>
          <w:szCs w:val="15"/>
          <w:i w:val="1"/>
          <w:iCs w:val="1"/>
          <w:color w:val="auto"/>
        </w:rPr>
        <w:t>La Société peut acquérir ou racheter ses</w:t>
      </w:r>
    </w:p>
    <w:p>
      <w:pPr>
        <w:spacing w:after="0" w:line="23" w:lineRule="exact"/>
        <w:rPr>
          <w:sz w:val="20"/>
          <w:szCs w:val="20"/>
          <w:color w:val="auto"/>
        </w:rPr>
      </w:pPr>
    </w:p>
    <w:p>
      <w:pPr>
        <w:ind w:left="1060" w:right="1139"/>
        <w:spacing w:after="0" w:line="244" w:lineRule="auto"/>
        <w:rPr>
          <w:sz w:val="20"/>
          <w:szCs w:val="20"/>
          <w:color w:val="auto"/>
        </w:rPr>
      </w:pPr>
      <w:r>
        <w:rPr>
          <w:rFonts w:ascii="Arial" w:cs="Arial" w:eastAsia="Arial" w:hAnsi="Arial"/>
          <w:sz w:val="15"/>
          <w:szCs w:val="15"/>
          <w:i w:val="1"/>
          <w:iCs w:val="1"/>
          <w:color w:val="auto"/>
        </w:rPr>
        <w:t>propres Actions conformément à la Loi Elle peut détenir les Actions ainsi acquises ou rachetées. Dans le présent article 10, les “Actions propres” correspondent aux Actions acquises ou rachetées et détenues par la Société.</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6" w:name="page77"/>
    <w:bookmarkEnd w:id="76"/>
    <w:p>
      <w:pPr>
        <w:ind w:left="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60" w:right="1119"/>
        <w:spacing w:after="0" w:line="260" w:lineRule="auto"/>
        <w:rPr>
          <w:sz w:val="20"/>
          <w:szCs w:val="20"/>
          <w:color w:val="auto"/>
        </w:rPr>
      </w:pPr>
      <w:r>
        <w:rPr>
          <w:rFonts w:ascii="Arial" w:cs="Arial" w:eastAsia="Arial" w:hAnsi="Arial"/>
          <w:sz w:val="15"/>
          <w:szCs w:val="15"/>
          <w:i w:val="1"/>
          <w:iCs w:val="1"/>
          <w:color w:val="auto"/>
        </w:rPr>
        <w:t>Les droits de vote attachés aux Actions Propres sont suspendus et ne sont pas pris en compte dans la détermination du quorum et de la majorité aux assemblées générales des actionnaires. Le Conseil d’Administration est autorisé à suspendre le droit au dividende attaché aux Actions Propres. Dans ce cas, le Conseil d’Administration peut décider sur le bénéfice distribuable conformément à l’article 430-18 de la Loi.</w:t>
      </w:r>
    </w:p>
    <w:p>
      <w:pPr>
        <w:spacing w:after="0" w:line="152" w:lineRule="exact"/>
        <w:rPr>
          <w:sz w:val="20"/>
          <w:szCs w:val="20"/>
          <w:color w:val="auto"/>
        </w:rPr>
      </w:pPr>
    </w:p>
    <w:p>
      <w:pPr>
        <w:ind w:left="1360" w:right="1479"/>
        <w:spacing w:after="0" w:line="299" w:lineRule="auto"/>
        <w:rPr>
          <w:sz w:val="20"/>
          <w:szCs w:val="20"/>
          <w:color w:val="auto"/>
        </w:rPr>
      </w:pPr>
      <w:r>
        <w:rPr>
          <w:rFonts w:ascii="Arial" w:cs="Arial" w:eastAsia="Arial" w:hAnsi="Arial"/>
          <w:sz w:val="15"/>
          <w:szCs w:val="15"/>
          <w:b w:val="1"/>
          <w:bCs w:val="1"/>
          <w:i w:val="1"/>
          <w:iCs w:val="1"/>
          <w:color w:val="auto"/>
        </w:rPr>
        <w:t>Chapitre III. Administrateurs, Conseil d’</w:t>
      </w:r>
      <w:r>
        <w:rPr>
          <w:rFonts w:ascii="Arial" w:cs="Arial" w:eastAsia="Arial" w:hAnsi="Arial"/>
          <w:sz w:val="15"/>
          <w:szCs w:val="15"/>
          <w:b w:val="1"/>
          <w:bCs w:val="1"/>
          <w:i w:val="1"/>
          <w:iCs w:val="1"/>
          <w:color w:val="FF0000"/>
          <w:strike w:val="1"/>
        </w:rPr>
        <w:t>Administrtion</w:t>
      </w:r>
      <w:r>
        <w:rPr>
          <w:rFonts w:ascii="Arial" w:cs="Arial" w:eastAsia="Arial" w:hAnsi="Arial"/>
          <w:sz w:val="15"/>
          <w:szCs w:val="15"/>
          <w:i w:val="1"/>
          <w:iCs w:val="1"/>
          <w:u w:val="single" w:color="auto"/>
          <w:color w:val="0000FF"/>
        </w:rPr>
        <w:t>Administration</w:t>
      </w:r>
      <w:r>
        <w:rPr>
          <w:rFonts w:ascii="Arial" w:cs="Arial" w:eastAsia="Arial" w:hAnsi="Arial"/>
          <w:sz w:val="15"/>
          <w:szCs w:val="15"/>
          <w:b w:val="1"/>
          <w:bCs w:val="1"/>
          <w:i w:val="1"/>
          <w:iCs w:val="1"/>
          <w:color w:val="auto"/>
        </w:rPr>
        <w:t>, Commissaires aux comptes</w:t>
      </w:r>
    </w:p>
    <w:p>
      <w:pPr>
        <w:spacing w:after="0" w:line="57" w:lineRule="exact"/>
        <w:rPr>
          <w:sz w:val="20"/>
          <w:szCs w:val="20"/>
          <w:color w:val="auto"/>
        </w:rPr>
      </w:pPr>
    </w:p>
    <w:p>
      <w:pPr>
        <w:ind w:left="1060" w:right="1079"/>
        <w:spacing w:after="0" w:line="261" w:lineRule="auto"/>
        <w:rPr>
          <w:sz w:val="20"/>
          <w:szCs w:val="20"/>
          <w:color w:val="auto"/>
        </w:rPr>
      </w:pPr>
      <w:r>
        <w:rPr>
          <w:rFonts w:ascii="Arial" w:cs="Arial" w:eastAsia="Arial" w:hAnsi="Arial"/>
          <w:sz w:val="15"/>
          <w:szCs w:val="15"/>
          <w:b w:val="1"/>
          <w:bCs w:val="1"/>
          <w:i w:val="1"/>
          <w:iCs w:val="1"/>
          <w:color w:val="auto"/>
        </w:rPr>
        <w:t xml:space="preserve">Art. 11. Conseil d’Administration. </w:t>
      </w:r>
      <w:r>
        <w:rPr>
          <w:rFonts w:ascii="Arial" w:cs="Arial" w:eastAsia="Arial" w:hAnsi="Arial"/>
          <w:sz w:val="15"/>
          <w:szCs w:val="15"/>
          <w:i w:val="1"/>
          <w:iCs w:val="1"/>
          <w:color w:val="auto"/>
        </w:rPr>
        <w:t>La Société est dirigée par un conseil d’administration (le “</w:t>
      </w:r>
      <w:r>
        <w:rPr>
          <w:rFonts w:ascii="Arial" w:cs="Arial" w:eastAsia="Arial" w:hAnsi="Arial"/>
          <w:sz w:val="15"/>
          <w:szCs w:val="15"/>
          <w:b w:val="1"/>
          <w:bCs w:val="1"/>
          <w:i w:val="1"/>
          <w:iCs w:val="1"/>
          <w:color w:val="auto"/>
        </w:rPr>
        <w:t>Conseil d’Administration</w:t>
      </w:r>
      <w:r>
        <w:rPr>
          <w:rFonts w:ascii="Arial" w:cs="Arial" w:eastAsia="Arial" w:hAnsi="Arial"/>
          <w:sz w:val="15"/>
          <w:szCs w:val="15"/>
          <w:color w:val="auto"/>
        </w:rPr>
        <w:t>”) composé d’au moins trois (3) membres et au maximum de sept</w:t>
      </w:r>
    </w:p>
    <w:p>
      <w:pPr>
        <w:spacing w:after="0" w:line="1" w:lineRule="exact"/>
        <w:rPr>
          <w:sz w:val="20"/>
          <w:szCs w:val="20"/>
          <w:color w:val="auto"/>
        </w:rPr>
      </w:pPr>
    </w:p>
    <w:p>
      <w:pPr>
        <w:ind w:left="1060" w:right="1339" w:firstLine="5"/>
        <w:spacing w:after="0" w:line="268" w:lineRule="auto"/>
        <w:tabs>
          <w:tab w:leader="none" w:pos="1316" w:val="left"/>
        </w:tabs>
        <w:numPr>
          <w:ilvl w:val="0"/>
          <w:numId w:val="64"/>
        </w:numPr>
        <w:rPr>
          <w:rFonts w:ascii="Arial" w:cs="Arial" w:eastAsia="Arial" w:hAnsi="Arial"/>
          <w:sz w:val="15"/>
          <w:szCs w:val="15"/>
          <w:color w:val="auto"/>
        </w:rPr>
      </w:pPr>
      <w:r>
        <w:rPr>
          <w:rFonts w:ascii="Arial" w:cs="Arial" w:eastAsia="Arial" w:hAnsi="Arial"/>
          <w:sz w:val="15"/>
          <w:szCs w:val="15"/>
          <w:color w:val="auto"/>
        </w:rPr>
        <w:t>membres (chacun d’entre eux désigné comme un “</w:t>
      </w:r>
      <w:r>
        <w:rPr>
          <w:rFonts w:ascii="Arial" w:cs="Arial" w:eastAsia="Arial" w:hAnsi="Arial"/>
          <w:sz w:val="15"/>
          <w:szCs w:val="15"/>
          <w:b w:val="1"/>
          <w:bCs w:val="1"/>
          <w:i w:val="1"/>
          <w:iCs w:val="1"/>
          <w:color w:val="auto"/>
        </w:rPr>
        <w:t>Administrateur</w:t>
      </w:r>
      <w:r>
        <w:rPr>
          <w:rFonts w:ascii="Arial" w:cs="Arial" w:eastAsia="Arial" w:hAnsi="Arial"/>
          <w:sz w:val="15"/>
          <w:szCs w:val="15"/>
          <w:color w:val="auto"/>
        </w:rPr>
        <w:t>”) qui ne devront pas être des actionnaires.</w:t>
      </w:r>
    </w:p>
    <w:p>
      <w:pPr>
        <w:spacing w:after="0" w:line="87" w:lineRule="exact"/>
        <w:rPr>
          <w:sz w:val="20"/>
          <w:szCs w:val="20"/>
          <w:color w:val="auto"/>
        </w:rPr>
      </w:pPr>
    </w:p>
    <w:p>
      <w:pPr>
        <w:ind w:left="1060" w:right="1239"/>
        <w:spacing w:after="0" w:line="260" w:lineRule="auto"/>
        <w:rPr>
          <w:sz w:val="20"/>
          <w:szCs w:val="20"/>
          <w:color w:val="auto"/>
        </w:rPr>
      </w:pPr>
      <w:r>
        <w:rPr>
          <w:rFonts w:ascii="Arial" w:cs="Arial" w:eastAsia="Arial" w:hAnsi="Arial"/>
          <w:sz w:val="15"/>
          <w:szCs w:val="15"/>
          <w:i w:val="1"/>
          <w:iCs w:val="1"/>
          <w:color w:val="auto"/>
        </w:rPr>
        <w:t>L’/Les Administrateur(s) est/sont nommé(s) par l’assemblée générale des actionnaires, qui fixe leur nombre et la durée de leur mandat, qui n’excédera pas six (6) ans et ils resteront en fonction jusqu’à ce que leurs successeurs soient élus. L’/Les Administrateur(s) peuvent être réélus pour des mandats successifs et peuvent être révoqués à tout moment, avec ou sans motif, par une résolution de l’assemblée générale des actionnaires.</w:t>
      </w:r>
    </w:p>
    <w:p>
      <w:pPr>
        <w:spacing w:after="0" w:line="84" w:lineRule="exact"/>
        <w:rPr>
          <w:sz w:val="20"/>
          <w:szCs w:val="20"/>
          <w:color w:val="auto"/>
        </w:rPr>
      </w:pPr>
    </w:p>
    <w:p>
      <w:pPr>
        <w:ind w:left="1060" w:right="1239"/>
        <w:spacing w:after="0" w:line="259" w:lineRule="auto"/>
        <w:rPr>
          <w:sz w:val="20"/>
          <w:szCs w:val="20"/>
          <w:color w:val="auto"/>
        </w:rPr>
      </w:pPr>
      <w:r>
        <w:rPr>
          <w:rFonts w:ascii="Arial" w:cs="Arial" w:eastAsia="Arial" w:hAnsi="Arial"/>
          <w:sz w:val="15"/>
          <w:szCs w:val="15"/>
          <w:i w:val="1"/>
          <w:iCs w:val="1"/>
          <w:color w:val="auto"/>
        </w:rPr>
        <w:t>Si une personne morale est nommée aux fonctions d’Administrateur, il devra désigner une personne physique en qualité de représentant permanent, qui représentera la personne morale en tant que membre du Conseil d’Administration, conformément à l’article 441-3 de la Loi. En cas de vacance au Conseil d’Administration, si applicable, l’/les Administrateur(s) restant(s) pourra/pourront se réunir et élire un administrateur pour remplir ce poste vacant à titre provisoire jusqu’à la prochaine assemblée générale des actionnaires.</w:t>
      </w:r>
    </w:p>
    <w:p>
      <w:pPr>
        <w:spacing w:after="0" w:line="94" w:lineRule="exact"/>
        <w:rPr>
          <w:sz w:val="20"/>
          <w:szCs w:val="20"/>
          <w:color w:val="auto"/>
        </w:rPr>
      </w:pPr>
    </w:p>
    <w:p>
      <w:pPr>
        <w:ind w:left="1060" w:right="1079"/>
        <w:spacing w:after="0" w:line="257" w:lineRule="auto"/>
        <w:rPr>
          <w:sz w:val="20"/>
          <w:szCs w:val="20"/>
          <w:color w:val="auto"/>
        </w:rPr>
      </w:pPr>
      <w:r>
        <w:rPr>
          <w:rFonts w:ascii="Arial" w:cs="Arial" w:eastAsia="Arial" w:hAnsi="Arial"/>
          <w:sz w:val="15"/>
          <w:szCs w:val="15"/>
          <w:b w:val="1"/>
          <w:bCs w:val="1"/>
          <w:i w:val="1"/>
          <w:iCs w:val="1"/>
          <w:color w:val="auto"/>
        </w:rPr>
        <w:t xml:space="preserve">Art. 12. Réunions du Conseil d’Administration. </w:t>
      </w:r>
      <w:r>
        <w:rPr>
          <w:rFonts w:ascii="Arial" w:cs="Arial" w:eastAsia="Arial" w:hAnsi="Arial"/>
          <w:sz w:val="15"/>
          <w:szCs w:val="15"/>
          <w:i w:val="1"/>
          <w:iCs w:val="1"/>
          <w:color w:val="auto"/>
        </w:rPr>
        <w:t>Le Conseil d’Administration choisira parmi ses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membres un président (le “</w:t>
      </w:r>
      <w:r>
        <w:rPr>
          <w:rFonts w:ascii="Arial" w:cs="Arial" w:eastAsia="Arial" w:hAnsi="Arial"/>
          <w:sz w:val="15"/>
          <w:szCs w:val="15"/>
          <w:b w:val="1"/>
          <w:bCs w:val="1"/>
          <w:i w:val="1"/>
          <w:iCs w:val="1"/>
          <w:color w:val="auto"/>
        </w:rPr>
        <w:t>Président</w:t>
      </w:r>
      <w:r>
        <w:rPr>
          <w:rFonts w:ascii="Arial" w:cs="Arial" w:eastAsia="Arial" w:hAnsi="Arial"/>
          <w:sz w:val="15"/>
          <w:szCs w:val="15"/>
          <w:i w:val="1"/>
          <w:iCs w:val="1"/>
          <w:color w:val="auto"/>
        </w:rPr>
        <w:t xml:space="preserve">”). Il pourra également choisir un secrétaire qui n’a pas besoin d’être Administrateur et qui sera responsable des </w:t>
      </w:r>
      <w:r>
        <w:rPr>
          <w:rFonts w:ascii="Arial" w:cs="Arial" w:eastAsia="Arial" w:hAnsi="Arial"/>
          <w:sz w:val="15"/>
          <w:szCs w:val="15"/>
          <w:color w:val="FF0000"/>
          <w:strike w:val="1"/>
        </w:rPr>
        <w:t>procèsverbaux</w:t>
      </w:r>
      <w:r>
        <w:rPr>
          <w:rFonts w:ascii="Arial" w:cs="Arial" w:eastAsia="Arial" w:hAnsi="Arial"/>
          <w:sz w:val="15"/>
          <w:szCs w:val="15"/>
          <w:i w:val="1"/>
          <w:iCs w:val="1"/>
          <w:u w:val="single" w:color="auto"/>
          <w:color w:val="0000FF"/>
        </w:rPr>
        <w:t>procès-verbaux</w:t>
      </w:r>
      <w:r>
        <w:rPr>
          <w:rFonts w:ascii="Arial" w:cs="Arial" w:eastAsia="Arial" w:hAnsi="Arial"/>
          <w:sz w:val="15"/>
          <w:szCs w:val="15"/>
          <w:i w:val="1"/>
          <w:iCs w:val="1"/>
          <w:color w:val="auto"/>
        </w:rPr>
        <w:t xml:space="preserve"> des réunions du Conseil d’Administration et des assemblées </w:t>
      </w:r>
      <w:r>
        <w:rPr>
          <w:rFonts w:ascii="Arial" w:cs="Arial" w:eastAsia="Arial" w:hAnsi="Arial"/>
          <w:sz w:val="15"/>
          <w:szCs w:val="15"/>
          <w:i w:val="1"/>
          <w:iCs w:val="1"/>
          <w:u w:val="single" w:color="auto"/>
          <w:color w:val="0000FF"/>
        </w:rPr>
        <w:t>générales</w:t>
      </w:r>
      <w:r>
        <w:rPr>
          <w:rFonts w:ascii="Arial" w:cs="Arial" w:eastAsia="Arial" w:hAnsi="Arial"/>
          <w:sz w:val="15"/>
          <w:szCs w:val="15"/>
          <w:i w:val="1"/>
          <w:iCs w:val="1"/>
          <w:color w:val="auto"/>
        </w:rPr>
        <w:t xml:space="preserve"> des actionnaires (le “</w:t>
      </w:r>
      <w:r>
        <w:rPr>
          <w:rFonts w:ascii="Arial" w:cs="Arial" w:eastAsia="Arial" w:hAnsi="Arial"/>
          <w:sz w:val="15"/>
          <w:szCs w:val="15"/>
          <w:b w:val="1"/>
          <w:bCs w:val="1"/>
          <w:i w:val="1"/>
          <w:iCs w:val="1"/>
          <w:color w:val="auto"/>
        </w:rPr>
        <w:t>Secrétaire</w:t>
      </w:r>
      <w:r>
        <w:rPr>
          <w:rFonts w:ascii="Arial" w:cs="Arial" w:eastAsia="Arial" w:hAnsi="Arial"/>
          <w:sz w:val="15"/>
          <w:szCs w:val="15"/>
          <w:i w:val="1"/>
          <w:iCs w:val="1"/>
          <w:color w:val="auto"/>
        </w:rPr>
        <w:t xml:space="preserve">”). Si le Secrétaire n’est pas un Administrateur, une telle personne devra observer les dispositions relatives à la confidentialité telles qu’énoncées à l’article 15 </w:t>
      </w:r>
      <w:r>
        <w:rPr>
          <w:rFonts w:ascii="Arial" w:cs="Arial" w:eastAsia="Arial" w:hAnsi="Arial"/>
          <w:sz w:val="15"/>
          <w:szCs w:val="15"/>
          <w:i w:val="1"/>
          <w:iCs w:val="1"/>
          <w:u w:val="single" w:color="auto"/>
          <w:color w:val="0000FF"/>
        </w:rPr>
        <w:t>des présents Statuts</w:t>
      </w:r>
      <w:r>
        <w:rPr>
          <w:rFonts w:ascii="Arial" w:cs="Arial" w:eastAsia="Arial" w:hAnsi="Arial"/>
          <w:sz w:val="15"/>
          <w:szCs w:val="15"/>
          <w:i w:val="1"/>
          <w:iCs w:val="1"/>
          <w:color w:val="auto"/>
        </w:rPr>
        <w:t xml:space="preserve"> </w:t>
      </w:r>
      <w:r>
        <w:rPr>
          <w:rFonts w:ascii="Arial" w:cs="Arial" w:eastAsia="Arial" w:hAnsi="Arial"/>
          <w:sz w:val="15"/>
          <w:szCs w:val="15"/>
          <w:color w:val="auto"/>
        </w:rPr>
        <w:t>sous la responsabilité du</w:t>
      </w:r>
      <w:r>
        <w:rPr>
          <w:rFonts w:ascii="Arial" w:cs="Arial" w:eastAsia="Arial" w:hAnsi="Arial"/>
          <w:sz w:val="15"/>
          <w:szCs w:val="15"/>
          <w:i w:val="1"/>
          <w:iCs w:val="1"/>
          <w:color w:val="auto"/>
        </w:rPr>
        <w:t xml:space="preserve"> </w:t>
      </w:r>
      <w:r>
        <w:rPr>
          <w:rFonts w:ascii="Arial" w:cs="Arial" w:eastAsia="Arial" w:hAnsi="Arial"/>
          <w:sz w:val="15"/>
          <w:szCs w:val="15"/>
          <w:color w:val="auto"/>
        </w:rPr>
        <w:t>Conseil d’Administration.</w:t>
      </w:r>
    </w:p>
    <w:p>
      <w:pPr>
        <w:spacing w:after="0" w:line="99" w:lineRule="exact"/>
        <w:rPr>
          <w:sz w:val="20"/>
          <w:szCs w:val="20"/>
          <w:color w:val="auto"/>
        </w:rPr>
      </w:pPr>
    </w:p>
    <w:p>
      <w:pPr>
        <w:ind w:left="1060" w:right="1759"/>
        <w:spacing w:after="0" w:line="287" w:lineRule="auto"/>
        <w:rPr>
          <w:sz w:val="20"/>
          <w:szCs w:val="20"/>
          <w:color w:val="auto"/>
        </w:rPr>
      </w:pPr>
      <w:r>
        <w:rPr>
          <w:rFonts w:ascii="Arial" w:cs="Arial" w:eastAsia="Arial" w:hAnsi="Arial"/>
          <w:sz w:val="15"/>
          <w:szCs w:val="15"/>
          <w:i w:val="1"/>
          <w:iCs w:val="1"/>
          <w:color w:val="auto"/>
        </w:rPr>
        <w:t>Le Conseil d’Administration se réunira sur convocation du Président. Une réunion du Conseil d’Administration devra être convoquée si deux Administrateurs le requièrent.</w:t>
      </w:r>
    </w:p>
    <w:p>
      <w:pPr>
        <w:spacing w:after="0" w:line="63" w:lineRule="exact"/>
        <w:rPr>
          <w:sz w:val="20"/>
          <w:szCs w:val="20"/>
          <w:color w:val="auto"/>
        </w:rPr>
      </w:pPr>
    </w:p>
    <w:p>
      <w:pPr>
        <w:ind w:left="1060" w:right="1199"/>
        <w:spacing w:after="0" w:line="263" w:lineRule="auto"/>
        <w:rPr>
          <w:sz w:val="20"/>
          <w:szCs w:val="20"/>
          <w:color w:val="auto"/>
        </w:rPr>
      </w:pPr>
      <w:r>
        <w:rPr>
          <w:rFonts w:ascii="Arial" w:cs="Arial" w:eastAsia="Arial" w:hAnsi="Arial"/>
          <w:sz w:val="15"/>
          <w:szCs w:val="15"/>
          <w:i w:val="1"/>
          <w:iCs w:val="1"/>
          <w:color w:val="auto"/>
        </w:rPr>
        <w:t xml:space="preserve">Le Président présidera toutes les réunions du Conseil d’Administration </w:t>
      </w:r>
      <w:r>
        <w:rPr>
          <w:rFonts w:ascii="Arial" w:cs="Arial" w:eastAsia="Arial" w:hAnsi="Arial"/>
          <w:sz w:val="15"/>
          <w:szCs w:val="15"/>
          <w:color w:val="FF0000"/>
        </w:rPr>
        <w:t>et des actionnaires</w:t>
      </w:r>
      <w:r>
        <w:rPr>
          <w:rFonts w:ascii="Arial" w:cs="Arial" w:eastAsia="Arial" w:hAnsi="Arial"/>
          <w:sz w:val="15"/>
          <w:szCs w:val="15"/>
          <w:i w:val="1"/>
          <w:iCs w:val="1"/>
          <w:color w:val="auto"/>
        </w:rPr>
        <w:t xml:space="preserve">, sauf </w:t>
      </w:r>
      <w:r>
        <w:rPr>
          <w:rFonts w:ascii="Arial" w:cs="Arial" w:eastAsia="Arial" w:hAnsi="Arial"/>
          <w:sz w:val="15"/>
          <w:szCs w:val="15"/>
          <w:color w:val="FF0000"/>
          <w:strike w:val="1"/>
        </w:rPr>
        <w:t>en</w:t>
      </w:r>
      <w:r>
        <w:rPr>
          <w:rFonts w:ascii="Arial" w:cs="Arial" w:eastAsia="Arial" w:hAnsi="Arial"/>
          <w:sz w:val="15"/>
          <w:szCs w:val="15"/>
          <w:i w:val="1"/>
          <w:iCs w:val="1"/>
          <w:u w:val="single" w:color="auto"/>
          <w:color w:val="0000FF"/>
        </w:rPr>
        <w:t>qu’en</w:t>
      </w:r>
      <w:r>
        <w:rPr>
          <w:rFonts w:ascii="Arial" w:cs="Arial" w:eastAsia="Arial" w:hAnsi="Arial"/>
          <w:sz w:val="15"/>
          <w:szCs w:val="15"/>
          <w:color w:val="FF0000"/>
        </w:rPr>
        <w:t xml:space="preserve"> </w:t>
      </w:r>
      <w:r>
        <w:rPr>
          <w:rFonts w:ascii="Arial" w:cs="Arial" w:eastAsia="Arial" w:hAnsi="Arial"/>
          <w:sz w:val="15"/>
          <w:szCs w:val="15"/>
          <w:i w:val="1"/>
          <w:iCs w:val="1"/>
          <w:color w:val="000000"/>
        </w:rPr>
        <w:t>son absence, le Conseil d’Administration</w:t>
      </w:r>
      <w:r>
        <w:rPr>
          <w:rFonts w:ascii="Arial" w:cs="Arial" w:eastAsia="Arial" w:hAnsi="Arial"/>
          <w:sz w:val="15"/>
          <w:szCs w:val="15"/>
          <w:color w:val="FF0000"/>
        </w:rPr>
        <w:t xml:space="preserve"> </w:t>
      </w:r>
      <w:r>
        <w:rPr>
          <w:rFonts w:ascii="Arial" w:cs="Arial" w:eastAsia="Arial" w:hAnsi="Arial"/>
          <w:sz w:val="15"/>
          <w:szCs w:val="15"/>
          <w:color w:val="FF0000"/>
          <w:strike w:val="1"/>
        </w:rPr>
        <w:t>désignera</w:t>
      </w:r>
      <w:r>
        <w:rPr>
          <w:rFonts w:ascii="Arial" w:cs="Arial" w:eastAsia="Arial" w:hAnsi="Arial"/>
          <w:sz w:val="15"/>
          <w:szCs w:val="15"/>
          <w:color w:val="FF0000"/>
        </w:rPr>
        <w:t xml:space="preserve"> </w:t>
      </w:r>
      <w:r>
        <w:rPr>
          <w:rFonts w:ascii="Arial" w:cs="Arial" w:eastAsia="Arial" w:hAnsi="Arial"/>
          <w:sz w:val="15"/>
          <w:szCs w:val="15"/>
          <w:i w:val="1"/>
          <w:iCs w:val="1"/>
          <w:u w:val="single" w:color="auto"/>
          <w:color w:val="0000FF"/>
        </w:rPr>
        <w:t>pourra désigner</w:t>
      </w:r>
      <w:r>
        <w:rPr>
          <w:rFonts w:ascii="Arial" w:cs="Arial" w:eastAsia="Arial" w:hAnsi="Arial"/>
          <w:sz w:val="15"/>
          <w:szCs w:val="15"/>
          <w:color w:val="FF0000"/>
        </w:rPr>
        <w:t xml:space="preserve"> </w:t>
      </w:r>
      <w:r>
        <w:rPr>
          <w:rFonts w:ascii="Arial" w:cs="Arial" w:eastAsia="Arial" w:hAnsi="Arial"/>
          <w:sz w:val="15"/>
          <w:szCs w:val="15"/>
          <w:i w:val="1"/>
          <w:iCs w:val="1"/>
          <w:color w:val="000000"/>
        </w:rPr>
        <w:t>un autre Administrateur</w:t>
      </w:r>
      <w:r>
        <w:rPr>
          <w:rFonts w:ascii="Arial" w:cs="Arial" w:eastAsia="Arial" w:hAnsi="Arial"/>
          <w:sz w:val="15"/>
          <w:szCs w:val="15"/>
          <w:color w:val="FF0000"/>
        </w:rPr>
        <w:t xml:space="preserve"> </w:t>
      </w:r>
      <w:r>
        <w:rPr>
          <w:rFonts w:ascii="Arial" w:cs="Arial" w:eastAsia="Arial" w:hAnsi="Arial"/>
          <w:sz w:val="15"/>
          <w:szCs w:val="15"/>
          <w:color w:val="FF0000"/>
          <w:strike w:val="1"/>
        </w:rPr>
        <w:t>comme président pro tempore à</w:t>
      </w:r>
      <w:r>
        <w:rPr>
          <w:rFonts w:ascii="Arial" w:cs="Arial" w:eastAsia="Arial" w:hAnsi="Arial"/>
          <w:sz w:val="15"/>
          <w:szCs w:val="15"/>
          <w:i w:val="1"/>
          <w:iCs w:val="1"/>
          <w:u w:val="single" w:color="auto"/>
          <w:color w:val="0000FF"/>
        </w:rPr>
        <w:t>pour présider</w:t>
      </w:r>
      <w:r>
        <w:rPr>
          <w:rFonts w:ascii="Arial" w:cs="Arial" w:eastAsia="Arial" w:hAnsi="Arial"/>
          <w:sz w:val="15"/>
          <w:szCs w:val="15"/>
          <w:color w:val="FF0000"/>
        </w:rPr>
        <w:t xml:space="preserve"> </w:t>
      </w:r>
      <w:r>
        <w:rPr>
          <w:rFonts w:ascii="Arial" w:cs="Arial" w:eastAsia="Arial" w:hAnsi="Arial"/>
          <w:sz w:val="15"/>
          <w:szCs w:val="15"/>
          <w:i w:val="1"/>
          <w:iCs w:val="1"/>
          <w:color w:val="000000"/>
        </w:rPr>
        <w:t>la</w:t>
      </w:r>
      <w:r>
        <w:rPr>
          <w:rFonts w:ascii="Arial" w:cs="Arial" w:eastAsia="Arial" w:hAnsi="Arial"/>
          <w:sz w:val="15"/>
          <w:szCs w:val="15"/>
          <w:color w:val="FF0000"/>
        </w:rPr>
        <w:t xml:space="preserve"> </w:t>
      </w:r>
      <w:r>
        <w:rPr>
          <w:rFonts w:ascii="Arial" w:cs="Arial" w:eastAsia="Arial" w:hAnsi="Arial"/>
          <w:sz w:val="15"/>
          <w:szCs w:val="15"/>
          <w:color w:val="FF0000"/>
          <w:strike w:val="1"/>
        </w:rPr>
        <w:t>majorité des personnes présentes ou</w:t>
      </w:r>
      <w:r>
        <w:rPr>
          <w:rFonts w:ascii="Arial" w:cs="Arial" w:eastAsia="Arial" w:hAnsi="Arial"/>
          <w:sz w:val="15"/>
          <w:szCs w:val="15"/>
          <w:color w:val="FF0000"/>
        </w:rPr>
        <w:t xml:space="preserve"> </w:t>
      </w:r>
      <w:r>
        <w:rPr>
          <w:rFonts w:ascii="Arial" w:cs="Arial" w:eastAsia="Arial" w:hAnsi="Arial"/>
          <w:sz w:val="15"/>
          <w:szCs w:val="15"/>
          <w:color w:val="FF0000"/>
          <w:strike w:val="1"/>
        </w:rPr>
        <w:t>représentées lors d’une telle</w:t>
      </w:r>
      <w:r>
        <w:rPr>
          <w:rFonts w:ascii="Arial" w:cs="Arial" w:eastAsia="Arial" w:hAnsi="Arial"/>
          <w:sz w:val="15"/>
          <w:szCs w:val="15"/>
          <w:color w:val="FF0000"/>
        </w:rPr>
        <w:t xml:space="preserve"> </w:t>
      </w:r>
      <w:r>
        <w:rPr>
          <w:rFonts w:ascii="Arial" w:cs="Arial" w:eastAsia="Arial" w:hAnsi="Arial"/>
          <w:sz w:val="15"/>
          <w:szCs w:val="15"/>
          <w:i w:val="1"/>
          <w:iCs w:val="1"/>
          <w:color w:val="000000"/>
        </w:rPr>
        <w:t>réunion.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3656330</wp:posOffset>
            </wp:positionH>
            <wp:positionV relativeFrom="paragraph">
              <wp:posOffset>-419735</wp:posOffset>
            </wp:positionV>
            <wp:extent cx="925830"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925830" cy="6985"/>
                    </a:xfrm>
                    <a:prstGeom prst="rect">
                      <a:avLst/>
                    </a:prstGeom>
                    <a:noFill/>
                  </pic:spPr>
                </pic:pic>
              </a:graphicData>
            </a:graphic>
          </wp:anchor>
        </w:drawing>
      </w:r>
    </w:p>
    <w:p>
      <w:pPr>
        <w:spacing w:after="0" w:line="72" w:lineRule="exact"/>
        <w:rPr>
          <w:sz w:val="20"/>
          <w:szCs w:val="20"/>
          <w:color w:val="auto"/>
        </w:rPr>
      </w:pPr>
    </w:p>
    <w:p>
      <w:pPr>
        <w:ind w:left="1060" w:right="1159"/>
        <w:spacing w:after="0" w:line="263" w:lineRule="auto"/>
        <w:rPr>
          <w:sz w:val="20"/>
          <w:szCs w:val="20"/>
          <w:color w:val="auto"/>
        </w:rPr>
      </w:pPr>
      <w:r>
        <w:rPr>
          <w:rFonts w:ascii="Arial" w:cs="Arial" w:eastAsia="Arial" w:hAnsi="Arial"/>
          <w:sz w:val="15"/>
          <w:szCs w:val="15"/>
          <w:i w:val="1"/>
          <w:iCs w:val="1"/>
          <w:color w:val="auto"/>
        </w:rPr>
        <w:t>Sauf en cas d’urgence ou avec l’accord préalable de toutes les personnes autorisées à participer, une convocation écrite de toute réunion du Conseil d’administration sera donnée avec un préavis d’au moins vingt-quatre (24) heures. La convocation indiquera le lieu, la date et l’heure de la réunion, ainsi que l’ordre du jour et la nature des questions à traiter.</w:t>
      </w:r>
    </w:p>
    <w:p>
      <w:pPr>
        <w:spacing w:after="0" w:line="92" w:lineRule="exact"/>
        <w:rPr>
          <w:sz w:val="20"/>
          <w:szCs w:val="20"/>
          <w:color w:val="auto"/>
        </w:rPr>
      </w:pPr>
    </w:p>
    <w:p>
      <w:pPr>
        <w:jc w:val="both"/>
        <w:ind w:left="1060" w:right="1239"/>
        <w:spacing w:after="0" w:line="269" w:lineRule="auto"/>
        <w:rPr>
          <w:sz w:val="20"/>
          <w:szCs w:val="20"/>
          <w:color w:val="auto"/>
        </w:rPr>
      </w:pPr>
      <w:r>
        <w:rPr>
          <w:rFonts w:ascii="Arial" w:cs="Arial" w:eastAsia="Arial" w:hAnsi="Arial"/>
          <w:sz w:val="15"/>
          <w:szCs w:val="15"/>
          <w:i w:val="1"/>
          <w:iCs w:val="1"/>
          <w:color w:val="auto"/>
        </w:rPr>
        <w:t>Il pourra être passé outre cette convocation avec l’accord écrit unanime de tous les Administrateurs. Une convocation spéciale ne sera pas requise pour les réunions se tenant à une date et à un endroit déterminés dans un calendrier préalablement adopté par le Conseil d’Administration.</w:t>
      </w:r>
    </w:p>
    <w:p>
      <w:pPr>
        <w:spacing w:after="0" w:line="76" w:lineRule="exact"/>
        <w:rPr>
          <w:sz w:val="20"/>
          <w:szCs w:val="20"/>
          <w:color w:val="auto"/>
        </w:rPr>
      </w:pPr>
    </w:p>
    <w:p>
      <w:pPr>
        <w:ind w:left="1060" w:right="1519"/>
        <w:spacing w:after="0" w:line="288" w:lineRule="auto"/>
        <w:rPr>
          <w:sz w:val="20"/>
          <w:szCs w:val="20"/>
          <w:color w:val="auto"/>
        </w:rPr>
      </w:pPr>
      <w:r>
        <w:rPr>
          <w:rFonts w:ascii="Arial" w:cs="Arial" w:eastAsia="Arial" w:hAnsi="Arial"/>
          <w:sz w:val="15"/>
          <w:szCs w:val="15"/>
          <w:i w:val="1"/>
          <w:iCs w:val="1"/>
          <w:color w:val="auto"/>
        </w:rPr>
        <w:t>Les réunions du Conseil d’administration se tiendront à l’endroit indiqué dans la convocation à la réunion.</w:t>
      </w:r>
    </w:p>
    <w:p>
      <w:pPr>
        <w:spacing w:after="0" w:line="72" w:lineRule="exact"/>
        <w:rPr>
          <w:sz w:val="20"/>
          <w:szCs w:val="20"/>
          <w:color w:val="auto"/>
        </w:rPr>
      </w:pPr>
    </w:p>
    <w:p>
      <w:pPr>
        <w:ind w:left="1060" w:right="1139"/>
        <w:spacing w:after="0" w:line="287" w:lineRule="auto"/>
        <w:rPr>
          <w:sz w:val="20"/>
          <w:szCs w:val="20"/>
          <w:color w:val="auto"/>
        </w:rPr>
      </w:pPr>
      <w:r>
        <w:rPr>
          <w:rFonts w:ascii="Arial" w:cs="Arial" w:eastAsia="Arial" w:hAnsi="Arial"/>
          <w:sz w:val="15"/>
          <w:szCs w:val="15"/>
          <w:i w:val="1"/>
          <w:iCs w:val="1"/>
          <w:color w:val="auto"/>
        </w:rPr>
        <w:t>Tout Administrateur pourra se faire représenter aux réunions du Conseil d’Administration en désignant par écrit un autre Administrateur comme son mandataire.</w:t>
      </w:r>
    </w:p>
    <w:p>
      <w:pPr>
        <w:spacing w:after="0" w:line="74" w:lineRule="exact"/>
        <w:rPr>
          <w:sz w:val="20"/>
          <w:szCs w:val="20"/>
          <w:color w:val="auto"/>
        </w:rPr>
      </w:pPr>
    </w:p>
    <w:p>
      <w:pPr>
        <w:ind w:left="1060" w:right="1099"/>
        <w:spacing w:after="0" w:line="260" w:lineRule="auto"/>
        <w:rPr>
          <w:sz w:val="20"/>
          <w:szCs w:val="20"/>
          <w:color w:val="auto"/>
        </w:rPr>
      </w:pPr>
      <w:r>
        <w:rPr>
          <w:rFonts w:ascii="Arial" w:cs="Arial" w:eastAsia="Arial" w:hAnsi="Arial"/>
          <w:sz w:val="15"/>
          <w:szCs w:val="15"/>
          <w:i w:val="1"/>
          <w:iCs w:val="1"/>
          <w:color w:val="auto"/>
        </w:rPr>
        <w:t>Le quorum du Conseil d’Administration ou de l’un de ses Comités (tel que défini à l’article 16) correspond à la présence ou la représentation d’au moins cinquante pour cent (50%) des Administrateurs ou des membres du Comité, le cas échéant, en fonction (étant entendu que la présence ou la représentation d’au moins deux (2) membres du Conseil d’administration ou du Comité, le cas échéant, est requise).</w:t>
      </w:r>
    </w:p>
    <w:p>
      <w:pPr>
        <w:spacing w:after="0" w:line="84" w:lineRule="exact"/>
        <w:rPr>
          <w:sz w:val="20"/>
          <w:szCs w:val="20"/>
          <w:color w:val="auto"/>
        </w:rPr>
      </w:pPr>
    </w:p>
    <w:p>
      <w:pPr>
        <w:ind w:left="1060" w:right="1279"/>
        <w:spacing w:after="0" w:line="269" w:lineRule="auto"/>
        <w:rPr>
          <w:sz w:val="20"/>
          <w:szCs w:val="20"/>
          <w:color w:val="auto"/>
        </w:rPr>
      </w:pPr>
      <w:r>
        <w:rPr>
          <w:rFonts w:ascii="Arial" w:cs="Arial" w:eastAsia="Arial" w:hAnsi="Arial"/>
          <w:sz w:val="15"/>
          <w:szCs w:val="15"/>
          <w:i w:val="1"/>
          <w:iCs w:val="1"/>
          <w:color w:val="auto"/>
        </w:rPr>
        <w:t xml:space="preserve">Les décisions sont prises à la majorité des votes des Administrateurs présents ou représentés à la réunion. En cas d’égalité des voix, le </w:t>
      </w:r>
      <w:r>
        <w:rPr>
          <w:rFonts w:ascii="Arial" w:cs="Arial" w:eastAsia="Arial" w:hAnsi="Arial"/>
          <w:sz w:val="15"/>
          <w:szCs w:val="15"/>
          <w:color w:val="FF0000"/>
          <w:strike w:val="1"/>
        </w:rPr>
        <w:t>vote du Président sera prépondérant.</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Président, ou, le cas</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échéant, le président pro tempore, aura voix prépondérante.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7" w:name="page78"/>
    <w:bookmarkEnd w:id="77"/>
    <w:p>
      <w:pPr>
        <w:ind w:left="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60" w:right="1199"/>
        <w:spacing w:after="0" w:line="260" w:lineRule="auto"/>
        <w:rPr>
          <w:sz w:val="20"/>
          <w:szCs w:val="20"/>
          <w:color w:val="auto"/>
        </w:rPr>
      </w:pPr>
      <w:r>
        <w:rPr>
          <w:rFonts w:ascii="Arial" w:cs="Arial" w:eastAsia="Arial" w:hAnsi="Arial"/>
          <w:sz w:val="15"/>
          <w:szCs w:val="15"/>
          <w:i w:val="1"/>
          <w:iCs w:val="1"/>
          <w:color w:val="auto"/>
        </w:rPr>
        <w:t>Un ou plusieurs Administrateurs peuvent participer à une réunion par conférence téléphonique, vidéoconférence ou tout moyen de télécommunication similaire permettant à plusieurs personnes y participant de communiquer simultanément l’une avec l’autre. De telles participations doivent être considérées comme équivalentes à une présence physique à une réunion tenue au siège social de la Société.</w:t>
      </w:r>
    </w:p>
    <w:p>
      <w:pPr>
        <w:spacing w:after="0" w:line="95" w:lineRule="exact"/>
        <w:rPr>
          <w:sz w:val="20"/>
          <w:szCs w:val="20"/>
          <w:color w:val="auto"/>
        </w:rPr>
      </w:pPr>
    </w:p>
    <w:p>
      <w:pPr>
        <w:ind w:left="1060" w:right="1119"/>
        <w:spacing w:after="0" w:line="257" w:lineRule="auto"/>
        <w:rPr>
          <w:sz w:val="20"/>
          <w:szCs w:val="20"/>
          <w:color w:val="auto"/>
        </w:rPr>
      </w:pPr>
      <w:r>
        <w:rPr>
          <w:rFonts w:ascii="Arial" w:cs="Arial" w:eastAsia="Arial" w:hAnsi="Arial"/>
          <w:sz w:val="15"/>
          <w:szCs w:val="15"/>
          <w:color w:val="FF0000"/>
          <w:strike w:val="1"/>
        </w:rPr>
        <w:t>Dans les cas requis par l’urgence, une</w:t>
      </w:r>
      <w:r>
        <w:rPr>
          <w:rFonts w:ascii="Arial" w:cs="Arial" w:eastAsia="Arial" w:hAnsi="Arial"/>
          <w:sz w:val="15"/>
          <w:szCs w:val="15"/>
          <w:i w:val="1"/>
          <w:iCs w:val="1"/>
          <w:u w:val="single" w:color="auto"/>
          <w:color w:val="0000FF"/>
        </w:rPr>
        <w:t>Une</w:t>
      </w:r>
      <w:r>
        <w:rPr>
          <w:rFonts w:ascii="Arial" w:cs="Arial" w:eastAsia="Arial" w:hAnsi="Arial"/>
          <w:sz w:val="15"/>
          <w:szCs w:val="15"/>
          <w:color w:val="FF0000"/>
        </w:rPr>
        <w:t xml:space="preserve"> </w:t>
      </w:r>
      <w:r>
        <w:rPr>
          <w:rFonts w:ascii="Arial" w:cs="Arial" w:eastAsia="Arial" w:hAnsi="Arial"/>
          <w:sz w:val="15"/>
          <w:szCs w:val="15"/>
          <w:i w:val="1"/>
          <w:iCs w:val="1"/>
          <w:color w:val="000000"/>
        </w:rPr>
        <w:t>décision écrite</w:t>
      </w:r>
      <w:r>
        <w:rPr>
          <w:rFonts w:ascii="Arial" w:cs="Arial" w:eastAsia="Arial" w:hAnsi="Arial"/>
          <w:sz w:val="15"/>
          <w:szCs w:val="15"/>
          <w:color w:val="FF0000"/>
        </w:rPr>
        <w:t xml:space="preserve"> </w:t>
      </w:r>
      <w:r>
        <w:rPr>
          <w:rFonts w:ascii="Arial" w:cs="Arial" w:eastAsia="Arial" w:hAnsi="Arial"/>
          <w:sz w:val="15"/>
          <w:szCs w:val="15"/>
          <w:color w:val="FF0000"/>
          <w:strike w:val="1"/>
        </w:rPr>
        <w:t>prise par voie circulaire et exprimée</w:t>
      </w:r>
      <w:r>
        <w:rPr>
          <w:rFonts w:ascii="Arial" w:cs="Arial" w:eastAsia="Arial" w:hAnsi="Arial"/>
          <w:sz w:val="15"/>
          <w:szCs w:val="15"/>
          <w:color w:val="FF0000"/>
        </w:rPr>
        <w:t xml:space="preserve"> </w:t>
      </w:r>
      <w:r>
        <w:rPr>
          <w:rFonts w:ascii="Arial" w:cs="Arial" w:eastAsia="Arial" w:hAnsi="Arial"/>
          <w:sz w:val="15"/>
          <w:szCs w:val="15"/>
          <w:color w:val="FF0000"/>
          <w:strike w:val="1"/>
        </w:rPr>
        <w:t>par câble, télécopie ou tout autre moyen de communication similaire</w:t>
      </w:r>
      <w:r>
        <w:rPr>
          <w:rFonts w:ascii="Arial" w:cs="Arial" w:eastAsia="Arial" w:hAnsi="Arial"/>
          <w:sz w:val="15"/>
          <w:szCs w:val="15"/>
          <w:i w:val="1"/>
          <w:iCs w:val="1"/>
          <w:color w:val="000000"/>
        </w:rPr>
        <w:t>, signée par tous les</w:t>
      </w:r>
      <w:r>
        <w:rPr>
          <w:rFonts w:ascii="Arial" w:cs="Arial" w:eastAsia="Arial" w:hAnsi="Arial"/>
          <w:sz w:val="15"/>
          <w:szCs w:val="15"/>
          <w:color w:val="FF0000"/>
        </w:rPr>
        <w:t xml:space="preserve"> </w:t>
      </w:r>
      <w:r>
        <w:rPr>
          <w:rFonts w:ascii="Arial" w:cs="Arial" w:eastAsia="Arial" w:hAnsi="Arial"/>
          <w:sz w:val="15"/>
          <w:szCs w:val="15"/>
          <w:color w:val="FF0000"/>
          <w:strike w:val="1"/>
        </w:rPr>
        <w:t>administrateurs</w:t>
      </w:r>
      <w:r>
        <w:rPr>
          <w:rFonts w:ascii="Arial" w:cs="Arial" w:eastAsia="Arial" w:hAnsi="Arial"/>
          <w:sz w:val="15"/>
          <w:szCs w:val="15"/>
          <w:i w:val="1"/>
          <w:iCs w:val="1"/>
          <w:u w:val="single" w:color="auto"/>
          <w:color w:val="0000FF"/>
        </w:rPr>
        <w:t>Administrateurs</w:t>
      </w:r>
      <w:r>
        <w:rPr>
          <w:rFonts w:ascii="Arial" w:cs="Arial" w:eastAsia="Arial" w:hAnsi="Arial"/>
          <w:sz w:val="15"/>
          <w:szCs w:val="15"/>
          <w:i w:val="1"/>
          <w:iCs w:val="1"/>
          <w:color w:val="000000"/>
        </w:rPr>
        <w:t>, est correcte et valable comme si elle avait été adoptée lors d’une</w:t>
      </w:r>
      <w:r>
        <w:rPr>
          <w:rFonts w:ascii="Arial" w:cs="Arial" w:eastAsia="Arial" w:hAnsi="Arial"/>
          <w:sz w:val="15"/>
          <w:szCs w:val="15"/>
          <w:color w:val="FF0000"/>
        </w:rPr>
        <w:t xml:space="preserve"> </w:t>
      </w:r>
      <w:r>
        <w:rPr>
          <w:rFonts w:ascii="Arial" w:cs="Arial" w:eastAsia="Arial" w:hAnsi="Arial"/>
          <w:sz w:val="15"/>
          <w:szCs w:val="15"/>
          <w:i w:val="1"/>
          <w:iCs w:val="1"/>
          <w:color w:val="000000"/>
        </w:rPr>
        <w:t xml:space="preserve">réunion du </w:t>
      </w:r>
      <w:r>
        <w:rPr>
          <w:rFonts w:ascii="Arial" w:cs="Arial" w:eastAsia="Arial" w:hAnsi="Arial"/>
          <w:sz w:val="15"/>
          <w:szCs w:val="15"/>
          <w:color w:val="FF0000"/>
          <w:strike w:val="1"/>
        </w:rPr>
        <w:t>conseil d’administration</w:t>
      </w:r>
      <w:r>
        <w:rPr>
          <w:rFonts w:ascii="Arial" w:cs="Arial" w:eastAsia="Arial" w:hAnsi="Arial"/>
          <w:sz w:val="15"/>
          <w:szCs w:val="15"/>
          <w:i w:val="1"/>
          <w:iCs w:val="1"/>
          <w:color w:val="000000"/>
        </w:rPr>
        <w:t xml:space="preserve"> </w:t>
      </w:r>
      <w:r>
        <w:rPr>
          <w:rFonts w:ascii="Arial" w:cs="Arial" w:eastAsia="Arial" w:hAnsi="Arial"/>
          <w:sz w:val="15"/>
          <w:szCs w:val="15"/>
          <w:i w:val="1"/>
          <w:iCs w:val="1"/>
          <w:u w:val="single" w:color="auto"/>
          <w:color w:val="0000FF"/>
        </w:rPr>
        <w:t>Conseil d’Administration</w:t>
      </w:r>
      <w:r>
        <w:rPr>
          <w:rFonts w:ascii="Arial" w:cs="Arial" w:eastAsia="Arial" w:hAnsi="Arial"/>
          <w:sz w:val="15"/>
          <w:szCs w:val="15"/>
          <w:i w:val="1"/>
          <w:iCs w:val="1"/>
          <w:color w:val="000000"/>
        </w:rPr>
        <w:t xml:space="preserve"> </w:t>
      </w:r>
      <w:r>
        <w:rPr>
          <w:rFonts w:ascii="Arial" w:cs="Arial" w:eastAsia="Arial" w:hAnsi="Arial"/>
          <w:sz w:val="15"/>
          <w:szCs w:val="15"/>
          <w:color w:val="000000"/>
        </w:rPr>
        <w:t>dûment convoquée et tenue. Une</w:t>
      </w:r>
      <w:r>
        <w:rPr>
          <w:rFonts w:ascii="Arial" w:cs="Arial" w:eastAsia="Arial" w:hAnsi="Arial"/>
          <w:sz w:val="15"/>
          <w:szCs w:val="15"/>
          <w:i w:val="1"/>
          <w:iCs w:val="1"/>
          <w:color w:val="000000"/>
        </w:rPr>
        <w:t xml:space="preserve"> </w:t>
      </w:r>
      <w:r>
        <w:rPr>
          <w:rFonts w:ascii="Arial" w:cs="Arial" w:eastAsia="Arial" w:hAnsi="Arial"/>
          <w:sz w:val="15"/>
          <w:szCs w:val="15"/>
          <w:color w:val="000000"/>
        </w:rPr>
        <w:t>telle décision peut être consignée dans un document unique</w:t>
      </w:r>
      <w:r>
        <w:rPr>
          <w:rFonts w:ascii="Arial" w:cs="Arial" w:eastAsia="Arial" w:hAnsi="Arial"/>
          <w:sz w:val="15"/>
          <w:szCs w:val="15"/>
          <w:i w:val="1"/>
          <w:iCs w:val="1"/>
          <w:u w:val="single" w:color="auto"/>
          <w:color w:val="0000FF"/>
        </w:rPr>
        <w:t>, signée par tous les</w:t>
      </w:r>
      <w:r>
        <w:rPr>
          <w:rFonts w:ascii="Arial" w:cs="Arial" w:eastAsia="Arial" w:hAnsi="Arial"/>
          <w:sz w:val="15"/>
          <w:szCs w:val="15"/>
          <w:color w:val="000000"/>
        </w:rPr>
        <w:t xml:space="preserve"> </w:t>
      </w:r>
      <w:r>
        <w:rPr>
          <w:rFonts w:ascii="Arial" w:cs="Arial" w:eastAsia="Arial" w:hAnsi="Arial"/>
          <w:sz w:val="15"/>
          <w:szCs w:val="15"/>
          <w:i w:val="1"/>
          <w:iCs w:val="1"/>
          <w:u w:val="single" w:color="auto"/>
          <w:color w:val="0000FF"/>
        </w:rPr>
        <w:t>Administrateurs,</w:t>
      </w:r>
      <w:r>
        <w:rPr>
          <w:rFonts w:ascii="Arial" w:cs="Arial" w:eastAsia="Arial" w:hAnsi="Arial"/>
          <w:sz w:val="15"/>
          <w:szCs w:val="15"/>
          <w:i w:val="1"/>
          <w:iCs w:val="1"/>
          <w:color w:val="0000FF"/>
        </w:rPr>
        <w:t xml:space="preserve"> </w:t>
      </w:r>
      <w:r>
        <w:rPr>
          <w:rFonts w:ascii="Arial" w:cs="Arial" w:eastAsia="Arial" w:hAnsi="Arial"/>
          <w:sz w:val="15"/>
          <w:szCs w:val="15"/>
          <w:color w:val="000000"/>
        </w:rPr>
        <w:t>ou dans</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plusieurs</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documents</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distincts ayant le même contenu et</w:t>
      </w:r>
      <w:r>
        <w:rPr>
          <w:rFonts w:ascii="Arial" w:cs="Arial" w:eastAsia="Arial" w:hAnsi="Arial"/>
          <w:sz w:val="15"/>
          <w:szCs w:val="15"/>
          <w:i w:val="1"/>
          <w:iCs w:val="1"/>
          <w:u w:val="single" w:color="auto"/>
          <w:color w:val="0000FF"/>
        </w:rPr>
        <w:t>identiques</w:t>
      </w:r>
      <w:r>
        <w:rPr>
          <w:rFonts w:ascii="Arial" w:cs="Arial" w:eastAsia="Arial" w:hAnsi="Arial"/>
          <w:sz w:val="15"/>
          <w:szCs w:val="15"/>
          <w:i w:val="1"/>
          <w:iCs w:val="1"/>
          <w:color w:val="0000FF"/>
        </w:rPr>
        <w:t xml:space="preserve"> </w:t>
      </w:r>
      <w:r>
        <w:rPr>
          <w:rFonts w:ascii="Arial" w:cs="Arial" w:eastAsia="Arial" w:hAnsi="Arial"/>
          <w:sz w:val="15"/>
          <w:szCs w:val="15"/>
          <w:i w:val="1"/>
          <w:iCs w:val="1"/>
          <w:u w:val="single" w:color="auto"/>
          <w:color w:val="0000FF"/>
        </w:rPr>
        <w:t>séparés,</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chacun</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d’eux étant</w:t>
      </w:r>
      <w:r>
        <w:rPr>
          <w:rFonts w:ascii="Arial" w:cs="Arial" w:eastAsia="Arial" w:hAnsi="Arial"/>
          <w:sz w:val="15"/>
          <w:szCs w:val="15"/>
          <w:i w:val="1"/>
          <w:iCs w:val="1"/>
          <w:u w:val="single" w:color="auto"/>
          <w:color w:val="0000FF"/>
        </w:rPr>
        <w:t>d’eux</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signé par un</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ou plusieurs Administrateurs.</w:t>
      </w:r>
      <w:r>
        <w:rPr>
          <w:rFonts w:ascii="Arial" w:cs="Arial" w:eastAsia="Arial" w:hAnsi="Arial"/>
          <w:sz w:val="15"/>
          <w:szCs w:val="15"/>
          <w:i w:val="1"/>
          <w:iCs w:val="1"/>
          <w:color w:val="0000FF"/>
        </w:rPr>
        <w:t xml:space="preserve"> </w:t>
      </w:r>
      <w:r>
        <w:rPr>
          <w:rFonts w:ascii="Arial" w:cs="Arial" w:eastAsia="Arial" w:hAnsi="Arial"/>
          <w:sz w:val="15"/>
          <w:szCs w:val="15"/>
          <w:i w:val="1"/>
          <w:iCs w:val="1"/>
          <w:u w:val="single" w:color="auto"/>
          <w:color w:val="0000FF"/>
        </w:rPr>
        <w:t>Administrateur.</w:t>
      </w:r>
    </w:p>
    <w:p>
      <w:pPr>
        <w:spacing w:after="0" w:line="99" w:lineRule="exact"/>
        <w:rPr>
          <w:sz w:val="20"/>
          <w:szCs w:val="20"/>
          <w:color w:val="auto"/>
        </w:rPr>
      </w:pPr>
    </w:p>
    <w:p>
      <w:pPr>
        <w:ind w:left="1060" w:right="1319"/>
        <w:spacing w:after="0" w:line="287" w:lineRule="auto"/>
        <w:rPr>
          <w:sz w:val="20"/>
          <w:szCs w:val="20"/>
          <w:color w:val="auto"/>
        </w:rPr>
      </w:pPr>
      <w:r>
        <w:rPr>
          <w:rFonts w:ascii="Arial" w:cs="Arial" w:eastAsia="Arial" w:hAnsi="Arial"/>
          <w:sz w:val="15"/>
          <w:szCs w:val="15"/>
          <w:i w:val="1"/>
          <w:iCs w:val="1"/>
          <w:color w:val="auto"/>
        </w:rPr>
        <w:t>Les Administrateurs assument, en vertu de leur mandat, aucune responsabilité personnelle pour un engagement valablement pris par eux au nom de la Société.</w:t>
      </w:r>
    </w:p>
    <w:p>
      <w:pPr>
        <w:spacing w:after="0" w:line="63" w:lineRule="exact"/>
        <w:rPr>
          <w:sz w:val="20"/>
          <w:szCs w:val="20"/>
          <w:color w:val="auto"/>
        </w:rPr>
      </w:pPr>
    </w:p>
    <w:p>
      <w:pPr>
        <w:ind w:left="1060" w:right="1359"/>
        <w:spacing w:after="0" w:line="263" w:lineRule="auto"/>
        <w:rPr>
          <w:sz w:val="20"/>
          <w:szCs w:val="20"/>
          <w:color w:val="auto"/>
        </w:rPr>
      </w:pPr>
      <w:r>
        <w:rPr>
          <w:rFonts w:ascii="Arial" w:cs="Arial" w:eastAsia="Arial" w:hAnsi="Arial"/>
          <w:sz w:val="15"/>
          <w:szCs w:val="15"/>
          <w:b w:val="1"/>
          <w:bCs w:val="1"/>
          <w:i w:val="1"/>
          <w:iCs w:val="1"/>
          <w:color w:val="auto"/>
        </w:rPr>
        <w:t xml:space="preserve">Art. 13. Procès-verbaux du Conseil d’Administration. </w:t>
      </w:r>
      <w:r>
        <w:rPr>
          <w:rFonts w:ascii="Arial" w:cs="Arial" w:eastAsia="Arial" w:hAnsi="Arial"/>
          <w:sz w:val="15"/>
          <w:szCs w:val="15"/>
          <w:i w:val="1"/>
          <w:iCs w:val="1"/>
          <w:color w:val="auto"/>
        </w:rPr>
        <w:t>Les procès-verbaux de la réunion du</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 xml:space="preserve">Conseil d’Administration doivent être signés par </w:t>
      </w:r>
      <w:r>
        <w:rPr>
          <w:rFonts w:ascii="Arial" w:cs="Arial" w:eastAsia="Arial" w:hAnsi="Arial"/>
          <w:sz w:val="15"/>
          <w:szCs w:val="15"/>
          <w:color w:val="FF0000"/>
          <w:strike w:val="1"/>
        </w:rPr>
        <w:t>tous les Administrateurs présents et capables</w:t>
      </w:r>
      <w:r>
        <w:rPr>
          <w:rFonts w:ascii="Arial" w:cs="Arial" w:eastAsia="Arial" w:hAnsi="Arial"/>
          <w:sz w:val="15"/>
          <w:szCs w:val="15"/>
          <w:i w:val="1"/>
          <w:iCs w:val="1"/>
          <w:color w:val="auto"/>
        </w:rPr>
        <w:t xml:space="preserve"> </w:t>
      </w:r>
      <w:r>
        <w:rPr>
          <w:rFonts w:ascii="Arial" w:cs="Arial" w:eastAsia="Arial" w:hAnsi="Arial"/>
          <w:sz w:val="15"/>
          <w:szCs w:val="15"/>
          <w:color w:val="FF0000"/>
          <w:strike w:val="1"/>
        </w:rPr>
        <w:t xml:space="preserve">d’exercer leur droit de vote. Toutes les procurations y seront annexées. </w:t>
      </w:r>
      <w:r>
        <w:rPr>
          <w:rFonts w:ascii="Arial" w:cs="Arial" w:eastAsia="Arial" w:hAnsi="Arial"/>
          <w:sz w:val="15"/>
          <w:szCs w:val="15"/>
          <w:i w:val="1"/>
          <w:iCs w:val="1"/>
          <w:u w:val="single" w:color="auto"/>
          <w:color w:val="0000FF"/>
          <w:strike w:val="1"/>
        </w:rPr>
        <w:t>le Président ou le</w:t>
      </w:r>
      <w:r>
        <w:rPr>
          <w:rFonts w:ascii="Arial" w:cs="Arial" w:eastAsia="Arial" w:hAnsi="Arial"/>
          <w:sz w:val="15"/>
          <w:szCs w:val="15"/>
          <w:color w:val="FF0000"/>
          <w:strike w:val="1"/>
        </w:rPr>
        <w:t xml:space="preserve"> </w:t>
      </w:r>
      <w:r>
        <w:rPr>
          <w:rFonts w:ascii="Arial" w:cs="Arial" w:eastAsia="Arial" w:hAnsi="Arial"/>
          <w:sz w:val="15"/>
          <w:szCs w:val="15"/>
          <w:i w:val="1"/>
          <w:iCs w:val="1"/>
          <w:u w:val="single" w:color="auto"/>
          <w:color w:val="0000FF"/>
          <w:strike w:val="1"/>
        </w:rPr>
        <w:t>Secrétaire.</w:t>
      </w:r>
    </w:p>
    <w:p>
      <w:pPr>
        <w:spacing w:after="0" w:line="92" w:lineRule="exact"/>
        <w:rPr>
          <w:sz w:val="20"/>
          <w:szCs w:val="20"/>
          <w:color w:val="auto"/>
        </w:rPr>
      </w:pPr>
    </w:p>
    <w:p>
      <w:pPr>
        <w:ind w:left="1060" w:right="2159"/>
        <w:spacing w:after="0" w:line="288" w:lineRule="auto"/>
        <w:rPr>
          <w:sz w:val="20"/>
          <w:szCs w:val="20"/>
          <w:color w:val="auto"/>
        </w:rPr>
      </w:pPr>
      <w:r>
        <w:rPr>
          <w:rFonts w:ascii="Arial" w:cs="Arial" w:eastAsia="Arial" w:hAnsi="Arial"/>
          <w:sz w:val="15"/>
          <w:szCs w:val="15"/>
          <w:i w:val="1"/>
          <w:iCs w:val="1"/>
          <w:color w:val="auto"/>
        </w:rPr>
        <w:t>Les copies ou les extraits de ceux-ci doivent être certifiées par le Secrétaire du Conseil d’Administration.</w:t>
      </w:r>
    </w:p>
    <w:p>
      <w:pPr>
        <w:spacing w:after="0" w:line="72" w:lineRule="exact"/>
        <w:rPr>
          <w:sz w:val="20"/>
          <w:szCs w:val="20"/>
          <w:color w:val="auto"/>
        </w:rPr>
      </w:pPr>
    </w:p>
    <w:p>
      <w:pPr>
        <w:ind w:left="1060" w:right="1099"/>
        <w:spacing w:after="0" w:line="259" w:lineRule="auto"/>
        <w:rPr>
          <w:sz w:val="20"/>
          <w:szCs w:val="20"/>
          <w:color w:val="auto"/>
        </w:rPr>
      </w:pPr>
      <w:r>
        <w:rPr>
          <w:rFonts w:ascii="Arial" w:cs="Arial" w:eastAsia="Arial" w:hAnsi="Arial"/>
          <w:sz w:val="15"/>
          <w:szCs w:val="15"/>
          <w:b w:val="1"/>
          <w:bCs w:val="1"/>
          <w:i w:val="1"/>
          <w:iCs w:val="1"/>
          <w:color w:val="auto"/>
        </w:rPr>
        <w:t xml:space="preserve">Art. 14. Pouvoirs Généraux des Administrateurs. </w:t>
      </w:r>
      <w:r>
        <w:rPr>
          <w:rFonts w:ascii="Arial" w:cs="Arial" w:eastAsia="Arial" w:hAnsi="Arial"/>
          <w:sz w:val="15"/>
          <w:szCs w:val="15"/>
          <w:i w:val="1"/>
          <w:iCs w:val="1"/>
          <w:color w:val="auto"/>
        </w:rPr>
        <w:t>Le Conseil d’Administration est investi des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pouvoirs les plus étendus pour agir au nom et pour le compte de la Société et pour accomplir et autoriser tous les actes d’administration ou de disposition qui sont nécessaires ou utiles pour la réalisation de l’objet social de la Société. Tous les pouvoirs qui ne sont pas expressément réservés par la Loi ou par les présents Statuts à l’assemblée générale des actionnaires sont de la compétence du Conseil d’Administration.</w:t>
      </w:r>
    </w:p>
    <w:p>
      <w:pPr>
        <w:spacing w:after="0" w:line="82" w:lineRule="exact"/>
        <w:rPr>
          <w:sz w:val="20"/>
          <w:szCs w:val="20"/>
          <w:color w:val="auto"/>
        </w:rPr>
      </w:pPr>
    </w:p>
    <w:p>
      <w:pPr>
        <w:ind w:left="1060" w:right="1099"/>
        <w:spacing w:after="0" w:line="263" w:lineRule="auto"/>
        <w:rPr>
          <w:sz w:val="20"/>
          <w:szCs w:val="20"/>
          <w:color w:val="auto"/>
        </w:rPr>
      </w:pPr>
      <w:r>
        <w:rPr>
          <w:rFonts w:ascii="Arial" w:cs="Arial" w:eastAsia="Arial" w:hAnsi="Arial"/>
          <w:sz w:val="15"/>
          <w:szCs w:val="15"/>
          <w:i w:val="1"/>
          <w:iCs w:val="1"/>
          <w:color w:val="auto"/>
        </w:rPr>
        <w:t>Le Conseil d’Administration, peut librement décider de rembourser tout compte de prime d’émission ou les réserves disponibles ou les fonds disponibles sur le compte d’apport en capital (compte 115 “Apport en capitaux propres non rémunéré par des titres”) de la Société à ses actionnaires, conformément aux dispositions de la Loi.</w:t>
      </w:r>
    </w:p>
    <w:p>
      <w:pPr>
        <w:spacing w:after="0" w:line="92" w:lineRule="exact"/>
        <w:rPr>
          <w:sz w:val="20"/>
          <w:szCs w:val="20"/>
          <w:color w:val="auto"/>
        </w:rPr>
      </w:pPr>
    </w:p>
    <w:p>
      <w:pPr>
        <w:ind w:left="1060" w:right="1119"/>
        <w:spacing w:after="0" w:line="263" w:lineRule="auto"/>
        <w:rPr>
          <w:sz w:val="20"/>
          <w:szCs w:val="20"/>
          <w:color w:val="auto"/>
        </w:rPr>
      </w:pPr>
      <w:r>
        <w:rPr>
          <w:rFonts w:ascii="Arial" w:cs="Arial" w:eastAsia="Arial" w:hAnsi="Arial"/>
          <w:sz w:val="15"/>
          <w:szCs w:val="15"/>
          <w:b w:val="1"/>
          <w:bCs w:val="1"/>
          <w:i w:val="1"/>
          <w:iCs w:val="1"/>
          <w:color w:val="auto"/>
        </w:rPr>
        <w:t xml:space="preserve">Art. 15. Confidentialité. </w:t>
      </w:r>
      <w:r>
        <w:rPr>
          <w:rFonts w:ascii="Arial" w:cs="Arial" w:eastAsia="Arial" w:hAnsi="Arial"/>
          <w:sz w:val="15"/>
          <w:szCs w:val="15"/>
          <w:i w:val="1"/>
          <w:iCs w:val="1"/>
          <w:color w:val="auto"/>
        </w:rPr>
        <w:t>Après le terme de leur mandat, le(s) Administrateur(s) resteront tenus de ne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pas révéler les informations relatives à la Société qui pourraient contrevenir aux intérêts de cette dernière, sauf si la révélation de ces informations est requise par la loi ou l’intérêt public, conformément à et sous réserve des dispositions de l’Article 444-6 de la Loi.</w:t>
      </w:r>
    </w:p>
    <w:p>
      <w:pPr>
        <w:spacing w:after="0" w:line="92" w:lineRule="exact"/>
        <w:rPr>
          <w:sz w:val="20"/>
          <w:szCs w:val="20"/>
          <w:color w:val="auto"/>
        </w:rPr>
      </w:pPr>
    </w:p>
    <w:p>
      <w:pPr>
        <w:ind w:left="1060" w:right="1359"/>
        <w:spacing w:after="0" w:line="263" w:lineRule="auto"/>
        <w:rPr>
          <w:sz w:val="20"/>
          <w:szCs w:val="20"/>
          <w:color w:val="auto"/>
        </w:rPr>
      </w:pPr>
      <w:r>
        <w:rPr>
          <w:rFonts w:ascii="Arial" w:cs="Arial" w:eastAsia="Arial" w:hAnsi="Arial"/>
          <w:sz w:val="15"/>
          <w:szCs w:val="15"/>
          <w:b w:val="1"/>
          <w:bCs w:val="1"/>
          <w:i w:val="1"/>
          <w:iCs w:val="1"/>
          <w:color w:val="auto"/>
        </w:rPr>
        <w:t xml:space="preserve">Art.16. Comités, Délégation de Pouvoir. </w:t>
      </w:r>
      <w:r>
        <w:rPr>
          <w:rFonts w:ascii="Arial" w:cs="Arial" w:eastAsia="Arial" w:hAnsi="Arial"/>
          <w:sz w:val="15"/>
          <w:szCs w:val="15"/>
          <w:i w:val="1"/>
          <w:iCs w:val="1"/>
          <w:color w:val="auto"/>
        </w:rPr>
        <w:t>Le Conseil d’Administration peut nommer des comités,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incluant sans s’y limiter, un Comité Exécutif, un Comité d’Audit, un Comité de Nomination et de Gouvernance et un Comité de Compensation (un “</w:t>
      </w:r>
      <w:r>
        <w:rPr>
          <w:rFonts w:ascii="Arial" w:cs="Arial" w:eastAsia="Arial" w:hAnsi="Arial"/>
          <w:sz w:val="15"/>
          <w:szCs w:val="15"/>
          <w:b w:val="1"/>
          <w:bCs w:val="1"/>
          <w:i w:val="1"/>
          <w:iCs w:val="1"/>
          <w:color w:val="auto"/>
        </w:rPr>
        <w:t>Comité</w:t>
      </w:r>
      <w:r>
        <w:rPr>
          <w:rFonts w:ascii="Arial" w:cs="Arial" w:eastAsia="Arial" w:hAnsi="Arial"/>
          <w:sz w:val="15"/>
          <w:szCs w:val="15"/>
          <w:i w:val="1"/>
          <w:iCs w:val="1"/>
          <w:color w:val="auto"/>
        </w:rPr>
        <w:t>” et collectivement des “</w:t>
      </w:r>
      <w:r>
        <w:rPr>
          <w:rFonts w:ascii="Arial" w:cs="Arial" w:eastAsia="Arial" w:hAnsi="Arial"/>
          <w:sz w:val="15"/>
          <w:szCs w:val="15"/>
          <w:b w:val="1"/>
          <w:bCs w:val="1"/>
          <w:i w:val="1"/>
          <w:iCs w:val="1"/>
          <w:color w:val="auto"/>
        </w:rPr>
        <w:t>Comités</w:t>
      </w:r>
      <w:r>
        <w:rPr>
          <w:rFonts w:ascii="Arial" w:cs="Arial" w:eastAsia="Arial" w:hAnsi="Arial"/>
          <w:sz w:val="15"/>
          <w:szCs w:val="15"/>
          <w:i w:val="1"/>
          <w:iCs w:val="1"/>
          <w:color w:val="auto"/>
        </w:rPr>
        <w:t>”). Le Conseil d’Administration déterminera la composition et l’objet de chacun de ces Comités.</w:t>
      </w:r>
    </w:p>
    <w:p>
      <w:pPr>
        <w:spacing w:after="0" w:line="81" w:lineRule="exact"/>
        <w:rPr>
          <w:sz w:val="20"/>
          <w:szCs w:val="20"/>
          <w:color w:val="auto"/>
        </w:rPr>
      </w:pPr>
    </w:p>
    <w:p>
      <w:pPr>
        <w:ind w:left="1060" w:right="1199"/>
        <w:spacing w:after="0" w:line="260" w:lineRule="auto"/>
        <w:rPr>
          <w:sz w:val="20"/>
          <w:szCs w:val="20"/>
          <w:color w:val="auto"/>
        </w:rPr>
      </w:pPr>
      <w:r>
        <w:rPr>
          <w:rFonts w:ascii="Arial" w:cs="Arial" w:eastAsia="Arial" w:hAnsi="Arial"/>
          <w:sz w:val="15"/>
          <w:szCs w:val="15"/>
          <w:i w:val="1"/>
          <w:iCs w:val="1"/>
          <w:color w:val="auto"/>
        </w:rPr>
        <w:t>Le Conseil d’Administration peut déléguer ses pouvoirs relatifs à la conduite de la gestion et des affaires journalières de la Société à un ou plusieurs membres du Conseil d’Administration, gérants ou autre dirigeant qui n’ont pas besoin d’être actionnaire de la Société Actionnaire de la Société, y compris sous la forme d’un Comité Exécutif, selon les termes et les pouvoirs que le Conseil d’Administration déterminera.</w:t>
      </w:r>
    </w:p>
    <w:p>
      <w:pPr>
        <w:spacing w:after="0" w:line="95"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Le Conseil d’Administration pourra également déléguer ses pouvoirs de direction à un comité de</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direction ou à un directeur général, conformément aux et sous réserves des dispositions de</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l’Article 441-11 de la Loi. Le Conseil d’Administration sera autorisé à déterminer les conditions de leur</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nomination, révocation, rémunérations (le cas échéant), durée de mandat et procédure décisionnelle.</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Le Conseil d’Administration supervisera le comité de direction et le directeur général, le cas échéant.</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Les membres du comité de direction et le directeur général, le cas échéant, devront se conformer à la</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procédure de conflits d’intérêts prévue à l’Article 441-12 de la Loi, ainsi qu’aux obligations de</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confidentialité prévues à l’Article 444-6 de la Loi.</w:t>
      </w:r>
    </w:p>
    <w:p>
      <w:pPr>
        <w:spacing w:after="0" w:line="119" w:lineRule="exact"/>
        <w:rPr>
          <w:sz w:val="20"/>
          <w:szCs w:val="20"/>
          <w:color w:val="auto"/>
        </w:rPr>
      </w:pPr>
    </w:p>
    <w:p>
      <w:pPr>
        <w:ind w:left="1060" w:right="1219"/>
        <w:spacing w:after="0" w:line="263" w:lineRule="auto"/>
        <w:rPr>
          <w:sz w:val="20"/>
          <w:szCs w:val="20"/>
          <w:color w:val="auto"/>
        </w:rPr>
      </w:pPr>
      <w:r>
        <w:rPr>
          <w:rFonts w:ascii="Arial" w:cs="Arial" w:eastAsia="Arial" w:hAnsi="Arial"/>
          <w:sz w:val="15"/>
          <w:szCs w:val="15"/>
          <w:i w:val="1"/>
          <w:iCs w:val="1"/>
          <w:color w:val="auto"/>
        </w:rPr>
        <w:t>Le Conseil d’Administration peut aussi conférer certains pouvoirs et/ou mandats spéciaux à un ou plusieurs membres du Conseil d’Administration ou à toute autre personne, qui n’a pas besoin d’être Administrateur ou actionnaire de la Société, agissant seul ou conjointement, selon les termes et avec les pouvoirs tels que déterminés par le Conseil d’Administration.</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8" w:name="page79"/>
    <w:bookmarkEnd w:id="78"/>
    <w:p>
      <w:pPr>
        <w:ind w:left="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60" w:right="1339"/>
        <w:spacing w:after="0" w:line="263" w:lineRule="auto"/>
        <w:rPr>
          <w:sz w:val="20"/>
          <w:szCs w:val="20"/>
          <w:color w:val="auto"/>
        </w:rPr>
      </w:pPr>
      <w:r>
        <w:rPr>
          <w:rFonts w:ascii="Arial" w:cs="Arial" w:eastAsia="Arial" w:hAnsi="Arial"/>
          <w:sz w:val="15"/>
          <w:szCs w:val="15"/>
          <w:i w:val="1"/>
          <w:iCs w:val="1"/>
          <w:color w:val="auto"/>
        </w:rPr>
        <w:t>Lorsque le Conseil d’Administration délègue son pouvoir pour assurer la gestion journalière comme l’autorise les présents Statuts, alors le Conseil d’Administration doit reporter chaque année à l’assemblée générale annuelle des actionnaires le salaire, les honoraires, et tout avantage accordé au/aux délégué(s).</w:t>
      </w:r>
    </w:p>
    <w:p>
      <w:pPr>
        <w:spacing w:after="0" w:line="92" w:lineRule="exact"/>
        <w:rPr>
          <w:sz w:val="20"/>
          <w:szCs w:val="20"/>
          <w:color w:val="auto"/>
        </w:rPr>
      </w:pPr>
    </w:p>
    <w:p>
      <w:pPr>
        <w:ind w:left="1060"/>
        <w:spacing w:after="0"/>
        <w:tabs>
          <w:tab w:leader="none" w:pos="3820" w:val="left"/>
        </w:tabs>
        <w:rPr>
          <w:sz w:val="20"/>
          <w:szCs w:val="20"/>
          <w:color w:val="auto"/>
        </w:rPr>
      </w:pPr>
      <w:r>
        <w:rPr>
          <w:rFonts w:ascii="Arial" w:cs="Arial" w:eastAsia="Arial" w:hAnsi="Arial"/>
          <w:sz w:val="15"/>
          <w:szCs w:val="15"/>
          <w:b w:val="1"/>
          <w:bCs w:val="1"/>
          <w:i w:val="1"/>
          <w:iCs w:val="1"/>
          <w:color w:val="auto"/>
        </w:rPr>
        <w:t>Art. 17. Représentation de la Société.</w:t>
      </w:r>
      <w:r>
        <w:rPr>
          <w:sz w:val="20"/>
          <w:szCs w:val="20"/>
          <w:color w:val="auto"/>
        </w:rPr>
        <w:tab/>
      </w:r>
      <w:r>
        <w:rPr>
          <w:rFonts w:ascii="Arial" w:cs="Arial" w:eastAsia="Arial" w:hAnsi="Arial"/>
          <w:sz w:val="15"/>
          <w:szCs w:val="15"/>
          <w:i w:val="1"/>
          <w:iCs w:val="1"/>
          <w:color w:val="auto"/>
        </w:rPr>
        <w:t>La Société sera engagée à l’égard des tiers par:</w:t>
      </w:r>
    </w:p>
    <w:p>
      <w:pPr>
        <w:spacing w:after="0" w:line="144" w:lineRule="exact"/>
        <w:rPr>
          <w:sz w:val="20"/>
          <w:szCs w:val="20"/>
          <w:color w:val="auto"/>
        </w:rPr>
      </w:pPr>
    </w:p>
    <w:p>
      <w:pPr>
        <w:ind w:left="1360" w:hanging="295"/>
        <w:spacing w:after="0"/>
        <w:tabs>
          <w:tab w:leader="none" w:pos="1360" w:val="left"/>
        </w:tabs>
        <w:numPr>
          <w:ilvl w:val="0"/>
          <w:numId w:val="65"/>
        </w:numPr>
        <w:rPr>
          <w:rFonts w:ascii="Arial" w:cs="Arial" w:eastAsia="Arial" w:hAnsi="Arial"/>
          <w:sz w:val="15"/>
          <w:szCs w:val="15"/>
          <w:i w:val="1"/>
          <w:iCs w:val="1"/>
          <w:u w:val="single" w:color="auto"/>
          <w:color w:val="0000FF"/>
        </w:rPr>
      </w:pPr>
      <w:r>
        <w:rPr>
          <w:rFonts w:ascii="Arial" w:cs="Arial" w:eastAsia="Arial" w:hAnsi="Arial"/>
          <w:sz w:val="15"/>
          <w:szCs w:val="15"/>
          <w:i w:val="1"/>
          <w:iCs w:val="1"/>
          <w:color w:val="auto"/>
        </w:rPr>
        <w:t>La signature conjointe de deux administrateurs;</w:t>
      </w:r>
    </w:p>
    <w:p>
      <w:pPr>
        <w:spacing w:after="0" w:line="132" w:lineRule="exact"/>
        <w:rPr>
          <w:rFonts w:ascii="Arial" w:cs="Arial" w:eastAsia="Arial" w:hAnsi="Arial"/>
          <w:sz w:val="15"/>
          <w:szCs w:val="15"/>
          <w:i w:val="1"/>
          <w:iCs w:val="1"/>
          <w:u w:val="single" w:color="auto"/>
          <w:color w:val="0000FF"/>
        </w:rPr>
      </w:pPr>
    </w:p>
    <w:p>
      <w:pPr>
        <w:ind w:left="1360" w:right="1659" w:hanging="295"/>
        <w:spacing w:after="0" w:line="288" w:lineRule="auto"/>
        <w:tabs>
          <w:tab w:leader="none" w:pos="1360" w:val="left"/>
        </w:tabs>
        <w:numPr>
          <w:ilvl w:val="0"/>
          <w:numId w:val="65"/>
        </w:numPr>
        <w:rPr>
          <w:rFonts w:ascii="Arial" w:cs="Arial" w:eastAsia="Arial" w:hAnsi="Arial"/>
          <w:sz w:val="15"/>
          <w:szCs w:val="15"/>
          <w:i w:val="1"/>
          <w:iCs w:val="1"/>
          <w:u w:val="single" w:color="auto"/>
          <w:color w:val="0000FF"/>
        </w:rPr>
      </w:pPr>
      <w:r>
        <w:rPr>
          <w:rFonts w:ascii="Arial" w:cs="Arial" w:eastAsia="Arial" w:hAnsi="Arial"/>
          <w:sz w:val="15"/>
          <w:szCs w:val="15"/>
          <w:i w:val="1"/>
          <w:iCs w:val="1"/>
          <w:color w:val="auto"/>
        </w:rPr>
        <w:t>La signature individuelle du/des membre(s) d’un comité de direction, si un tel comité a été constitué par le Conseil d’Administration; et</w:t>
      </w:r>
    </w:p>
    <w:p>
      <w:pPr>
        <w:spacing w:after="0" w:line="83" w:lineRule="exact"/>
        <w:rPr>
          <w:rFonts w:ascii="Arial" w:cs="Arial" w:eastAsia="Arial" w:hAnsi="Arial"/>
          <w:sz w:val="15"/>
          <w:szCs w:val="15"/>
          <w:i w:val="1"/>
          <w:iCs w:val="1"/>
          <w:u w:val="single" w:color="auto"/>
          <w:color w:val="0000FF"/>
        </w:rPr>
      </w:pPr>
    </w:p>
    <w:p>
      <w:pPr>
        <w:ind w:left="1360" w:right="1979" w:hanging="295"/>
        <w:spacing w:after="0" w:line="288" w:lineRule="auto"/>
        <w:tabs>
          <w:tab w:leader="none" w:pos="1360" w:val="left"/>
        </w:tabs>
        <w:numPr>
          <w:ilvl w:val="0"/>
          <w:numId w:val="65"/>
        </w:numPr>
        <w:rPr>
          <w:rFonts w:ascii="Arial" w:cs="Arial" w:eastAsia="Arial" w:hAnsi="Arial"/>
          <w:sz w:val="15"/>
          <w:szCs w:val="15"/>
          <w:i w:val="1"/>
          <w:iCs w:val="1"/>
          <w:u w:val="single" w:color="auto"/>
          <w:color w:val="0000FF"/>
        </w:rPr>
      </w:pPr>
      <w:r>
        <w:rPr>
          <w:rFonts w:ascii="Arial" w:cs="Arial" w:eastAsia="Arial" w:hAnsi="Arial"/>
          <w:sz w:val="15"/>
          <w:szCs w:val="15"/>
          <w:i w:val="1"/>
          <w:iCs w:val="1"/>
          <w:color w:val="auto"/>
        </w:rPr>
        <w:t>La signature du directeur général, si un directeur général a été nommé par le Conseil d’Administration;</w:t>
      </w:r>
    </w:p>
    <w:p>
      <w:pPr>
        <w:spacing w:after="0" w:line="72" w:lineRule="exact"/>
        <w:rPr>
          <w:rFonts w:ascii="Arial" w:cs="Arial" w:eastAsia="Arial" w:hAnsi="Arial"/>
          <w:sz w:val="15"/>
          <w:szCs w:val="15"/>
          <w:i w:val="1"/>
          <w:iCs w:val="1"/>
          <w:u w:val="single" w:color="auto"/>
          <w:color w:val="0000FF"/>
        </w:rPr>
      </w:pPr>
    </w:p>
    <w:p>
      <w:pPr>
        <w:ind w:left="1360" w:right="1199" w:hanging="295"/>
        <w:spacing w:after="0" w:line="269" w:lineRule="auto"/>
        <w:tabs>
          <w:tab w:leader="none" w:pos="1360" w:val="left"/>
        </w:tabs>
        <w:numPr>
          <w:ilvl w:val="0"/>
          <w:numId w:val="65"/>
        </w:numPr>
        <w:rPr>
          <w:rFonts w:ascii="Arial" w:cs="Arial" w:eastAsia="Arial" w:hAnsi="Arial"/>
          <w:sz w:val="15"/>
          <w:szCs w:val="15"/>
          <w:i w:val="1"/>
          <w:iCs w:val="1"/>
          <w:u w:val="single" w:color="auto"/>
          <w:color w:val="0000FF"/>
        </w:rPr>
      </w:pPr>
      <w:r>
        <w:rPr>
          <w:rFonts w:ascii="Arial" w:cs="Arial" w:eastAsia="Arial" w:hAnsi="Arial"/>
          <w:sz w:val="15"/>
          <w:szCs w:val="15"/>
          <w:i w:val="1"/>
          <w:iCs w:val="1"/>
          <w:color w:val="auto"/>
        </w:rPr>
        <w:t>La signature individuelle de toute autre personne à qui le Conseil d’Administration a délégué la gestion journalière de la Société conformément au présent article, et seulement dans le cadre de la gestion journalière;</w:t>
      </w:r>
    </w:p>
    <w:p>
      <w:pPr>
        <w:spacing w:after="0" w:line="98" w:lineRule="exact"/>
        <w:rPr>
          <w:rFonts w:ascii="Arial" w:cs="Arial" w:eastAsia="Arial" w:hAnsi="Arial"/>
          <w:sz w:val="15"/>
          <w:szCs w:val="15"/>
          <w:i w:val="1"/>
          <w:iCs w:val="1"/>
          <w:u w:val="single" w:color="auto"/>
          <w:color w:val="0000FF"/>
        </w:rPr>
      </w:pPr>
    </w:p>
    <w:p>
      <w:pPr>
        <w:ind w:left="1360" w:right="1139" w:hanging="295"/>
        <w:spacing w:after="0" w:line="288" w:lineRule="auto"/>
        <w:tabs>
          <w:tab w:leader="none" w:pos="1360" w:val="left"/>
        </w:tabs>
        <w:numPr>
          <w:ilvl w:val="0"/>
          <w:numId w:val="65"/>
        </w:numPr>
        <w:rPr>
          <w:rFonts w:ascii="Arial" w:cs="Arial" w:eastAsia="Arial" w:hAnsi="Arial"/>
          <w:sz w:val="15"/>
          <w:szCs w:val="15"/>
          <w:i w:val="1"/>
          <w:iCs w:val="1"/>
          <w:u w:val="single" w:color="auto"/>
          <w:color w:val="0000FF"/>
        </w:rPr>
      </w:pPr>
      <w:r>
        <w:rPr>
          <w:rFonts w:ascii="Arial" w:cs="Arial" w:eastAsia="Arial" w:hAnsi="Arial"/>
          <w:sz w:val="15"/>
          <w:szCs w:val="15"/>
          <w:i w:val="1"/>
          <w:iCs w:val="1"/>
          <w:color w:val="auto"/>
        </w:rPr>
        <w:t>La signature individuelle de toute personne à laquelle l’autorité de signature a été déléguée par le Conseil d’Administration.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-1409700</wp:posOffset>
            </wp:positionV>
            <wp:extent cx="26035"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6035" cy="6985"/>
                    </a:xfrm>
                    <a:prstGeom prst="rect">
                      <a:avLst/>
                    </a:prstGeom>
                    <a:noFill/>
                  </pic:spPr>
                </pic:pic>
              </a:graphicData>
            </a:graphic>
          </wp:anchor>
        </w:drawing>
      </w:r>
    </w:p>
    <w:p>
      <w:pPr>
        <w:spacing w:after="0" w:line="52" w:lineRule="exact"/>
        <w:rPr>
          <w:sz w:val="20"/>
          <w:szCs w:val="20"/>
          <w:color w:val="auto"/>
        </w:rPr>
      </w:pPr>
    </w:p>
    <w:p>
      <w:pPr>
        <w:ind w:left="1060" w:right="1139"/>
        <w:spacing w:after="0" w:line="255" w:lineRule="auto"/>
        <w:rPr>
          <w:sz w:val="20"/>
          <w:szCs w:val="20"/>
          <w:color w:val="auto"/>
        </w:rPr>
      </w:pPr>
      <w:r>
        <w:rPr>
          <w:rFonts w:ascii="Arial" w:cs="Arial" w:eastAsia="Arial" w:hAnsi="Arial"/>
          <w:sz w:val="15"/>
          <w:szCs w:val="15"/>
          <w:b w:val="1"/>
          <w:bCs w:val="1"/>
          <w:i w:val="1"/>
          <w:iCs w:val="1"/>
          <w:color w:val="auto"/>
        </w:rPr>
        <w:t xml:space="preserve">Art. 18. Conflit d’Intérêts. </w:t>
      </w:r>
      <w:r>
        <w:rPr>
          <w:rFonts w:ascii="Arial" w:cs="Arial" w:eastAsia="Arial" w:hAnsi="Arial"/>
          <w:sz w:val="15"/>
          <w:szCs w:val="15"/>
          <w:i w:val="1"/>
          <w:iCs w:val="1"/>
          <w:color w:val="auto"/>
        </w:rPr>
        <w:t>Aucun contrat ou autre transaction entre la Société et toute autre société</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ou entreprise ne sera affecté ou invalidé du fait qu’un ou plusieurs Administrateurs, gérants, associés, membres, fondés de pouvoir ou employés de la Société ont un intérêt personnel ou en sont un administrateur, gérant, associé, membre, fondé de pouvoir ou employé d’une telle autre société ou entreprise. Sauf dispositions contraires ci-dessous, tout Administrateur, gérants, associés, membres, employés ou fondé de pouvoir valablement autorisé de la Société, en ce compris tout Administrateur qui remplira en même temps des fonctions de représentant valablement autorisé pour le compte d’une autre société ou firme avec laquelle la Société contractera ou entrera en toute relation d’affaire, ne sera pas, pour ce seul motif, automatiquement empêché de donner son avis ou d’agir quant à toutes opérations relatives à un tel contrat ou opération.</w:t>
      </w:r>
    </w:p>
    <w:p>
      <w:pPr>
        <w:spacing w:after="0" w:line="90" w:lineRule="exact"/>
        <w:rPr>
          <w:sz w:val="20"/>
          <w:szCs w:val="20"/>
          <w:color w:val="auto"/>
        </w:rPr>
      </w:pPr>
    </w:p>
    <w:p>
      <w:pPr>
        <w:ind w:left="1060" w:right="1119"/>
        <w:spacing w:after="0" w:line="259" w:lineRule="auto"/>
        <w:rPr>
          <w:sz w:val="20"/>
          <w:szCs w:val="20"/>
          <w:color w:val="auto"/>
        </w:rPr>
      </w:pPr>
      <w:r>
        <w:rPr>
          <w:rFonts w:ascii="Arial" w:cs="Arial" w:eastAsia="Arial" w:hAnsi="Arial"/>
          <w:sz w:val="15"/>
          <w:szCs w:val="15"/>
          <w:i w:val="1"/>
          <w:iCs w:val="1"/>
          <w:color w:val="auto"/>
        </w:rPr>
        <w:t>Nonobstant ce qui précède, au cas où un Administrateur ou un dirigent de la Société aurait un intérêt personnel dans une transaction de la Société, autre que les transactions conclues dans des conditions normales et entrant dans le cadre de la gestion quotidienne de la Société, il/elle devra faire connaitre au Conseil d’Administration (s’il en existe un) cet intérêt personnel et ne devra pas examiner ou voter une telle transaction, et cette transaction et l’intérêt de cet transaction et l’intérêt de cet administrateur ou dirigent de la Société devront être rapportés à la prochaine assemblée générale des actionnaires.</w:t>
      </w:r>
    </w:p>
    <w:p>
      <w:pPr>
        <w:spacing w:after="0" w:line="94" w:lineRule="exact"/>
        <w:rPr>
          <w:sz w:val="20"/>
          <w:szCs w:val="20"/>
          <w:color w:val="auto"/>
        </w:rPr>
      </w:pPr>
    </w:p>
    <w:p>
      <w:pPr>
        <w:ind w:left="1060" w:right="1099"/>
        <w:spacing w:after="0" w:line="255" w:lineRule="auto"/>
        <w:rPr>
          <w:sz w:val="20"/>
          <w:szCs w:val="20"/>
          <w:color w:val="auto"/>
        </w:rPr>
      </w:pPr>
      <w:r>
        <w:rPr>
          <w:rFonts w:ascii="Arial" w:cs="Arial" w:eastAsia="Arial" w:hAnsi="Arial"/>
          <w:sz w:val="15"/>
          <w:szCs w:val="15"/>
          <w:i w:val="1"/>
          <w:iCs w:val="1"/>
          <w:color w:val="auto"/>
        </w:rPr>
        <w:t>La Société doit indemniser (ou, le cas échéant, avancer à) tout Administrateur et ses héritiers, exécuteurs et administrateurs testamentaires, de ses dépenses raisonnables en relation avec toute action, procès ou procédure à laquelle il/elle a pu être partie en raison de sa fonction passée ou actuelle de Administrateur, ou, à la demande de la Société, de toute autre société dans laquelle la Société est Actionnaire ou créancière et par laquelle il/elle n’est pas autorisé à être indemnisé, excepté en relation avec les affaires pour lesquelles il/elle est finalement déclaré(e) dans de telles actions, procès et procédures responsable d’une grosse négligence ou d’une faute grave. En cas de règlement amiable d’un conflit, des indemnités doivent être accordées uniquement dans les matières en relation avec le règlement amiable du conflit pour lesquelles, selon le conseiller juridique de la Société, la personne indemnisée n’a pas commis une telle violation de ses obligations. Le droit à indemnité ci-avant n’exclut pas d’autres droits que la personne concernée pourrait revendiquer.</w:t>
      </w:r>
    </w:p>
    <w:p>
      <w:pPr>
        <w:spacing w:after="0" w:line="99" w:lineRule="exact"/>
        <w:rPr>
          <w:sz w:val="20"/>
          <w:szCs w:val="20"/>
          <w:color w:val="auto"/>
        </w:rPr>
      </w:pPr>
    </w:p>
    <w:p>
      <w:pPr>
        <w:ind w:left="1060" w:right="1199"/>
        <w:spacing w:after="0" w:line="269" w:lineRule="auto"/>
        <w:rPr>
          <w:sz w:val="20"/>
          <w:szCs w:val="20"/>
          <w:color w:val="auto"/>
        </w:rPr>
      </w:pPr>
      <w:r>
        <w:rPr>
          <w:rFonts w:ascii="Arial" w:cs="Arial" w:eastAsia="Arial" w:hAnsi="Arial"/>
          <w:sz w:val="15"/>
          <w:szCs w:val="15"/>
          <w:b w:val="1"/>
          <w:bCs w:val="1"/>
          <w:i w:val="1"/>
          <w:iCs w:val="1"/>
          <w:color w:val="auto"/>
        </w:rPr>
        <w:t xml:space="preserve">Art. 19. Commissaires aux Comptes. </w:t>
      </w:r>
      <w:r>
        <w:rPr>
          <w:rFonts w:ascii="Arial" w:cs="Arial" w:eastAsia="Arial" w:hAnsi="Arial"/>
          <w:sz w:val="15"/>
          <w:szCs w:val="15"/>
          <w:i w:val="1"/>
          <w:iCs w:val="1"/>
          <w:color w:val="auto"/>
        </w:rPr>
        <w:t>Les comptes annuels de la Société seront audités par un ou</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plusieurs commissaires aux comptes, et, dans la mesure requise par la Loi, les règles et les règlements applicables, par un ou plusieurs réviseur(s) d’entreprises.</w:t>
      </w:r>
    </w:p>
    <w:p>
      <w:pPr>
        <w:spacing w:after="0" w:line="76" w:lineRule="exact"/>
        <w:rPr>
          <w:sz w:val="20"/>
          <w:szCs w:val="20"/>
          <w:color w:val="auto"/>
        </w:rPr>
      </w:pPr>
    </w:p>
    <w:p>
      <w:pPr>
        <w:ind w:left="1060" w:right="1119"/>
        <w:spacing w:after="0" w:line="259" w:lineRule="auto"/>
        <w:rPr>
          <w:sz w:val="20"/>
          <w:szCs w:val="20"/>
          <w:color w:val="auto"/>
        </w:rPr>
      </w:pPr>
      <w:r>
        <w:rPr>
          <w:rFonts w:ascii="Arial" w:cs="Arial" w:eastAsia="Arial" w:hAnsi="Arial"/>
          <w:sz w:val="15"/>
          <w:szCs w:val="15"/>
          <w:i w:val="1"/>
          <w:iCs w:val="1"/>
          <w:color w:val="auto"/>
        </w:rPr>
        <w:t>Les commissaires aux comptes ou, le cas échéant, le réviseur d’entreprises indépendant seront nommés par décision de l’assemblée générale des actionnaires, selon le cas, qui déterminera la rémunération du commissaire aux comptes ou du réviseur d’entreprises indépendant et la durée de leur mandat. Les commissaires aux comptes resteront en fonction jusqu’à ce que leurs successeurs soient élus. Ils sont rééligibles à la fin de leur mandat et ils peuvent être révoqués à tout moment, avec ou sans motif, par décision de l’assemblée générale des actionnaires.</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79" w:name="page80"/>
    <w:bookmarkEnd w:id="79"/>
    <w:p>
      <w:pPr>
        <w:ind w:left="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360"/>
        <w:spacing w:after="0"/>
        <w:rPr>
          <w:sz w:val="20"/>
          <w:szCs w:val="20"/>
          <w:color w:val="auto"/>
        </w:rPr>
      </w:pPr>
      <w:r>
        <w:rPr>
          <w:rFonts w:ascii="Arial" w:cs="Arial" w:eastAsia="Arial" w:hAnsi="Arial"/>
          <w:sz w:val="15"/>
          <w:szCs w:val="15"/>
          <w:b w:val="1"/>
          <w:bCs w:val="1"/>
          <w:i w:val="1"/>
          <w:iCs w:val="1"/>
          <w:color w:val="auto"/>
        </w:rPr>
        <w:t>Chapitre IV. Assemblée Générale des Actionnaires</w:t>
      </w:r>
    </w:p>
    <w:p>
      <w:pPr>
        <w:spacing w:after="0" w:line="133" w:lineRule="exact"/>
        <w:rPr>
          <w:sz w:val="20"/>
          <w:szCs w:val="20"/>
          <w:color w:val="auto"/>
        </w:rPr>
      </w:pPr>
    </w:p>
    <w:p>
      <w:pPr>
        <w:ind w:left="1060" w:right="1239"/>
        <w:spacing w:after="0" w:line="297" w:lineRule="auto"/>
        <w:rPr>
          <w:sz w:val="20"/>
          <w:szCs w:val="20"/>
          <w:color w:val="auto"/>
        </w:rPr>
      </w:pPr>
      <w:r>
        <w:rPr>
          <w:rFonts w:ascii="Arial" w:cs="Arial" w:eastAsia="Arial" w:hAnsi="Arial"/>
          <w:sz w:val="14"/>
          <w:szCs w:val="14"/>
          <w:b w:val="1"/>
          <w:bCs w:val="1"/>
          <w:i w:val="1"/>
          <w:iCs w:val="1"/>
          <w:color w:val="auto"/>
        </w:rPr>
        <w:t xml:space="preserve">Art. 20. Assemblée Générale des Actionnaires. </w:t>
      </w:r>
      <w:r>
        <w:rPr>
          <w:rFonts w:ascii="Arial" w:cs="Arial" w:eastAsia="Arial" w:hAnsi="Arial"/>
          <w:sz w:val="14"/>
          <w:szCs w:val="14"/>
          <w:i w:val="1"/>
          <w:iCs w:val="1"/>
          <w:color w:val="auto"/>
        </w:rPr>
        <w:t>L’assemblée générale annuelle sera tenue</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conformément aux dispositions de l’article 450 -8 de la Loi au siège social de la Société ou à un autre endroit tel qu’indiqué dans la convocation et à l’heure indiquée dans la convocation de l’assemblée.</w:t>
      </w:r>
    </w:p>
    <w:p>
      <w:pPr>
        <w:spacing w:after="0" w:line="70" w:lineRule="exact"/>
        <w:rPr>
          <w:sz w:val="20"/>
          <w:szCs w:val="20"/>
          <w:color w:val="auto"/>
        </w:rPr>
      </w:pPr>
    </w:p>
    <w:p>
      <w:pPr>
        <w:ind w:left="1060" w:right="1179"/>
        <w:spacing w:after="0" w:line="269" w:lineRule="auto"/>
        <w:rPr>
          <w:sz w:val="20"/>
          <w:szCs w:val="20"/>
          <w:color w:val="auto"/>
        </w:rPr>
      </w:pPr>
      <w:r>
        <w:rPr>
          <w:rFonts w:ascii="Arial" w:cs="Arial" w:eastAsia="Arial" w:hAnsi="Arial"/>
          <w:sz w:val="15"/>
          <w:szCs w:val="15"/>
          <w:i w:val="1"/>
          <w:iCs w:val="1"/>
          <w:color w:val="auto"/>
        </w:rPr>
        <w:t xml:space="preserve">Si ce jour est un jour férié au Luxembourg, l’assemblée se tiendra le premier jour ouvrable suivant. </w:t>
      </w:r>
      <w:r>
        <w:rPr>
          <w:rFonts w:ascii="Arial" w:cs="Arial" w:eastAsia="Arial" w:hAnsi="Arial"/>
          <w:sz w:val="15"/>
          <w:szCs w:val="15"/>
          <w:i w:val="1"/>
          <w:iCs w:val="1"/>
          <w:u w:val="single" w:color="auto"/>
          <w:color w:val="0000FF"/>
        </w:rPr>
        <w:t>Ces réunions seront valablement tenues si au moins 33 1/3 % du capital social émis de la Société est présent ou représenté.</w:t>
      </w:r>
    </w:p>
    <w:p>
      <w:pPr>
        <w:spacing w:after="0" w:line="76" w:lineRule="exact"/>
        <w:rPr>
          <w:sz w:val="20"/>
          <w:szCs w:val="20"/>
          <w:color w:val="auto"/>
        </w:rPr>
      </w:pPr>
    </w:p>
    <w:p>
      <w:pPr>
        <w:ind w:left="1060" w:right="1099"/>
        <w:spacing w:after="0" w:line="255" w:lineRule="auto"/>
        <w:rPr>
          <w:sz w:val="20"/>
          <w:szCs w:val="20"/>
          <w:color w:val="auto"/>
        </w:rPr>
      </w:pPr>
      <w:r>
        <w:rPr>
          <w:rFonts w:ascii="Arial" w:cs="Arial" w:eastAsia="Arial" w:hAnsi="Arial"/>
          <w:sz w:val="15"/>
          <w:szCs w:val="15"/>
          <w:b w:val="1"/>
          <w:bCs w:val="1"/>
          <w:i w:val="1"/>
          <w:iCs w:val="1"/>
          <w:color w:val="auto"/>
        </w:rPr>
        <w:t xml:space="preserve">Art. 21. Autres Assemblées Générales des Actionnaires. </w:t>
      </w:r>
      <w:r>
        <w:rPr>
          <w:rFonts w:ascii="Arial" w:cs="Arial" w:eastAsia="Arial" w:hAnsi="Arial"/>
          <w:sz w:val="15"/>
          <w:szCs w:val="15"/>
          <w:i w:val="1"/>
          <w:iCs w:val="1"/>
          <w:color w:val="auto"/>
        </w:rPr>
        <w:t>Le Conseil d’Administration peut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convoquer d’autres assemblées générales. De telles assemblées doivent être convoquées si les actionnaires représentant au moins dix (10) pour cent du capital social de la Société le requièrent par écrit avec indication de l’ordre du jour de la réunion prévue. Si l’assemblée générale n’est pas tenue dans le mois suivant la date prévue, elle peut être convoquée par un agent désigné par le juge-président le Tribunal d’Arrondissement, section des affaires commerciales et statuant en référé, et ce à la requête d’un ou plusieurs actionnaires représentant le quota des dix pour cent (10%). Les assemblées générales des actionnaires, y compris l’assemblée générale annuelle, peuvent se tenir à l’étranger chaque fois que se produiront des circonstances de force majeure qui seront appréciées souverainement par le Conseil d’Administration.</w:t>
      </w:r>
    </w:p>
    <w:p>
      <w:pPr>
        <w:spacing w:after="0" w:line="102" w:lineRule="exact"/>
        <w:rPr>
          <w:sz w:val="20"/>
          <w:szCs w:val="20"/>
          <w:color w:val="auto"/>
        </w:rPr>
      </w:pPr>
    </w:p>
    <w:p>
      <w:pPr>
        <w:ind w:left="1060" w:right="1479"/>
        <w:spacing w:after="0" w:line="287" w:lineRule="auto"/>
        <w:rPr>
          <w:sz w:val="20"/>
          <w:szCs w:val="20"/>
          <w:color w:val="auto"/>
        </w:rPr>
      </w:pPr>
      <w:r>
        <w:rPr>
          <w:rFonts w:ascii="Arial" w:cs="Arial" w:eastAsia="Arial" w:hAnsi="Arial"/>
          <w:sz w:val="15"/>
          <w:szCs w:val="15"/>
          <w:b w:val="1"/>
          <w:bCs w:val="1"/>
          <w:i w:val="1"/>
          <w:iCs w:val="1"/>
          <w:color w:val="auto"/>
        </w:rPr>
        <w:t xml:space="preserve">Art. 22. Pouvoirs de l’Assemblée Générale. </w:t>
      </w:r>
      <w:r>
        <w:rPr>
          <w:rFonts w:ascii="Arial" w:cs="Arial" w:eastAsia="Arial" w:hAnsi="Arial"/>
          <w:sz w:val="15"/>
          <w:szCs w:val="15"/>
          <w:i w:val="1"/>
          <w:iCs w:val="1"/>
          <w:color w:val="auto"/>
        </w:rPr>
        <w:t>Toute assemblée générale des actionnaires de la</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Société régulièrement constituée représente l’ensemble des actionnaires.</w:t>
      </w:r>
    </w:p>
    <w:p>
      <w:pPr>
        <w:spacing w:after="0" w:line="74" w:lineRule="exact"/>
        <w:rPr>
          <w:sz w:val="20"/>
          <w:szCs w:val="20"/>
          <w:color w:val="auto"/>
        </w:rPr>
      </w:pPr>
    </w:p>
    <w:p>
      <w:pPr>
        <w:jc w:val="both"/>
        <w:ind w:left="1060" w:right="1419"/>
        <w:spacing w:after="0" w:line="269" w:lineRule="auto"/>
        <w:rPr>
          <w:sz w:val="20"/>
          <w:szCs w:val="20"/>
          <w:color w:val="auto"/>
        </w:rPr>
      </w:pPr>
      <w:r>
        <w:rPr>
          <w:rFonts w:ascii="Arial" w:cs="Arial" w:eastAsia="Arial" w:hAnsi="Arial"/>
          <w:sz w:val="15"/>
          <w:szCs w:val="15"/>
          <w:i w:val="1"/>
          <w:iCs w:val="1"/>
          <w:color w:val="auto"/>
        </w:rPr>
        <w:t>Sous réserve de tous les autres pouvoirs réservés au Conseil d’Administration ou par la Loi ou les Statuts, l’assemblée générale des actionnaires a le plus large pouvoir d’adopter, d’exécuter ou de ratifier tout acte relatif aux opérations de la Société.</w:t>
      </w:r>
    </w:p>
    <w:p>
      <w:pPr>
        <w:spacing w:after="0" w:line="76"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Les actionnaires ne doivent ni participer à ni interférer avec la direction de la Société.</w:t>
      </w:r>
    </w:p>
    <w:p>
      <w:pPr>
        <w:spacing w:after="0" w:line="133" w:lineRule="exact"/>
        <w:rPr>
          <w:sz w:val="20"/>
          <w:szCs w:val="20"/>
          <w:color w:val="auto"/>
        </w:rPr>
      </w:pPr>
    </w:p>
    <w:p>
      <w:pPr>
        <w:ind w:left="1060" w:right="1179"/>
        <w:spacing w:after="0" w:line="263" w:lineRule="auto"/>
        <w:rPr>
          <w:sz w:val="20"/>
          <w:szCs w:val="20"/>
          <w:color w:val="auto"/>
        </w:rPr>
      </w:pPr>
      <w:r>
        <w:rPr>
          <w:rFonts w:ascii="Arial" w:cs="Arial" w:eastAsia="Arial" w:hAnsi="Arial"/>
          <w:sz w:val="15"/>
          <w:szCs w:val="15"/>
          <w:i w:val="1"/>
          <w:iCs w:val="1"/>
          <w:color w:val="auto"/>
        </w:rPr>
        <w:t>Conformément aux dispositions du paragraphe 1 de l’article 450-1 (8)de la Loi, le Conseil d’Administration est autorisé à suspendre les droits de vote des actionnaires qui ne respectent pas leurs obligations en vertu des présents Statuts ou des dispositions de tout accord qui peut être conclu de temps à autre entre les actionnaires.</w:t>
      </w:r>
    </w:p>
    <w:p>
      <w:pPr>
        <w:spacing w:after="0" w:line="92" w:lineRule="exact"/>
        <w:rPr>
          <w:sz w:val="20"/>
          <w:szCs w:val="20"/>
          <w:color w:val="auto"/>
        </w:rPr>
      </w:pPr>
    </w:p>
    <w:p>
      <w:pPr>
        <w:ind w:left="1060" w:right="1179"/>
        <w:spacing w:after="0" w:line="269" w:lineRule="auto"/>
        <w:rPr>
          <w:sz w:val="20"/>
          <w:szCs w:val="20"/>
          <w:color w:val="auto"/>
        </w:rPr>
      </w:pPr>
      <w:r>
        <w:rPr>
          <w:rFonts w:ascii="Arial" w:cs="Arial" w:eastAsia="Arial" w:hAnsi="Arial"/>
          <w:sz w:val="15"/>
          <w:szCs w:val="15"/>
          <w:b w:val="1"/>
          <w:bCs w:val="1"/>
          <w:i w:val="1"/>
          <w:iCs w:val="1"/>
          <w:color w:val="auto"/>
        </w:rPr>
        <w:t xml:space="preserve">Art. 23. Procédure, Vote. </w:t>
      </w:r>
      <w:r>
        <w:rPr>
          <w:rFonts w:ascii="Arial" w:cs="Arial" w:eastAsia="Arial" w:hAnsi="Arial"/>
          <w:sz w:val="15"/>
          <w:szCs w:val="15"/>
          <w:i w:val="1"/>
          <w:iCs w:val="1"/>
          <w:color w:val="auto"/>
        </w:rPr>
        <w:t>L’assemblée générale des actionnaires se réunit sur convocation du</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Conseil d’Administration, ou du commissaire aux comptes en conformité avec le droit luxembourgeois et les présents Statuts.</w:t>
      </w:r>
    </w:p>
    <w:p>
      <w:pPr>
        <w:spacing w:after="0" w:line="76" w:lineRule="exact"/>
        <w:rPr>
          <w:sz w:val="20"/>
          <w:szCs w:val="20"/>
          <w:color w:val="auto"/>
        </w:rPr>
      </w:pPr>
    </w:p>
    <w:p>
      <w:pPr>
        <w:ind w:left="1060" w:right="1199"/>
        <w:spacing w:after="0" w:line="299" w:lineRule="auto"/>
        <w:rPr>
          <w:sz w:val="20"/>
          <w:szCs w:val="20"/>
          <w:color w:val="auto"/>
        </w:rPr>
      </w:pPr>
      <w:r>
        <w:rPr>
          <w:rFonts w:ascii="Arial" w:cs="Arial" w:eastAsia="Arial" w:hAnsi="Arial"/>
          <w:sz w:val="15"/>
          <w:szCs w:val="15"/>
          <w:i w:val="1"/>
          <w:iCs w:val="1"/>
          <w:color w:val="auto"/>
        </w:rPr>
        <w:t>La date d’enregistrement des assemblées générales est fixée par le Conseil d’Administration avant la date de l’assemblée générale (la “</w:t>
      </w:r>
      <w:r>
        <w:rPr>
          <w:rFonts w:ascii="Arial" w:cs="Arial" w:eastAsia="Arial" w:hAnsi="Arial"/>
          <w:sz w:val="15"/>
          <w:szCs w:val="15"/>
          <w:b w:val="1"/>
          <w:bCs w:val="1"/>
          <w:i w:val="1"/>
          <w:iCs w:val="1"/>
          <w:color w:val="auto"/>
        </w:rPr>
        <w:t>Date d’Enregistrement</w:t>
      </w:r>
      <w:r>
        <w:rPr>
          <w:rFonts w:ascii="Arial" w:cs="Arial" w:eastAsia="Arial" w:hAnsi="Arial"/>
          <w:sz w:val="15"/>
          <w:szCs w:val="15"/>
          <w:i w:val="1"/>
          <w:iCs w:val="1"/>
          <w:color w:val="auto"/>
        </w:rPr>
        <w:t>”).</w:t>
      </w:r>
    </w:p>
    <w:p>
      <w:pPr>
        <w:spacing w:after="0" w:line="57" w:lineRule="exact"/>
        <w:rPr>
          <w:sz w:val="20"/>
          <w:szCs w:val="20"/>
          <w:color w:val="auto"/>
        </w:rPr>
      </w:pPr>
    </w:p>
    <w:p>
      <w:pPr>
        <w:ind w:left="1060" w:right="1179"/>
        <w:spacing w:after="0" w:line="263" w:lineRule="auto"/>
        <w:rPr>
          <w:sz w:val="20"/>
          <w:szCs w:val="20"/>
          <w:color w:val="auto"/>
        </w:rPr>
      </w:pPr>
      <w:r>
        <w:rPr>
          <w:rFonts w:ascii="Arial" w:cs="Arial" w:eastAsia="Arial" w:hAnsi="Arial"/>
          <w:sz w:val="15"/>
          <w:szCs w:val="15"/>
          <w:i w:val="1"/>
          <w:iCs w:val="1"/>
          <w:color w:val="auto"/>
        </w:rPr>
        <w:t>Les actionnaires doivent notifier à la Société leur intention de participer à l’assemblée générale par voie postale ou par tout moyen électronique à l’adresse postale ou électronique indiquée dans la convocation, au plus tard le jour fixé par le Conseil d’Administration, qui ne doit pas intervenir avant la Date d’Enregistrement, indiquée dans la convocation.</w:t>
      </w:r>
    </w:p>
    <w:p>
      <w:pPr>
        <w:spacing w:after="0" w:line="92" w:lineRule="exact"/>
        <w:rPr>
          <w:sz w:val="20"/>
          <w:szCs w:val="20"/>
          <w:color w:val="auto"/>
        </w:rPr>
      </w:pPr>
    </w:p>
    <w:p>
      <w:pPr>
        <w:ind w:left="1060" w:right="1159"/>
        <w:spacing w:after="0" w:line="263" w:lineRule="auto"/>
        <w:rPr>
          <w:sz w:val="20"/>
          <w:szCs w:val="20"/>
          <w:color w:val="auto"/>
        </w:rPr>
      </w:pPr>
      <w:r>
        <w:rPr>
          <w:rFonts w:ascii="Arial" w:cs="Arial" w:eastAsia="Arial" w:hAnsi="Arial"/>
          <w:sz w:val="15"/>
          <w:szCs w:val="15"/>
          <w:i w:val="1"/>
          <w:iCs w:val="1"/>
          <w:color w:val="auto"/>
        </w:rPr>
        <w:t xml:space="preserve">Les documents devant être soumis aux actionnaires dans le cadre de l’assemblée générale seront publiés sur le site web de la Société ou </w:t>
      </w:r>
      <w:r>
        <w:rPr>
          <w:rFonts w:ascii="Arial" w:cs="Arial" w:eastAsia="Arial" w:hAnsi="Arial"/>
          <w:sz w:val="15"/>
          <w:szCs w:val="15"/>
          <w:color w:val="FF0000"/>
          <w:strike w:val="1"/>
        </w:rPr>
        <w:t>pourront être consultés</w:t>
      </w:r>
      <w:r>
        <w:rPr>
          <w:rFonts w:ascii="Arial" w:cs="Arial" w:eastAsia="Arial" w:hAnsi="Arial"/>
          <w:sz w:val="15"/>
          <w:szCs w:val="15"/>
          <w:i w:val="1"/>
          <w:iCs w:val="1"/>
          <w:u w:val="single" w:color="auto"/>
          <w:color w:val="0000FF"/>
        </w:rPr>
        <w:t>mis à disposition, à la demande d’un</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Actionnaire, pour consultation</w:t>
      </w:r>
      <w:r>
        <w:rPr>
          <w:rFonts w:ascii="Arial" w:cs="Arial" w:eastAsia="Arial" w:hAnsi="Arial"/>
          <w:sz w:val="15"/>
          <w:szCs w:val="15"/>
          <w:i w:val="1"/>
          <w:iCs w:val="1"/>
          <w:color w:val="0000FF"/>
        </w:rPr>
        <w:t xml:space="preserve"> </w:t>
      </w:r>
      <w:r>
        <w:rPr>
          <w:rFonts w:ascii="Arial" w:cs="Arial" w:eastAsia="Arial" w:hAnsi="Arial"/>
          <w:sz w:val="15"/>
          <w:szCs w:val="15"/>
          <w:color w:val="000000"/>
        </w:rPr>
        <w:t>au siège social de la Société,</w:t>
      </w:r>
      <w:r>
        <w:rPr>
          <w:rFonts w:ascii="Arial" w:cs="Arial" w:eastAsia="Arial" w:hAnsi="Arial"/>
          <w:sz w:val="15"/>
          <w:szCs w:val="15"/>
          <w:i w:val="1"/>
          <w:iCs w:val="1"/>
          <w:color w:val="0000FF"/>
        </w:rPr>
        <w:t xml:space="preserve"> </w:t>
      </w:r>
      <w:r>
        <w:rPr>
          <w:rFonts w:ascii="Arial" w:cs="Arial" w:eastAsia="Arial" w:hAnsi="Arial"/>
          <w:sz w:val="15"/>
          <w:szCs w:val="15"/>
          <w:color w:val="FF0000"/>
          <w:strike w:val="1"/>
        </w:rPr>
        <w:t>comme l’exige</w:t>
      </w:r>
      <w:r>
        <w:rPr>
          <w:rFonts w:ascii="Arial" w:cs="Arial" w:eastAsia="Arial" w:hAnsi="Arial"/>
          <w:sz w:val="15"/>
          <w:szCs w:val="15"/>
          <w:i w:val="1"/>
          <w:iCs w:val="1"/>
          <w:u w:val="single" w:color="auto"/>
          <w:color w:val="0000FF"/>
        </w:rPr>
        <w:t>conformément aux</w:t>
      </w:r>
      <w:r>
        <w:rPr>
          <w:rFonts w:ascii="Arial" w:cs="Arial" w:eastAsia="Arial" w:hAnsi="Arial"/>
          <w:sz w:val="15"/>
          <w:szCs w:val="15"/>
          <w:i w:val="1"/>
          <w:iCs w:val="1"/>
          <w:color w:val="0000FF"/>
        </w:rPr>
        <w:t xml:space="preserve"> </w:t>
      </w:r>
      <w:r>
        <w:rPr>
          <w:rFonts w:ascii="Arial" w:cs="Arial" w:eastAsia="Arial" w:hAnsi="Arial"/>
          <w:sz w:val="15"/>
          <w:szCs w:val="15"/>
          <w:i w:val="1"/>
          <w:iCs w:val="1"/>
          <w:u w:val="single" w:color="auto"/>
          <w:color w:val="0000FF"/>
        </w:rPr>
        <w:t>exigences de</w:t>
      </w:r>
      <w:r>
        <w:rPr>
          <w:rFonts w:ascii="Arial" w:cs="Arial" w:eastAsia="Arial" w:hAnsi="Arial"/>
          <w:sz w:val="15"/>
          <w:szCs w:val="15"/>
          <w:i w:val="1"/>
          <w:iCs w:val="1"/>
          <w:color w:val="0000FF"/>
        </w:rPr>
        <w:t xml:space="preserve"> </w:t>
      </w:r>
      <w:r>
        <w:rPr>
          <w:rFonts w:ascii="Arial" w:cs="Arial" w:eastAsia="Arial" w:hAnsi="Arial"/>
          <w:sz w:val="15"/>
          <w:szCs w:val="15"/>
          <w:i w:val="1"/>
          <w:iCs w:val="1"/>
          <w:color w:val="000000"/>
        </w:rPr>
        <w:t>la législation en vigueur.</w:t>
      </w:r>
    </w:p>
    <w:p>
      <w:pPr>
        <w:spacing w:after="0" w:line="81" w:lineRule="exact"/>
        <w:rPr>
          <w:sz w:val="20"/>
          <w:szCs w:val="20"/>
          <w:color w:val="auto"/>
        </w:rPr>
      </w:pPr>
    </w:p>
    <w:p>
      <w:pPr>
        <w:ind w:left="1060" w:right="1099"/>
        <w:spacing w:after="0" w:line="288" w:lineRule="auto"/>
        <w:rPr>
          <w:sz w:val="20"/>
          <w:szCs w:val="20"/>
          <w:color w:val="auto"/>
        </w:rPr>
      </w:pPr>
      <w:r>
        <w:rPr>
          <w:rFonts w:ascii="Arial" w:cs="Arial" w:eastAsia="Arial" w:hAnsi="Arial"/>
          <w:sz w:val="15"/>
          <w:szCs w:val="15"/>
          <w:i w:val="1"/>
          <w:iCs w:val="1"/>
          <w:color w:val="auto"/>
        </w:rPr>
        <w:t>La convocation envoyée aux actionnaires en conformité avec la Loi, spécifiera la date, l’heure, l’endroit ainsi que l’ordre du jour et la nature des questions devant être traitées lors de l’assemblée.</w:t>
      </w:r>
    </w:p>
    <w:p>
      <w:pPr>
        <w:spacing w:after="0" w:line="72" w:lineRule="exact"/>
        <w:rPr>
          <w:sz w:val="20"/>
          <w:szCs w:val="20"/>
          <w:color w:val="auto"/>
        </w:rPr>
      </w:pPr>
    </w:p>
    <w:p>
      <w:pPr>
        <w:ind w:left="1060" w:right="1159"/>
        <w:spacing w:after="0" w:line="263" w:lineRule="auto"/>
        <w:rPr>
          <w:sz w:val="20"/>
          <w:szCs w:val="20"/>
          <w:color w:val="auto"/>
        </w:rPr>
      </w:pPr>
      <w:r>
        <w:rPr>
          <w:rFonts w:ascii="Arial" w:cs="Arial" w:eastAsia="Arial" w:hAnsi="Arial"/>
          <w:sz w:val="15"/>
          <w:szCs w:val="15"/>
          <w:i w:val="1"/>
          <w:iCs w:val="1"/>
          <w:color w:val="auto"/>
        </w:rPr>
        <w:t>Un actionnaire peut agir à toute assemblée des actionnaires en désignant par écrit, en original ou par voie électronique (valable selon la loi Luxembourgeoise), en tant que son mandataire, une autre personne qui n’a pas besoin d’être actionnaire et en notifiant cette désignation par voie postale ou par tout moyen électronique à l’adresse postale ou électronique indiquée dans la convocation.</w:t>
      </w:r>
    </w:p>
    <w:p>
      <w:pPr>
        <w:spacing w:after="0" w:line="92" w:lineRule="exact"/>
        <w:rPr>
          <w:sz w:val="20"/>
          <w:szCs w:val="20"/>
          <w:color w:val="auto"/>
        </w:rPr>
      </w:pPr>
    </w:p>
    <w:p>
      <w:pPr>
        <w:ind w:left="1060" w:right="1139"/>
        <w:spacing w:after="0" w:line="269" w:lineRule="auto"/>
        <w:rPr>
          <w:sz w:val="20"/>
          <w:szCs w:val="20"/>
          <w:color w:val="auto"/>
        </w:rPr>
      </w:pPr>
      <w:r>
        <w:rPr>
          <w:rFonts w:ascii="Arial" w:cs="Arial" w:eastAsia="Arial" w:hAnsi="Arial"/>
          <w:sz w:val="15"/>
          <w:szCs w:val="15"/>
          <w:i w:val="1"/>
          <w:iCs w:val="1"/>
          <w:color w:val="auto"/>
        </w:rPr>
        <w:t xml:space="preserve">Le Conseil d’Administration peut déterminer toutes autres conditions qui doivent être remplies pour participer à une assemblée générale des actionnaires. </w:t>
      </w:r>
      <w:r>
        <w:rPr>
          <w:rFonts w:ascii="Arial" w:cs="Arial" w:eastAsia="Arial" w:hAnsi="Arial"/>
          <w:sz w:val="15"/>
          <w:szCs w:val="15"/>
          <w:i w:val="1"/>
          <w:iCs w:val="1"/>
          <w:u w:val="single" w:color="auto"/>
          <w:color w:val="0000FF"/>
        </w:rPr>
        <w:t>Le Président ou toute autre personne désignée</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0000FF"/>
        </w:rPr>
        <w:t>par le Conseil d’Administration présidera l’assemblée générale des actionnaires.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80" w:name="page81"/>
    <w:bookmarkEnd w:id="80"/>
    <w:p>
      <w:pPr>
        <w:ind w:left="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060" w:right="1299"/>
        <w:spacing w:after="0" w:line="262" w:lineRule="auto"/>
        <w:rPr>
          <w:sz w:val="20"/>
          <w:szCs w:val="20"/>
          <w:color w:val="auto"/>
        </w:rPr>
      </w:pPr>
      <w:r>
        <w:rPr>
          <w:rFonts w:ascii="Arial" w:cs="Arial" w:eastAsia="Arial" w:hAnsi="Arial"/>
          <w:sz w:val="15"/>
          <w:szCs w:val="15"/>
          <w:color w:val="FF0000"/>
          <w:strike w:val="1"/>
        </w:rPr>
        <w:t>Sauf disposition contraire de la Loi ou des présents Statuts, toutes les autres résolutions seront prises à la majorité simple des voix quel que soit le nombre d’Actions présentes ou représentées à l’assemblée.</w:t>
      </w:r>
    </w:p>
    <w:p>
      <w:pPr>
        <w:spacing w:after="0" w:line="80" w:lineRule="exact"/>
        <w:rPr>
          <w:sz w:val="20"/>
          <w:szCs w:val="20"/>
          <w:color w:val="auto"/>
        </w:rPr>
      </w:pPr>
    </w:p>
    <w:p>
      <w:pPr>
        <w:ind w:left="1060" w:right="1159"/>
        <w:spacing w:after="0" w:line="248" w:lineRule="auto"/>
        <w:rPr>
          <w:sz w:val="20"/>
          <w:szCs w:val="20"/>
          <w:color w:val="auto"/>
        </w:rPr>
      </w:pPr>
      <w:r>
        <w:rPr>
          <w:rFonts w:ascii="Arial" w:cs="Arial" w:eastAsia="Arial" w:hAnsi="Arial"/>
          <w:sz w:val="15"/>
          <w:szCs w:val="15"/>
          <w:i w:val="1"/>
          <w:iCs w:val="1"/>
          <w:u w:val="single" w:color="auto"/>
          <w:color w:val="0000FF"/>
        </w:rPr>
        <w:t>Les résolutions visant à modifier les présents Statuts ou à changer la nationalité de la Société, ainsi que les résolutions dont l’adoption est soumise, en vertu des présents Statuts ou de la Loi, au quorum et à la majorité requis pour modifier les Statuts, doivent être approuvées par au moins les deux tiers (2/3) des voix exprimées, conformément aux dispositions de l’article 450-3 de la Loi, lors d’une assemblée à laquelle au moins la moitié (</w:t>
      </w:r>
      <w:r>
        <w:rPr>
          <w:rFonts w:ascii="Arial" w:cs="Arial" w:eastAsia="Arial" w:hAnsi="Arial"/>
          <w:sz w:val="10"/>
          <w:szCs w:val="10"/>
          <w:i w:val="1"/>
          <w:iCs w:val="1"/>
          <w:u w:val="single" w:color="auto"/>
          <w:color w:val="0000FF"/>
        </w:rPr>
        <w:t>1</w:t>
      </w:r>
      <w:r>
        <w:rPr>
          <w:rFonts w:ascii="Arial" w:cs="Arial" w:eastAsia="Arial" w:hAnsi="Arial"/>
          <w:sz w:val="15"/>
          <w:szCs w:val="15"/>
          <w:i w:val="1"/>
          <w:iCs w:val="1"/>
          <w:u w:val="single" w:color="auto"/>
          <w:color w:val="0000FF"/>
        </w:rPr>
        <w:t>∕</w:t>
      </w:r>
      <w:r>
        <w:rPr>
          <w:rFonts w:ascii="Arial" w:cs="Arial" w:eastAsia="Arial" w:hAnsi="Arial"/>
          <w:sz w:val="10"/>
          <w:szCs w:val="10"/>
          <w:i w:val="1"/>
          <w:iCs w:val="1"/>
          <w:u w:val="single" w:color="auto"/>
          <w:color w:val="0000FF"/>
        </w:rPr>
        <w:t>2</w:t>
      </w:r>
      <w:r>
        <w:rPr>
          <w:rFonts w:ascii="Arial" w:cs="Arial" w:eastAsia="Arial" w:hAnsi="Arial"/>
          <w:sz w:val="15"/>
          <w:szCs w:val="15"/>
          <w:i w:val="1"/>
          <w:iCs w:val="1"/>
          <w:u w:val="single" w:color="auto"/>
          <w:color w:val="0000FF"/>
        </w:rPr>
        <w:t>) des actions émises et en circulation est présente ou</w:t>
      </w:r>
    </w:p>
    <w:p>
      <w:pPr>
        <w:spacing w:after="0" w:line="3" w:lineRule="exact"/>
        <w:rPr>
          <w:sz w:val="20"/>
          <w:szCs w:val="20"/>
          <w:color w:val="auto"/>
        </w:rPr>
      </w:pPr>
    </w:p>
    <w:p>
      <w:pPr>
        <w:ind w:left="1060" w:right="1259"/>
        <w:spacing w:after="0" w:line="254" w:lineRule="auto"/>
        <w:rPr>
          <w:sz w:val="20"/>
          <w:szCs w:val="20"/>
          <w:color w:val="auto"/>
        </w:rPr>
      </w:pPr>
      <w:r>
        <w:rPr>
          <w:rFonts w:ascii="Arial" w:cs="Arial" w:eastAsia="Arial" w:hAnsi="Arial"/>
          <w:sz w:val="15"/>
          <w:szCs w:val="15"/>
          <w:i w:val="1"/>
          <w:iCs w:val="1"/>
          <w:u w:val="single" w:color="auto"/>
          <w:color w:val="0000FF"/>
        </w:rPr>
        <w:t>représentée. Si ce quorum n’est pas atteint lors de la première assemblée, une seconde assemblée, avec le même ordre du jour, peut être convoquée conformément aux dispositions de la Loi, pour laquelle un quorum de 33</w:t>
      </w:r>
      <w:r>
        <w:rPr>
          <w:rFonts w:ascii="Arial" w:cs="Arial" w:eastAsia="Arial" w:hAnsi="Arial"/>
          <w:sz w:val="10"/>
          <w:szCs w:val="10"/>
          <w:i w:val="1"/>
          <w:iCs w:val="1"/>
          <w:u w:val="single" w:color="auto"/>
          <w:color w:val="0000FF"/>
        </w:rPr>
        <w:t>1</w:t>
      </w:r>
      <w:r>
        <w:rPr>
          <w:rFonts w:ascii="Arial" w:cs="Arial" w:eastAsia="Arial" w:hAnsi="Arial"/>
          <w:sz w:val="15"/>
          <w:szCs w:val="15"/>
          <w:i w:val="1"/>
          <w:iCs w:val="1"/>
          <w:u w:val="single" w:color="auto"/>
          <w:color w:val="0000FF"/>
        </w:rPr>
        <w:t>∕</w:t>
      </w:r>
      <w:r>
        <w:rPr>
          <w:rFonts w:ascii="Arial" w:cs="Arial" w:eastAsia="Arial" w:hAnsi="Arial"/>
          <w:sz w:val="10"/>
          <w:szCs w:val="10"/>
          <w:i w:val="1"/>
          <w:iCs w:val="1"/>
          <w:u w:val="single" w:color="auto"/>
          <w:color w:val="0000FF"/>
        </w:rPr>
        <w:t>3</w:t>
      </w:r>
      <w:r>
        <w:rPr>
          <w:rFonts w:ascii="Arial" w:cs="Arial" w:eastAsia="Arial" w:hAnsi="Arial"/>
          <w:sz w:val="15"/>
          <w:szCs w:val="15"/>
          <w:i w:val="1"/>
          <w:iCs w:val="1"/>
          <w:u w:val="single" w:color="auto"/>
          <w:color w:val="0000FF"/>
        </w:rPr>
        <w:t>% sera requis.</w:t>
      </w:r>
    </w:p>
    <w:p>
      <w:pPr>
        <w:spacing w:after="0" w:line="108" w:lineRule="exact"/>
        <w:rPr>
          <w:sz w:val="20"/>
          <w:szCs w:val="20"/>
          <w:color w:val="auto"/>
        </w:rPr>
      </w:pPr>
    </w:p>
    <w:p>
      <w:pPr>
        <w:ind w:left="1060" w:right="1339"/>
        <w:spacing w:after="0" w:line="288" w:lineRule="auto"/>
        <w:rPr>
          <w:sz w:val="20"/>
          <w:szCs w:val="20"/>
          <w:color w:val="auto"/>
        </w:rPr>
      </w:pPr>
      <w:r>
        <w:rPr>
          <w:rFonts w:ascii="Arial" w:cs="Arial" w:eastAsia="Arial" w:hAnsi="Arial"/>
          <w:sz w:val="15"/>
          <w:szCs w:val="15"/>
          <w:i w:val="1"/>
          <w:iCs w:val="1"/>
          <w:color w:val="auto"/>
        </w:rPr>
        <w:t>Toutes les autres décisions doivent être approuvées par l’assemblée générale des actionnaires à la majorité simple des voix exprimées, et un quorum de 33</w:t>
      </w:r>
      <w:r>
        <w:rPr>
          <w:rFonts w:ascii="Arial" w:cs="Arial" w:eastAsia="Arial" w:hAnsi="Arial"/>
          <w:sz w:val="21"/>
          <w:szCs w:val="21"/>
          <w:i w:val="1"/>
          <w:iCs w:val="1"/>
          <w:color w:val="auto"/>
          <w:vertAlign w:val="superscript"/>
        </w:rPr>
        <w:t>1</w:t>
      </w:r>
      <w:r>
        <w:rPr>
          <w:rFonts w:ascii="Arial" w:cs="Arial" w:eastAsia="Arial" w:hAnsi="Arial"/>
          <w:sz w:val="15"/>
          <w:szCs w:val="15"/>
          <w:i w:val="1"/>
          <w:iCs w:val="1"/>
          <w:color w:val="auto"/>
        </w:rPr>
        <w:t>∕</w:t>
      </w:r>
      <w:r>
        <w:rPr>
          <w:rFonts w:ascii="Arial" w:cs="Arial" w:eastAsia="Arial" w:hAnsi="Arial"/>
          <w:sz w:val="10"/>
          <w:szCs w:val="10"/>
          <w:i w:val="1"/>
          <w:iCs w:val="1"/>
          <w:color w:val="auto"/>
        </w:rPr>
        <w:t>3</w:t>
      </w:r>
      <w:r>
        <w:rPr>
          <w:rFonts w:ascii="Arial" w:cs="Arial" w:eastAsia="Arial" w:hAnsi="Arial"/>
          <w:sz w:val="15"/>
          <w:szCs w:val="15"/>
          <w:i w:val="1"/>
          <w:iCs w:val="1"/>
          <w:color w:val="auto"/>
        </w:rPr>
        <w:t>% sera requis.</w:t>
      </w:r>
    </w:p>
    <w:p>
      <w:pPr>
        <w:spacing w:after="0" w:line="1" w:lineRule="exact"/>
        <w:rPr>
          <w:sz w:val="20"/>
          <w:szCs w:val="20"/>
          <w:color w:val="auto"/>
        </w:rPr>
      </w:pPr>
    </w:p>
    <w:p>
      <w:pPr>
        <w:ind w:left="1060" w:right="1219"/>
        <w:spacing w:after="0" w:line="246" w:lineRule="auto"/>
        <w:rPr>
          <w:sz w:val="20"/>
          <w:szCs w:val="20"/>
          <w:color w:val="auto"/>
        </w:rPr>
      </w:pPr>
      <w:r>
        <w:rPr>
          <w:rFonts w:ascii="Arial" w:cs="Arial" w:eastAsia="Arial" w:hAnsi="Arial"/>
          <w:sz w:val="15"/>
          <w:szCs w:val="15"/>
          <w:i w:val="1"/>
          <w:iCs w:val="1"/>
          <w:color w:val="auto"/>
        </w:rPr>
        <w:t>Lors de l’organisation d’une assemblée générale, le Conseil d’Administration peut, à son entière discrétion, permettre la participation par voie électronique selon les suivantes: (i) transmission en temps réel de l’assemblée générale; (ii) communication dans les deux sens en temps réel permettant aux actionnaires de s’adresser à l’assemblée générale à distance; ou (iii) mécanisme permettant de voter, avant ou pendant l’assemblée générale, sans qu’il soit nécessaire de nommer un mandataire physiquement présent à l’assemblée.</w:t>
      </w:r>
    </w:p>
    <w:p>
      <w:pPr>
        <w:spacing w:after="0" w:line="93" w:lineRule="exact"/>
        <w:rPr>
          <w:sz w:val="20"/>
          <w:szCs w:val="20"/>
          <w:color w:val="auto"/>
        </w:rPr>
      </w:pPr>
    </w:p>
    <w:p>
      <w:pPr>
        <w:ind w:left="1060" w:right="1219"/>
        <w:spacing w:after="0" w:line="262" w:lineRule="auto"/>
        <w:rPr>
          <w:sz w:val="20"/>
          <w:szCs w:val="20"/>
          <w:color w:val="auto"/>
        </w:rPr>
      </w:pPr>
      <w:r>
        <w:rPr>
          <w:rFonts w:ascii="Arial" w:cs="Arial" w:eastAsia="Arial" w:hAnsi="Arial"/>
          <w:sz w:val="15"/>
          <w:szCs w:val="15"/>
          <w:i w:val="1"/>
          <w:iCs w:val="1"/>
          <w:color w:val="auto"/>
        </w:rPr>
        <w:t>Le Conseil d’Administration peut également déterminer que les actionnaires peuvent voter à distance par correspondance en remplissant un formulaire de vote fourni par la Société qui comprend les informations suivantes:</w:t>
      </w:r>
    </w:p>
    <w:p>
      <w:pPr>
        <w:spacing w:after="0" w:line="69" w:lineRule="exact"/>
        <w:rPr>
          <w:sz w:val="20"/>
          <w:szCs w:val="20"/>
          <w:color w:val="auto"/>
        </w:rPr>
      </w:pPr>
    </w:p>
    <w:p>
      <w:pPr>
        <w:ind w:left="1360" w:hanging="295"/>
        <w:spacing w:after="0"/>
        <w:tabs>
          <w:tab w:leader="none" w:pos="1360" w:val="left"/>
        </w:tabs>
        <w:numPr>
          <w:ilvl w:val="0"/>
          <w:numId w:val="66"/>
        </w:numPr>
        <w:rPr>
          <w:rFonts w:ascii="Arial" w:cs="Arial" w:eastAsia="Arial" w:hAnsi="Arial"/>
          <w:sz w:val="15"/>
          <w:szCs w:val="15"/>
          <w:i w:val="1"/>
          <w:iCs w:val="1"/>
          <w:u w:val="single" w:color="auto"/>
          <w:color w:val="0000FF"/>
        </w:rPr>
      </w:pPr>
      <w:r>
        <w:rPr>
          <w:rFonts w:ascii="Arial" w:cs="Arial" w:eastAsia="Arial" w:hAnsi="Arial"/>
          <w:sz w:val="15"/>
          <w:szCs w:val="15"/>
          <w:i w:val="1"/>
          <w:iCs w:val="1"/>
          <w:color w:val="auto"/>
        </w:rPr>
        <w:t>Le nom, l’adresse et toute autre information pertinente concernant l’actionnaire.</w:t>
      </w:r>
    </w:p>
    <w:p>
      <w:pPr>
        <w:spacing w:after="0" w:line="121" w:lineRule="exact"/>
        <w:rPr>
          <w:rFonts w:ascii="Arial" w:cs="Arial" w:eastAsia="Arial" w:hAnsi="Arial"/>
          <w:sz w:val="15"/>
          <w:szCs w:val="15"/>
          <w:i w:val="1"/>
          <w:iCs w:val="1"/>
          <w:u w:val="single" w:color="auto"/>
          <w:color w:val="0000FF"/>
        </w:rPr>
      </w:pPr>
    </w:p>
    <w:p>
      <w:pPr>
        <w:ind w:left="1360" w:hanging="295"/>
        <w:spacing w:after="0"/>
        <w:tabs>
          <w:tab w:leader="none" w:pos="1360" w:val="left"/>
        </w:tabs>
        <w:numPr>
          <w:ilvl w:val="0"/>
          <w:numId w:val="66"/>
        </w:numPr>
        <w:rPr>
          <w:rFonts w:ascii="Arial" w:cs="Arial" w:eastAsia="Arial" w:hAnsi="Arial"/>
          <w:sz w:val="15"/>
          <w:szCs w:val="15"/>
          <w:i w:val="1"/>
          <w:iCs w:val="1"/>
          <w:u w:val="single" w:color="auto"/>
          <w:color w:val="0000FF"/>
        </w:rPr>
      </w:pPr>
      <w:r>
        <w:rPr>
          <w:rFonts w:ascii="Arial" w:cs="Arial" w:eastAsia="Arial" w:hAnsi="Arial"/>
          <w:sz w:val="15"/>
          <w:szCs w:val="15"/>
          <w:i w:val="1"/>
          <w:iCs w:val="1"/>
          <w:color w:val="auto"/>
        </w:rPr>
        <w:t>Le nombre de votes que l’actionnaire souhaite émettre, le sens de ses votes ou son abstention.</w:t>
      </w:r>
    </w:p>
    <w:p>
      <w:pPr>
        <w:spacing w:after="0" w:line="110" w:lineRule="exact"/>
        <w:rPr>
          <w:rFonts w:ascii="Arial" w:cs="Arial" w:eastAsia="Arial" w:hAnsi="Arial"/>
          <w:sz w:val="15"/>
          <w:szCs w:val="15"/>
          <w:i w:val="1"/>
          <w:iCs w:val="1"/>
          <w:u w:val="single" w:color="auto"/>
          <w:color w:val="0000FF"/>
        </w:rPr>
      </w:pPr>
    </w:p>
    <w:p>
      <w:pPr>
        <w:ind w:left="1360" w:hanging="295"/>
        <w:spacing w:after="0"/>
        <w:tabs>
          <w:tab w:leader="none" w:pos="1360" w:val="left"/>
        </w:tabs>
        <w:numPr>
          <w:ilvl w:val="0"/>
          <w:numId w:val="66"/>
        </w:numPr>
        <w:rPr>
          <w:rFonts w:ascii="Arial" w:cs="Arial" w:eastAsia="Arial" w:hAnsi="Arial"/>
          <w:sz w:val="15"/>
          <w:szCs w:val="15"/>
          <w:i w:val="1"/>
          <w:iCs w:val="1"/>
          <w:u w:val="single" w:color="auto"/>
          <w:color w:val="0000FF"/>
        </w:rPr>
      </w:pPr>
      <w:r>
        <w:rPr>
          <w:rFonts w:ascii="Arial" w:cs="Arial" w:eastAsia="Arial" w:hAnsi="Arial"/>
          <w:sz w:val="15"/>
          <w:szCs w:val="15"/>
          <w:i w:val="1"/>
          <w:iCs w:val="1"/>
          <w:color w:val="auto"/>
        </w:rPr>
        <w:t>L’ordre du jour de l’assemblée contenant le projet de résolutions.</w:t>
      </w:r>
    </w:p>
    <w:p>
      <w:pPr>
        <w:spacing w:after="0" w:line="121" w:lineRule="exact"/>
        <w:rPr>
          <w:rFonts w:ascii="Arial" w:cs="Arial" w:eastAsia="Arial" w:hAnsi="Arial"/>
          <w:sz w:val="15"/>
          <w:szCs w:val="15"/>
          <w:i w:val="1"/>
          <w:iCs w:val="1"/>
          <w:u w:val="single" w:color="auto"/>
          <w:color w:val="0000FF"/>
        </w:rPr>
      </w:pPr>
    </w:p>
    <w:p>
      <w:pPr>
        <w:ind w:left="1360" w:right="1159" w:hanging="295"/>
        <w:spacing w:after="0" w:line="269" w:lineRule="auto"/>
        <w:tabs>
          <w:tab w:leader="none" w:pos="1360" w:val="left"/>
        </w:tabs>
        <w:numPr>
          <w:ilvl w:val="0"/>
          <w:numId w:val="66"/>
        </w:numPr>
        <w:rPr>
          <w:rFonts w:ascii="Arial" w:cs="Arial" w:eastAsia="Arial" w:hAnsi="Arial"/>
          <w:sz w:val="15"/>
          <w:szCs w:val="15"/>
          <w:i w:val="1"/>
          <w:iCs w:val="1"/>
          <w:u w:val="single" w:color="auto"/>
          <w:color w:val="0000FF"/>
        </w:rPr>
      </w:pPr>
      <w:r>
        <w:rPr>
          <w:rFonts w:ascii="Arial" w:cs="Arial" w:eastAsia="Arial" w:hAnsi="Arial"/>
          <w:sz w:val="15"/>
          <w:szCs w:val="15"/>
          <w:i w:val="1"/>
          <w:iCs w:val="1"/>
          <w:color w:val="auto"/>
        </w:rPr>
        <w:t>L’option de voter par procuration pour toute nouvelle résolution ou toute modification des résolutions dûment soumises à l’assemblée générale entre la date à laquelle l’actionnaire soumet son formulaire et la date de l’assemblée.</w:t>
      </w:r>
    </w:p>
    <w:p>
      <w:pPr>
        <w:spacing w:after="0" w:line="76" w:lineRule="exact"/>
        <w:rPr>
          <w:rFonts w:ascii="Arial" w:cs="Arial" w:eastAsia="Arial" w:hAnsi="Arial"/>
          <w:sz w:val="15"/>
          <w:szCs w:val="15"/>
          <w:i w:val="1"/>
          <w:iCs w:val="1"/>
          <w:u w:val="single" w:color="auto"/>
          <w:color w:val="0000FF"/>
        </w:rPr>
      </w:pPr>
    </w:p>
    <w:p>
      <w:pPr>
        <w:ind w:left="1360" w:hanging="295"/>
        <w:spacing w:after="0"/>
        <w:tabs>
          <w:tab w:leader="none" w:pos="1360" w:val="left"/>
        </w:tabs>
        <w:numPr>
          <w:ilvl w:val="0"/>
          <w:numId w:val="66"/>
        </w:numPr>
        <w:rPr>
          <w:rFonts w:ascii="Arial" w:cs="Arial" w:eastAsia="Arial" w:hAnsi="Arial"/>
          <w:sz w:val="15"/>
          <w:szCs w:val="15"/>
          <w:i w:val="1"/>
          <w:iCs w:val="1"/>
          <w:u w:val="single" w:color="auto"/>
          <w:color w:val="0000FF"/>
        </w:rPr>
      </w:pPr>
      <w:r>
        <w:rPr>
          <w:rFonts w:ascii="Arial" w:cs="Arial" w:eastAsia="Arial" w:hAnsi="Arial"/>
          <w:sz w:val="15"/>
          <w:szCs w:val="15"/>
          <w:i w:val="1"/>
          <w:iCs w:val="1"/>
          <w:color w:val="auto"/>
        </w:rPr>
        <w:t>La signature de l’actionnaire.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-975995</wp:posOffset>
            </wp:positionV>
            <wp:extent cx="26035"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6035" cy="6985"/>
                    </a:xfrm>
                    <a:prstGeom prst="rect">
                      <a:avLst/>
                    </a:prstGeom>
                    <a:noFill/>
                  </pic:spPr>
                </pic:pic>
              </a:graphicData>
            </a:graphic>
          </wp:anchor>
        </w:drawing>
      </w:r>
    </w:p>
    <w:p>
      <w:pPr>
        <w:spacing w:after="0" w:line="102" w:lineRule="exact"/>
        <w:rPr>
          <w:sz w:val="20"/>
          <w:szCs w:val="20"/>
          <w:color w:val="auto"/>
        </w:rPr>
      </w:pPr>
    </w:p>
    <w:p>
      <w:pPr>
        <w:ind w:left="1060" w:right="1139"/>
        <w:spacing w:after="0" w:line="248" w:lineRule="auto"/>
        <w:rPr>
          <w:sz w:val="20"/>
          <w:szCs w:val="20"/>
          <w:color w:val="auto"/>
        </w:rPr>
      </w:pPr>
      <w:r>
        <w:rPr>
          <w:rFonts w:ascii="Arial" w:cs="Arial" w:eastAsia="Arial" w:hAnsi="Arial"/>
          <w:sz w:val="15"/>
          <w:szCs w:val="15"/>
          <w:i w:val="1"/>
          <w:iCs w:val="1"/>
          <w:color w:val="auto"/>
        </w:rPr>
        <w:t>Un actionnaire utilisant un formulaire de vote et qui n’est pas directement inscrit dans le registre des actionnaires doit annexer au formulaire de vote une confirmation de sa détention à compter de la Date d’Enregistrement conformément aux présents Statuts. Une fois soumis à la Société, les formulaires de vote ne peuvent ni être récupérés ni annulés, sauf si un actionnaire a inclu une procuration pour voter dans les circonstances envisagées dans le quatrième point ci-dessus, alors l’actionnaire peut annuler cette procuration ou donner de nouvelles instructions de vote en tenant compte des éléments pertinents par notification écrite telle que décrite dans la convocation, avant la date spécifiée dans le formulaire de vote.</w:t>
      </w:r>
    </w:p>
    <w:p>
      <w:pPr>
        <w:spacing w:after="0" w:line="90" w:lineRule="exact"/>
        <w:rPr>
          <w:sz w:val="20"/>
          <w:szCs w:val="20"/>
          <w:color w:val="auto"/>
        </w:rPr>
      </w:pPr>
    </w:p>
    <w:p>
      <w:pPr>
        <w:ind w:left="1060" w:right="1119"/>
        <w:spacing w:after="0" w:line="254" w:lineRule="auto"/>
        <w:rPr>
          <w:sz w:val="20"/>
          <w:szCs w:val="20"/>
          <w:color w:val="auto"/>
        </w:rPr>
      </w:pPr>
      <w:r>
        <w:rPr>
          <w:rFonts w:ascii="Arial" w:cs="Arial" w:eastAsia="Arial" w:hAnsi="Arial"/>
          <w:sz w:val="15"/>
          <w:szCs w:val="15"/>
          <w:i w:val="1"/>
          <w:iCs w:val="1"/>
          <w:color w:val="auto"/>
        </w:rPr>
        <w:t>Tout actionnaire qui participe à une assemblée générale de la Société par les moyens qui précèdent est réputé présent, sera pris en compte lors de la détermination du quorum et aura le droit de voter sur tous les points de l’ordre du jour de l’assemblée générale.</w:t>
      </w:r>
    </w:p>
    <w:p>
      <w:pPr>
        <w:spacing w:after="0" w:line="86" w:lineRule="exact"/>
        <w:rPr>
          <w:sz w:val="20"/>
          <w:szCs w:val="20"/>
          <w:color w:val="auto"/>
        </w:rPr>
      </w:pPr>
    </w:p>
    <w:p>
      <w:pPr>
        <w:ind w:left="1060" w:right="1459"/>
        <w:spacing w:after="0" w:line="262" w:lineRule="auto"/>
        <w:rPr>
          <w:sz w:val="20"/>
          <w:szCs w:val="20"/>
          <w:color w:val="auto"/>
        </w:rPr>
      </w:pPr>
      <w:r>
        <w:rPr>
          <w:rFonts w:ascii="Arial" w:cs="Arial" w:eastAsia="Arial" w:hAnsi="Arial"/>
          <w:sz w:val="15"/>
          <w:szCs w:val="15"/>
          <w:i w:val="1"/>
          <w:iCs w:val="1"/>
          <w:color w:val="auto"/>
        </w:rPr>
        <w:t>Le Conseil d’Administration peut adopter tout règlement et règle concernant la participation des actionnaires aux assemblées générales conformément à la Loi, y compris en ce qui concerne l’identification des actionnaires, les mandataires et la sécurité des communications électroniques.</w:t>
      </w:r>
    </w:p>
    <w:p>
      <w:pPr>
        <w:spacing w:after="0" w:line="80" w:lineRule="exact"/>
        <w:rPr>
          <w:sz w:val="20"/>
          <w:szCs w:val="20"/>
          <w:color w:val="auto"/>
        </w:rPr>
      </w:pPr>
    </w:p>
    <w:p>
      <w:pPr>
        <w:ind w:left="1060" w:right="1079"/>
        <w:spacing w:after="0" w:line="249" w:lineRule="auto"/>
        <w:rPr>
          <w:sz w:val="20"/>
          <w:szCs w:val="20"/>
          <w:color w:val="auto"/>
        </w:rPr>
      </w:pPr>
      <w:r>
        <w:rPr>
          <w:rFonts w:ascii="Arial" w:cs="Arial" w:eastAsia="Arial" w:hAnsi="Arial"/>
          <w:sz w:val="15"/>
          <w:szCs w:val="15"/>
          <w:color w:val="FF0000"/>
          <w:strike w:val="1"/>
        </w:rPr>
        <w:t>Toute résolution ayant pour objet de modifier les présents Statuts, de modifier la nationalité ou dont l’adoption est assujettie en vertu de présents Statuts ou, selon le cas, par la Loi aux conditions de quorum et de majorité fixées pour la modification des Statuts sera prise par les deux tiers des actionnaires représentant au moins la moitié du capital social émis de la Société.</w:t>
      </w:r>
    </w:p>
    <w:p>
      <w:pPr>
        <w:spacing w:after="0" w:line="268" w:lineRule="exact"/>
        <w:rPr>
          <w:sz w:val="20"/>
          <w:szCs w:val="20"/>
          <w:color w:val="auto"/>
        </w:rPr>
      </w:pPr>
    </w:p>
    <w:p>
      <w:pPr>
        <w:ind w:left="1060" w:right="1119"/>
        <w:spacing w:after="0" w:line="288" w:lineRule="auto"/>
        <w:rPr>
          <w:sz w:val="20"/>
          <w:szCs w:val="20"/>
          <w:color w:val="auto"/>
        </w:rPr>
      </w:pPr>
      <w:r>
        <w:rPr>
          <w:rFonts w:ascii="Arial" w:cs="Arial" w:eastAsia="Arial" w:hAnsi="Arial"/>
          <w:sz w:val="15"/>
          <w:szCs w:val="15"/>
          <w:i w:val="1"/>
          <w:iCs w:val="1"/>
          <w:color w:val="auto"/>
        </w:rPr>
        <w:t>Les engagements des actionnaires ne peuvent être augmentés qu’avec le consentement unanime des actionnaires.</w:t>
      </w:r>
    </w:p>
    <w:p>
      <w:pPr>
        <w:spacing w:after="0" w:line="72" w:lineRule="exact"/>
        <w:rPr>
          <w:sz w:val="20"/>
          <w:szCs w:val="20"/>
          <w:color w:val="auto"/>
        </w:rPr>
      </w:pPr>
    </w:p>
    <w:p>
      <w:pPr>
        <w:ind w:left="1060" w:right="1299"/>
        <w:spacing w:after="0" w:line="262" w:lineRule="auto"/>
        <w:rPr>
          <w:sz w:val="20"/>
          <w:szCs w:val="20"/>
          <w:color w:val="auto"/>
        </w:rPr>
      </w:pPr>
      <w:r>
        <w:rPr>
          <w:rFonts w:ascii="Arial" w:cs="Arial" w:eastAsia="Arial" w:hAnsi="Arial"/>
          <w:sz w:val="15"/>
          <w:szCs w:val="15"/>
          <w:i w:val="1"/>
          <w:iCs w:val="1"/>
          <w:color w:val="auto"/>
        </w:rPr>
        <w:t>Les actionnaires représentant un minimum de dix pour cent (10%) du capital social de la société peuvent demander par écrit que des points supplémentaires soient ajoutés à l’ordre du jour de toute assemblée générale.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81" w:name="page82"/>
    <w:bookmarkEnd w:id="81"/>
    <w:p>
      <w:pPr>
        <w:ind w:left="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60" w:right="1219"/>
        <w:spacing w:after="0" w:line="288" w:lineRule="auto"/>
        <w:rPr>
          <w:sz w:val="20"/>
          <w:szCs w:val="20"/>
          <w:color w:val="auto"/>
        </w:rPr>
      </w:pPr>
      <w:r>
        <w:rPr>
          <w:rFonts w:ascii="Arial" w:cs="Arial" w:eastAsia="Arial" w:hAnsi="Arial"/>
          <w:sz w:val="15"/>
          <w:szCs w:val="15"/>
          <w:i w:val="1"/>
          <w:iCs w:val="1"/>
          <w:color w:val="auto"/>
        </w:rPr>
        <w:t>Une telle requête doit être adressée au siège social de la Société par courrier recommandé au moins cinq (5) jours avant la date à laquelle l’assemblée générale doit être tenue.</w:t>
      </w:r>
    </w:p>
    <w:p>
      <w:pPr>
        <w:spacing w:after="0" w:line="72" w:lineRule="exact"/>
        <w:rPr>
          <w:sz w:val="20"/>
          <w:szCs w:val="20"/>
          <w:color w:val="auto"/>
        </w:rPr>
      </w:pPr>
    </w:p>
    <w:p>
      <w:pPr>
        <w:ind w:left="1060" w:right="1139"/>
        <w:spacing w:after="0" w:line="269" w:lineRule="auto"/>
        <w:rPr>
          <w:sz w:val="20"/>
          <w:szCs w:val="20"/>
          <w:color w:val="auto"/>
        </w:rPr>
      </w:pPr>
      <w:r>
        <w:rPr>
          <w:rFonts w:ascii="Arial" w:cs="Arial" w:eastAsia="Arial" w:hAnsi="Arial"/>
          <w:sz w:val="15"/>
          <w:szCs w:val="15"/>
          <w:i w:val="1"/>
          <w:iCs w:val="1"/>
          <w:color w:val="auto"/>
        </w:rPr>
        <w:t>Si tous les actionnaires sont présents ou représentés à l’assemblée générale des actionnaires et déclarent avoir eu connaissance de l’ordre du jour de l’assemblée, l’assemblée pourra être tenue sans convocation préalable.</w:t>
      </w:r>
    </w:p>
    <w:p>
      <w:pPr>
        <w:spacing w:after="0" w:line="87" w:lineRule="exact"/>
        <w:rPr>
          <w:sz w:val="20"/>
          <w:szCs w:val="20"/>
          <w:color w:val="auto"/>
        </w:rPr>
      </w:pPr>
    </w:p>
    <w:p>
      <w:pPr>
        <w:ind w:left="1060"/>
        <w:spacing w:after="0"/>
        <w:rPr>
          <w:sz w:val="20"/>
          <w:szCs w:val="20"/>
          <w:color w:val="auto"/>
        </w:rPr>
      </w:pPr>
      <w:r>
        <w:rPr>
          <w:rFonts w:ascii="Arial" w:cs="Arial" w:eastAsia="Arial" w:hAnsi="Arial"/>
          <w:sz w:val="15"/>
          <w:szCs w:val="15"/>
          <w:i w:val="1"/>
          <w:iCs w:val="1"/>
          <w:color w:val="auto"/>
        </w:rPr>
        <w:t>Un vote est attaché à chaque action.</w:t>
      </w:r>
    </w:p>
    <w:p>
      <w:pPr>
        <w:spacing w:after="0" w:line="122" w:lineRule="exact"/>
        <w:rPr>
          <w:sz w:val="20"/>
          <w:szCs w:val="20"/>
          <w:color w:val="auto"/>
        </w:rPr>
      </w:pPr>
    </w:p>
    <w:p>
      <w:pPr>
        <w:ind w:left="1060" w:right="1259"/>
        <w:spacing w:after="0" w:line="287" w:lineRule="auto"/>
        <w:rPr>
          <w:sz w:val="20"/>
          <w:szCs w:val="20"/>
          <w:color w:val="auto"/>
        </w:rPr>
      </w:pPr>
      <w:r>
        <w:rPr>
          <w:rFonts w:ascii="Arial" w:cs="Arial" w:eastAsia="Arial" w:hAnsi="Arial"/>
          <w:sz w:val="15"/>
          <w:szCs w:val="15"/>
          <w:i w:val="1"/>
          <w:iCs w:val="1"/>
          <w:color w:val="auto"/>
        </w:rPr>
        <w:t>Les copies ou les extraits des procès-verbaux de l’assemblée générale des actionnaires doivent être certifiées par le Président ou par le Secrétaire.</w:t>
      </w:r>
    </w:p>
    <w:p>
      <w:pPr>
        <w:spacing w:after="0" w:line="130" w:lineRule="exact"/>
        <w:rPr>
          <w:sz w:val="20"/>
          <w:szCs w:val="20"/>
          <w:color w:val="auto"/>
        </w:rPr>
      </w:pPr>
    </w:p>
    <w:p>
      <w:pPr>
        <w:ind w:left="1360"/>
        <w:spacing w:after="0"/>
        <w:rPr>
          <w:sz w:val="20"/>
          <w:szCs w:val="20"/>
          <w:color w:val="auto"/>
        </w:rPr>
      </w:pPr>
      <w:r>
        <w:rPr>
          <w:rFonts w:ascii="Arial" w:cs="Arial" w:eastAsia="Arial" w:hAnsi="Arial"/>
          <w:sz w:val="15"/>
          <w:szCs w:val="15"/>
          <w:b w:val="1"/>
          <w:bCs w:val="1"/>
          <w:i w:val="1"/>
          <w:iCs w:val="1"/>
          <w:color w:val="auto"/>
        </w:rPr>
        <w:t>Chapitre V. Année Sociale, Répartition des Bénéfices</w:t>
      </w:r>
    </w:p>
    <w:p>
      <w:pPr>
        <w:spacing w:after="0" w:line="133" w:lineRule="exact"/>
        <w:rPr>
          <w:sz w:val="20"/>
          <w:szCs w:val="20"/>
          <w:color w:val="auto"/>
        </w:rPr>
      </w:pPr>
    </w:p>
    <w:p>
      <w:pPr>
        <w:ind w:left="1060" w:right="1159"/>
        <w:spacing w:after="0" w:line="288" w:lineRule="auto"/>
        <w:rPr>
          <w:sz w:val="20"/>
          <w:szCs w:val="20"/>
          <w:color w:val="auto"/>
        </w:rPr>
      </w:pPr>
      <w:r>
        <w:rPr>
          <w:rFonts w:ascii="Arial" w:cs="Arial" w:eastAsia="Arial" w:hAnsi="Arial"/>
          <w:sz w:val="15"/>
          <w:szCs w:val="15"/>
          <w:b w:val="1"/>
          <w:bCs w:val="1"/>
          <w:i w:val="1"/>
          <w:iCs w:val="1"/>
          <w:color w:val="auto"/>
        </w:rPr>
        <w:t xml:space="preserve">Art. 24. Année Sociale. </w:t>
      </w:r>
      <w:r>
        <w:rPr>
          <w:rFonts w:ascii="Arial" w:cs="Arial" w:eastAsia="Arial" w:hAnsi="Arial"/>
          <w:sz w:val="15"/>
          <w:szCs w:val="15"/>
          <w:i w:val="1"/>
          <w:iCs w:val="1"/>
          <w:color w:val="auto"/>
        </w:rPr>
        <w:t>L’année sociale de la Société commence le premier jour du mois de Janvier</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et finit le dernier jour du mois de Décembre de chaque année.</w:t>
      </w:r>
    </w:p>
    <w:p>
      <w:pPr>
        <w:spacing w:after="0" w:line="72" w:lineRule="exact"/>
        <w:rPr>
          <w:sz w:val="20"/>
          <w:szCs w:val="20"/>
          <w:color w:val="auto"/>
        </w:rPr>
      </w:pPr>
    </w:p>
    <w:p>
      <w:pPr>
        <w:ind w:left="1060" w:right="1319"/>
        <w:spacing w:after="0" w:line="269" w:lineRule="auto"/>
        <w:rPr>
          <w:sz w:val="20"/>
          <w:szCs w:val="20"/>
          <w:color w:val="auto"/>
        </w:rPr>
      </w:pPr>
      <w:r>
        <w:rPr>
          <w:rFonts w:ascii="Arial" w:cs="Arial" w:eastAsia="Arial" w:hAnsi="Arial"/>
          <w:sz w:val="15"/>
          <w:szCs w:val="15"/>
          <w:b w:val="1"/>
          <w:bCs w:val="1"/>
          <w:i w:val="1"/>
          <w:iCs w:val="1"/>
          <w:color w:val="auto"/>
        </w:rPr>
        <w:t xml:space="preserve">Art. 25. Approbation des Comptes Annuels. </w:t>
      </w:r>
      <w:r>
        <w:rPr>
          <w:rFonts w:ascii="Arial" w:cs="Arial" w:eastAsia="Arial" w:hAnsi="Arial"/>
          <w:sz w:val="15"/>
          <w:szCs w:val="15"/>
          <w:i w:val="1"/>
          <w:iCs w:val="1"/>
          <w:color w:val="auto"/>
        </w:rPr>
        <w:t>A la fin de chaque année sociale, les comptes sont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clôturés et le Conseil d’Administration dresse un inventaire des actifs et des passifs, le bilan et le compte de résultat conformément à la Loi.</w:t>
      </w:r>
    </w:p>
    <w:p>
      <w:pPr>
        <w:spacing w:after="0" w:line="76" w:lineRule="exact"/>
        <w:rPr>
          <w:sz w:val="20"/>
          <w:szCs w:val="20"/>
          <w:color w:val="auto"/>
        </w:rPr>
      </w:pPr>
    </w:p>
    <w:p>
      <w:pPr>
        <w:ind w:left="1060" w:right="1899"/>
        <w:spacing w:after="0" w:line="288" w:lineRule="auto"/>
        <w:rPr>
          <w:sz w:val="20"/>
          <w:szCs w:val="20"/>
          <w:color w:val="auto"/>
        </w:rPr>
      </w:pPr>
      <w:r>
        <w:rPr>
          <w:rFonts w:ascii="Arial" w:cs="Arial" w:eastAsia="Arial" w:hAnsi="Arial"/>
          <w:sz w:val="15"/>
          <w:szCs w:val="15"/>
          <w:i w:val="1"/>
          <w:iCs w:val="1"/>
          <w:color w:val="auto"/>
        </w:rPr>
        <w:t>Le bilan et le compte de résultat sont soumis à l’assemblée générale des actionnaires pour approbation.</w:t>
      </w:r>
    </w:p>
    <w:p>
      <w:pPr>
        <w:spacing w:after="0" w:line="72" w:lineRule="exact"/>
        <w:rPr>
          <w:sz w:val="20"/>
          <w:szCs w:val="20"/>
          <w:color w:val="auto"/>
        </w:rPr>
      </w:pPr>
    </w:p>
    <w:p>
      <w:pPr>
        <w:ind w:left="1060" w:right="1159"/>
        <w:spacing w:after="0" w:line="263" w:lineRule="auto"/>
        <w:rPr>
          <w:sz w:val="20"/>
          <w:szCs w:val="20"/>
          <w:color w:val="auto"/>
        </w:rPr>
      </w:pPr>
      <w:r>
        <w:rPr>
          <w:rFonts w:ascii="Arial" w:cs="Arial" w:eastAsia="Arial" w:hAnsi="Arial"/>
          <w:sz w:val="15"/>
          <w:szCs w:val="15"/>
          <w:b w:val="1"/>
          <w:bCs w:val="1"/>
          <w:i w:val="1"/>
          <w:iCs w:val="1"/>
          <w:color w:val="auto"/>
        </w:rPr>
        <w:t xml:space="preserve">Art. 26. </w:t>
      </w:r>
      <w:r>
        <w:rPr>
          <w:rFonts w:ascii="Arial" w:cs="Arial" w:eastAsia="Arial" w:hAnsi="Arial"/>
          <w:sz w:val="15"/>
          <w:szCs w:val="15"/>
          <w:i w:val="1"/>
          <w:iCs w:val="1"/>
          <w:color w:val="auto"/>
        </w:rPr>
        <w:t>Affectation des Bénéfices. Sur les bénéfices nets de la Société il sera prélevé cinq pour cent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(5 %) pour la formation d’un fonds de réserve légale. Ce prélèvement cesse d’être obligatoire lorsque et aussi longtemps que la réserve légale atteindra dix pour cent (10%) du capital social émis de la Société.</w:t>
      </w:r>
    </w:p>
    <w:p>
      <w:pPr>
        <w:spacing w:after="0" w:line="92" w:lineRule="exact"/>
        <w:rPr>
          <w:sz w:val="20"/>
          <w:szCs w:val="20"/>
          <w:color w:val="auto"/>
        </w:rPr>
      </w:pPr>
    </w:p>
    <w:p>
      <w:pPr>
        <w:ind w:left="1060" w:right="1099"/>
        <w:spacing w:after="0" w:line="263" w:lineRule="auto"/>
        <w:rPr>
          <w:sz w:val="20"/>
          <w:szCs w:val="20"/>
          <w:color w:val="auto"/>
        </w:rPr>
      </w:pPr>
      <w:r>
        <w:rPr>
          <w:rFonts w:ascii="Arial" w:cs="Arial" w:eastAsia="Arial" w:hAnsi="Arial"/>
          <w:sz w:val="15"/>
          <w:szCs w:val="15"/>
          <w:i w:val="1"/>
          <w:iCs w:val="1"/>
          <w:color w:val="auto"/>
        </w:rPr>
        <w:t>Sur recommandation du Conseil d’Administration, l’assemblée générale des actionnaires décide de l’affectation du solde des bénéfices annuels nets. Elle peut décider de verser la totalité ou une part du solde à un compte de réserve ou de provision, de le reporter à nouveau sur l’année financière suivante ou de le distribuer à l’/aux actionnaire(s) comme dividendes.</w:t>
      </w:r>
    </w:p>
    <w:p>
      <w:pPr>
        <w:spacing w:after="0" w:line="81" w:lineRule="exact"/>
        <w:rPr>
          <w:sz w:val="20"/>
          <w:szCs w:val="20"/>
          <w:color w:val="auto"/>
        </w:rPr>
      </w:pPr>
    </w:p>
    <w:p>
      <w:pPr>
        <w:ind w:left="1060" w:right="1099"/>
        <w:spacing w:after="0" w:line="259" w:lineRule="auto"/>
        <w:rPr>
          <w:sz w:val="20"/>
          <w:szCs w:val="20"/>
          <w:color w:val="auto"/>
        </w:rPr>
      </w:pPr>
      <w:r>
        <w:rPr>
          <w:rFonts w:ascii="Arial" w:cs="Arial" w:eastAsia="Arial" w:hAnsi="Arial"/>
          <w:sz w:val="15"/>
          <w:szCs w:val="15"/>
          <w:i w:val="1"/>
          <w:iCs w:val="1"/>
          <w:color w:val="auto"/>
        </w:rPr>
        <w:t>Sous réserve des conditions fixées par la Loi et les présents Statuts, le Conseil d’Administration est autorisé à verser des acomptes sur dividendes. Le Conseil d’Administration, fixe le montant et la date du versement de ces acomptes sur dividendes. Toute prime d’émission, primes assimilées et autres réserves distribuables peuvent être distribuées librement aux actionnaires (également par acompte sur dividendes) par une résolution des actionnaires ou du Conseil d’Administration, sous réserve des dispositions de la Loi et des présents Statuts.</w:t>
      </w:r>
    </w:p>
    <w:p>
      <w:pPr>
        <w:spacing w:after="0" w:line="150" w:lineRule="exact"/>
        <w:rPr>
          <w:sz w:val="20"/>
          <w:szCs w:val="20"/>
          <w:color w:val="auto"/>
        </w:rPr>
      </w:pPr>
    </w:p>
    <w:p>
      <w:pPr>
        <w:ind w:left="1360"/>
        <w:spacing w:after="0"/>
        <w:rPr>
          <w:sz w:val="20"/>
          <w:szCs w:val="20"/>
          <w:color w:val="auto"/>
        </w:rPr>
      </w:pPr>
      <w:r>
        <w:rPr>
          <w:rFonts w:ascii="Arial" w:cs="Arial" w:eastAsia="Arial" w:hAnsi="Arial"/>
          <w:sz w:val="15"/>
          <w:szCs w:val="15"/>
          <w:b w:val="1"/>
          <w:bCs w:val="1"/>
          <w:i w:val="1"/>
          <w:iCs w:val="1"/>
          <w:color w:val="auto"/>
        </w:rPr>
        <w:t>Chapitre VI. Dissolution, Liquidation</w:t>
      </w:r>
    </w:p>
    <w:p>
      <w:pPr>
        <w:spacing w:after="0" w:line="133" w:lineRule="exact"/>
        <w:rPr>
          <w:sz w:val="20"/>
          <w:szCs w:val="20"/>
          <w:color w:val="auto"/>
        </w:rPr>
      </w:pPr>
    </w:p>
    <w:p>
      <w:pPr>
        <w:ind w:left="1060" w:right="1099"/>
        <w:spacing w:after="0" w:line="263" w:lineRule="auto"/>
        <w:rPr>
          <w:sz w:val="20"/>
          <w:szCs w:val="20"/>
          <w:color w:val="auto"/>
        </w:rPr>
      </w:pPr>
      <w:r>
        <w:rPr>
          <w:rFonts w:ascii="Arial" w:cs="Arial" w:eastAsia="Arial" w:hAnsi="Arial"/>
          <w:sz w:val="15"/>
          <w:szCs w:val="15"/>
          <w:b w:val="1"/>
          <w:bCs w:val="1"/>
          <w:i w:val="1"/>
          <w:iCs w:val="1"/>
          <w:color w:val="auto"/>
        </w:rPr>
        <w:t xml:space="preserve">Art. 27. Dissolution, Liquidation. </w:t>
      </w:r>
      <w:r>
        <w:rPr>
          <w:rFonts w:ascii="Arial" w:cs="Arial" w:eastAsia="Arial" w:hAnsi="Arial"/>
          <w:sz w:val="15"/>
          <w:szCs w:val="15"/>
          <w:i w:val="1"/>
          <w:iCs w:val="1"/>
          <w:color w:val="auto"/>
        </w:rPr>
        <w:t>Sur approbation affirmative du Conseil d’Administration, la Société</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peut être dissoute par une décision de l’assemblée générale des actionnaires délibérant aux mêmes conditions de quorum et de majorité que celles exigées pour la modification des Statuts, sauf dispositions contraires de la Loi.</w:t>
      </w:r>
    </w:p>
    <w:p>
      <w:pPr>
        <w:spacing w:after="0" w:line="92" w:lineRule="exact"/>
        <w:rPr>
          <w:sz w:val="20"/>
          <w:szCs w:val="20"/>
          <w:color w:val="auto"/>
        </w:rPr>
      </w:pPr>
    </w:p>
    <w:p>
      <w:pPr>
        <w:ind w:left="1060" w:right="1299"/>
        <w:spacing w:after="0" w:line="269" w:lineRule="auto"/>
        <w:rPr>
          <w:sz w:val="20"/>
          <w:szCs w:val="20"/>
          <w:color w:val="auto"/>
        </w:rPr>
      </w:pPr>
      <w:r>
        <w:rPr>
          <w:rFonts w:ascii="Arial" w:cs="Arial" w:eastAsia="Arial" w:hAnsi="Arial"/>
          <w:sz w:val="15"/>
          <w:szCs w:val="15"/>
          <w:i w:val="1"/>
          <w:iCs w:val="1"/>
          <w:color w:val="auto"/>
        </w:rPr>
        <w:t>En cas de dissolution de la Société, la liquidation s’effectuera par les soins d’un ou de plusieurs liquidateurs (personnes physiques ou morales), nommés par l’assemblée générale des actionnaires qui déterminera leurs pouvoirs et leurs rémunérations.</w:t>
      </w:r>
    </w:p>
    <w:p>
      <w:pPr>
        <w:spacing w:after="0" w:line="76" w:lineRule="exact"/>
        <w:rPr>
          <w:sz w:val="20"/>
          <w:szCs w:val="20"/>
          <w:color w:val="auto"/>
        </w:rPr>
      </w:pPr>
    </w:p>
    <w:p>
      <w:pPr>
        <w:ind w:left="1060" w:right="1159"/>
        <w:spacing w:after="0" w:line="269" w:lineRule="auto"/>
        <w:rPr>
          <w:sz w:val="20"/>
          <w:szCs w:val="20"/>
          <w:color w:val="auto"/>
        </w:rPr>
      </w:pPr>
      <w:r>
        <w:rPr>
          <w:rFonts w:ascii="Arial" w:cs="Arial" w:eastAsia="Arial" w:hAnsi="Arial"/>
          <w:sz w:val="15"/>
          <w:szCs w:val="15"/>
          <w:i w:val="1"/>
          <w:iCs w:val="1"/>
          <w:color w:val="auto"/>
        </w:rPr>
        <w:t>Après paiement de toutes les dettes et charges de la Société, tous les taxes et frais de liquidation compris, l’actif net restant sera reparti équitablement entre tous les actionnaires au prorata du nombre d’Actions qu’ils détiennent.</w:t>
      </w:r>
    </w:p>
    <w:p>
      <w:pPr>
        <w:spacing w:after="0" w:line="87" w:lineRule="exact"/>
        <w:rPr>
          <w:sz w:val="20"/>
          <w:szCs w:val="20"/>
          <w:color w:val="auto"/>
        </w:rPr>
      </w:pPr>
    </w:p>
    <w:p>
      <w:pPr>
        <w:ind w:left="1060" w:right="1119"/>
        <w:spacing w:after="0" w:line="263" w:lineRule="auto"/>
        <w:rPr>
          <w:sz w:val="20"/>
          <w:szCs w:val="20"/>
          <w:color w:val="auto"/>
        </w:rPr>
      </w:pPr>
      <w:r>
        <w:rPr>
          <w:rFonts w:ascii="Arial" w:cs="Arial" w:eastAsia="Arial" w:hAnsi="Arial"/>
          <w:sz w:val="15"/>
          <w:szCs w:val="15"/>
          <w:i w:val="1"/>
          <w:iCs w:val="1"/>
          <w:color w:val="auto"/>
        </w:rPr>
        <w:t>La demande de dissolution de la Société pour une juste cause peut toutefois être faite devant le tribunal. Sauf en cas de dissolution par ordonnance du tribunal, la dissolution de la Société ne peut avoir lieu qu’en vertu d’une résolution adoptée par l’assemblée générale conformément aux articles 22 et 23.</w:t>
      </w:r>
    </w:p>
    <w:p>
      <w:pPr>
        <w:spacing w:after="0" w:line="149" w:lineRule="exact"/>
        <w:rPr>
          <w:sz w:val="20"/>
          <w:szCs w:val="20"/>
          <w:color w:val="auto"/>
        </w:rPr>
      </w:pPr>
    </w:p>
    <w:p>
      <w:pPr>
        <w:ind w:left="1360"/>
        <w:spacing w:after="0"/>
        <w:rPr>
          <w:sz w:val="20"/>
          <w:szCs w:val="20"/>
          <w:color w:val="auto"/>
        </w:rPr>
      </w:pPr>
      <w:r>
        <w:rPr>
          <w:rFonts w:ascii="Arial" w:cs="Arial" w:eastAsia="Arial" w:hAnsi="Arial"/>
          <w:sz w:val="15"/>
          <w:szCs w:val="15"/>
          <w:b w:val="1"/>
          <w:bCs w:val="1"/>
          <w:i w:val="1"/>
          <w:iCs w:val="1"/>
          <w:color w:val="auto"/>
        </w:rPr>
        <w:t>Chapitre VII. Loi applicable</w:t>
      </w:r>
    </w:p>
    <w:p>
      <w:pPr>
        <w:spacing w:after="0" w:line="133" w:lineRule="exact"/>
        <w:rPr>
          <w:sz w:val="20"/>
          <w:szCs w:val="20"/>
          <w:color w:val="auto"/>
        </w:rPr>
      </w:pPr>
    </w:p>
    <w:p>
      <w:pPr>
        <w:ind w:left="1060" w:right="1319"/>
        <w:spacing w:after="0" w:line="288" w:lineRule="auto"/>
        <w:rPr>
          <w:sz w:val="20"/>
          <w:szCs w:val="20"/>
          <w:color w:val="auto"/>
        </w:rPr>
      </w:pPr>
      <w:r>
        <w:rPr>
          <w:rFonts w:ascii="Arial" w:cs="Arial" w:eastAsia="Arial" w:hAnsi="Arial"/>
          <w:sz w:val="15"/>
          <w:szCs w:val="15"/>
          <w:b w:val="1"/>
          <w:bCs w:val="1"/>
          <w:i w:val="1"/>
          <w:iCs w:val="1"/>
          <w:color w:val="auto"/>
        </w:rPr>
        <w:t xml:space="preserve">Art. 28. Loi applicable. </w:t>
      </w:r>
      <w:r>
        <w:rPr>
          <w:rFonts w:ascii="Arial" w:cs="Arial" w:eastAsia="Arial" w:hAnsi="Arial"/>
          <w:sz w:val="15"/>
          <w:szCs w:val="15"/>
          <w:i w:val="1"/>
          <w:iCs w:val="1"/>
          <w:color w:val="auto"/>
        </w:rPr>
        <w:t>Toutes les matières qui ne sont pas régies par les présents Statuts seront</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réglées conformément au droit du Luxembourg.</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82" w:name="page83"/>
    <w:bookmarkEnd w:id="82"/>
    <w:p>
      <w:pPr>
        <w:ind w:left="20"/>
        <w:spacing w:after="0"/>
        <w:rPr>
          <w:sz w:val="20"/>
          <w:szCs w:val="20"/>
          <w:color w:val="auto"/>
        </w:rPr>
      </w:pPr>
      <w:r>
        <w:rPr>
          <w:rFonts w:ascii="Calibri" w:cs="Calibri" w:eastAsia="Calibri" w:hAnsi="Calibri"/>
          <w:sz w:val="12"/>
          <w:szCs w:val="12"/>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FF0000"/>
          <w:strike w:val="1"/>
        </w:rPr>
        <w:t>POUR STATUTS COORDONNES,</w:t>
      </w:r>
    </w:p>
    <w:p>
      <w:pPr>
        <w:spacing w:after="0" w:line="189"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FF0000"/>
          <w:strike w:val="1"/>
        </w:rPr>
        <w:t>Ettelbruck, le 4 mars 2025</w:t>
      </w:r>
    </w:p>
    <w:p>
      <w:pPr>
        <w:spacing w:after="0" w:line="178"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FF0000"/>
          <w:strike w:val="1"/>
        </w:rPr>
        <w:t>Le notaire (s.): Marc ELVINGER</w:t>
      </w:r>
    </w:p>
    <w:p>
      <w:pPr>
        <w:spacing w:after="0" w:line="92" w:lineRule="exact"/>
        <w:rPr>
          <w:sz w:val="20"/>
          <w:szCs w:val="20"/>
          <w:color w:val="auto"/>
        </w:rPr>
      </w:pPr>
    </w:p>
    <w:p>
      <w:pPr>
        <w:ind w:left="1060" w:right="1339"/>
        <w:spacing w:after="0" w:line="299" w:lineRule="auto"/>
        <w:rPr>
          <w:sz w:val="20"/>
          <w:szCs w:val="20"/>
          <w:color w:val="auto"/>
        </w:rPr>
      </w:pPr>
      <w:r>
        <w:rPr>
          <w:rFonts w:ascii="Arial" w:cs="Arial" w:eastAsia="Arial" w:hAnsi="Arial"/>
          <w:sz w:val="15"/>
          <w:szCs w:val="15"/>
          <w:color w:val="FF0000"/>
          <w:strike w:val="1"/>
        </w:rPr>
        <w:t xml:space="preserve">In case of discrepancies between the English and the French text, </w:t>
      </w:r>
      <w:r>
        <w:rPr>
          <w:rFonts w:ascii="Arial" w:cs="Arial" w:eastAsia="Arial" w:hAnsi="Arial"/>
          <w:sz w:val="15"/>
          <w:szCs w:val="15"/>
          <w:b w:val="1"/>
          <w:bCs w:val="1"/>
          <w:color w:val="FF0000"/>
          <w:strike w:val="1"/>
        </w:rPr>
        <w:t>the English version will</w:t>
      </w:r>
      <w:r>
        <w:rPr>
          <w:rFonts w:ascii="Arial" w:cs="Arial" w:eastAsia="Arial" w:hAnsi="Arial"/>
          <w:sz w:val="15"/>
          <w:szCs w:val="15"/>
          <w:color w:val="FF0000"/>
          <w:strike w:val="1"/>
        </w:rPr>
        <w:t xml:space="preserve"> </w:t>
      </w:r>
      <w:r>
        <w:rPr>
          <w:rFonts w:ascii="Arial" w:cs="Arial" w:eastAsia="Arial" w:hAnsi="Arial"/>
          <w:sz w:val="15"/>
          <w:szCs w:val="15"/>
          <w:b w:val="1"/>
          <w:bCs w:val="1"/>
          <w:color w:val="FF0000"/>
          <w:strike w:val="1"/>
        </w:rPr>
        <w:t>prevail.</w:t>
      </w:r>
    </w:p>
    <w:p>
      <w:pPr>
        <w:spacing w:after="0" w:line="57" w:lineRule="exact"/>
        <w:rPr>
          <w:sz w:val="20"/>
          <w:szCs w:val="20"/>
          <w:color w:val="auto"/>
        </w:rPr>
      </w:pPr>
    </w:p>
    <w:p>
      <w:pPr>
        <w:jc w:val="right"/>
        <w:ind w:right="1239"/>
        <w:spacing w:after="0"/>
        <w:rPr>
          <w:sz w:val="20"/>
          <w:szCs w:val="20"/>
          <w:color w:val="auto"/>
        </w:rPr>
      </w:pPr>
      <w:r>
        <w:rPr>
          <w:rFonts w:ascii="Arial" w:cs="Arial" w:eastAsia="Arial" w:hAnsi="Arial"/>
          <w:sz w:val="15"/>
          <w:szCs w:val="15"/>
          <w:color w:val="FF0000"/>
          <w:strike w:val="1"/>
        </w:rPr>
        <w:t xml:space="preserve">En cas de divergences entre le texte anglais et le texte français, </w:t>
      </w:r>
      <w:r>
        <w:rPr>
          <w:rFonts w:ascii="Arial" w:cs="Arial" w:eastAsia="Arial" w:hAnsi="Arial"/>
          <w:sz w:val="15"/>
          <w:szCs w:val="15"/>
          <w:b w:val="1"/>
          <w:bCs w:val="1"/>
          <w:color w:val="FF0000"/>
          <w:strike w:val="1"/>
        </w:rPr>
        <w:t>le texte anglais prévaudra.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5728970" cy="400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2" w:right="1440" w:bottom="1440" w:gutter="0" w:footer="0" w:header="0"/>
        </w:sectPr>
      </w:pPr>
    </w:p>
    <w:bookmarkStart w:id="83" w:name="page84"/>
    <w:bookmarkEnd w:id="83"/>
    <w:p>
      <w:pPr>
        <w:ind w:left="20"/>
        <w:spacing w:after="0"/>
        <w:rPr>
          <w:sz w:val="20"/>
          <w:szCs w:val="20"/>
          <w:color w:val="auto"/>
        </w:rPr>
      </w:pPr>
      <w:r>
        <w:rPr>
          <w:rFonts w:ascii="Calibri" w:cs="Calibri" w:eastAsia="Calibri" w:hAnsi="Calibri"/>
          <w:sz w:val="11"/>
          <w:szCs w:val="11"/>
          <w:color w:val="003366"/>
        </w:rPr>
        <w:t>TABLE OF CONTENTS</w:t>
      </w:r>
    </w:p>
    <w:p>
      <w:pPr>
        <w:ind w:left="720"/>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54610</wp:posOffset>
            </wp:positionV>
            <wp:extent cx="4690745" cy="60699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690745" cy="60699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7311390</wp:posOffset>
            </wp:positionV>
            <wp:extent cx="5728970" cy="400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74" w:right="1440" w:bottom="1440" w:gutter="0" w:footer="0" w:header="0"/>
        </w:sectPr>
      </w:pPr>
    </w:p>
    <w:bookmarkStart w:id="84" w:name="page85"/>
    <w:bookmarkEnd w:id="84"/>
    <w:p>
      <w:pPr>
        <w:ind w:left="2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130175</wp:posOffset>
            </wp:positionV>
            <wp:extent cx="4690745" cy="60699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690745" cy="60699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7401560</wp:posOffset>
            </wp:positionV>
            <wp:extent cx="5728970" cy="400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5" w:name="page86"/>
    <w:bookmarkEnd w:id="85"/>
    <w:p>
      <w:pPr>
        <w:ind w:left="20"/>
        <w:spacing w:after="0"/>
        <w:rPr>
          <w:sz w:val="20"/>
          <w:szCs w:val="20"/>
          <w:color w:val="auto"/>
        </w:rPr>
      </w:pPr>
      <w:r>
        <w:rPr>
          <w:rFonts w:ascii="Calibri" w:cs="Calibri" w:eastAsia="Calibri" w:hAnsi="Calibri"/>
          <w:sz w:val="12"/>
          <w:szCs w:val="12"/>
          <w:color w:val="003366"/>
        </w:rPr>
        <w:t>TABLE OF CONTENTS</w:t>
      </w:r>
    </w:p>
    <w:p>
      <w:pPr>
        <w:jc w:val="right"/>
        <w:ind w:right="6299"/>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54610</wp:posOffset>
            </wp:positionV>
            <wp:extent cx="4690745" cy="60699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690745" cy="60699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7311390</wp:posOffset>
            </wp:positionV>
            <wp:extent cx="5728970" cy="400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p>
      <w:pPr>
        <w:sectPr>
          <w:pgSz w:w="11900" w:h="16838" w:orient="portrait"/>
          <w:cols w:equalWidth="0" w:num="1">
            <w:col w:w="9019"/>
          </w:cols>
          <w:pgMar w:left="1440" w:top="62" w:right="1440" w:bottom="1440" w:gutter="0" w:footer="0" w:header="0"/>
        </w:sectPr>
      </w:pPr>
    </w:p>
    <w:bookmarkStart w:id="86" w:name="page87"/>
    <w:bookmarkEnd w:id="86"/>
    <w:p>
      <w:pPr>
        <w:ind w:left="20"/>
        <w:spacing w:after="0"/>
        <w:rPr>
          <w:sz w:val="20"/>
          <w:szCs w:val="20"/>
          <w:color w:val="auto"/>
        </w:rPr>
      </w:pPr>
      <w:r>
        <w:rPr>
          <w:rFonts w:ascii="Calibri" w:cs="Calibri" w:eastAsia="Calibri" w:hAnsi="Calibri"/>
          <w:sz w:val="12"/>
          <w:szCs w:val="12"/>
          <w:color w:val="003366"/>
        </w:rPr>
        <w:t>TABLE OF CONTENTS</w:t>
      </w:r>
    </w:p>
    <w:p>
      <w:pPr>
        <w:spacing w:after="0" w:line="57" w:lineRule="exact"/>
        <w:rPr>
          <w:sz w:val="20"/>
          <w:szCs w:val="20"/>
          <w:color w:val="auto"/>
        </w:rPr>
      </w:pPr>
    </w:p>
    <w:p>
      <w:pPr>
        <w:jc w:val="right"/>
        <w:ind w:right="5839"/>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79375</wp:posOffset>
            </wp:positionV>
            <wp:extent cx="4690745" cy="60699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690745" cy="60699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7242810</wp:posOffset>
            </wp:positionV>
            <wp:extent cx="5728970" cy="400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728970" cy="40005"/>
                    </a:xfrm>
                    <a:prstGeom prst="rect">
                      <a:avLst/>
                    </a:prstGeom>
                    <a:noFill/>
                  </pic:spPr>
                </pic:pic>
              </a:graphicData>
            </a:graphic>
          </wp:anchor>
        </w:drawing>
      </w:r>
    </w:p>
    <w:sectPr>
      <w:pgSz w:w="11900" w:h="16838" w:orient="portrait"/>
      <w:cols w:equalWidth="0" w:num="1">
        <w:col w:w="9019"/>
      </w:cols>
      <w:pgMar w:left="1440" w:top="10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1)"/>
      <w:numFmt w:val="decimal"/>
      <w:start w:val="3"/>
    </w:lvl>
  </w:abstractNum>
  <w:abstractNum w:abstractNumId="21">
    <w:nsid w:val="725A06FB"/>
    <w:multiLevelType w:val="hybridMultilevel"/>
    <w:lvl w:ilvl="0">
      <w:lvlJc w:val="left"/>
      <w:lvlText w:val="(%1)"/>
      <w:numFmt w:val="decimal"/>
      <w:start w:val="1"/>
    </w:lvl>
  </w:abstractNum>
  <w:abstractNum w:abstractNumId="22">
    <w:nsid w:val="2CD89A32"/>
    <w:multiLevelType w:val="hybridMultilevel"/>
    <w:lvl w:ilvl="0">
      <w:lvlJc w:val="left"/>
      <w:lvlText w:val="(%1)"/>
      <w:numFmt w:val="lowerRoman"/>
      <w:start w:val="2"/>
    </w:lvl>
  </w:abstractNum>
  <w:abstractNum w:abstractNumId="23">
    <w:nsid w:val="57E4CCAF"/>
    <w:multiLevelType w:val="hybridMultilevel"/>
    <w:lvl w:ilvl="0">
      <w:lvlJc w:val="left"/>
      <w:lvlText w:val="(%1)"/>
      <w:numFmt w:val="lowerRoman"/>
      <w:start w:val="2"/>
    </w:lvl>
  </w:abstractNum>
  <w:abstractNum w:abstractNumId="24">
    <w:nsid w:val="7A6D8D3C"/>
    <w:multiLevelType w:val="hybridMultilevel"/>
    <w:lvl w:ilvl="0">
      <w:lvlJc w:val="left"/>
      <w:lvlText w:val="(%1)"/>
      <w:numFmt w:val="decimal"/>
      <w:start w:val="10"/>
    </w:lvl>
  </w:abstractNum>
  <w:abstractNum w:abstractNumId="25">
    <w:nsid w:val="4B588F54"/>
    <w:multiLevelType w:val="hybridMultilevel"/>
    <w:lvl w:ilvl="0">
      <w:lvlJc w:val="left"/>
      <w:lvlText w:val="%1."/>
      <w:numFmt w:val="decimal"/>
      <w:start w:val="1"/>
    </w:lvl>
  </w:abstractNum>
  <w:abstractNum w:abstractNumId="26">
    <w:nsid w:val="542289EC"/>
    <w:multiLevelType w:val="hybridMultilevel"/>
    <w:lvl w:ilvl="0">
      <w:lvlJc w:val="left"/>
      <w:lvlText w:val="(%1)"/>
      <w:numFmt w:val="lowerRoman"/>
      <w:start w:val="6"/>
    </w:lvl>
  </w:abstractNum>
  <w:abstractNum w:abstractNumId="27">
    <w:nsid w:val="6DE91B18"/>
    <w:multiLevelType w:val="hybridMultilevel"/>
    <w:lvl w:ilvl="0">
      <w:lvlJc w:val="left"/>
      <w:lvlText w:val="(%1)"/>
      <w:numFmt w:val="decimal"/>
      <w:start w:val="4"/>
    </w:lvl>
  </w:abstractNum>
  <w:abstractNum w:abstractNumId="28">
    <w:nsid w:val="38437FDB"/>
    <w:multiLevelType w:val="hybridMultilevel"/>
    <w:lvl w:ilvl="0">
      <w:lvlJc w:val="left"/>
      <w:lvlText w:val="(%1)"/>
      <w:numFmt w:val="decimal"/>
    </w:lvl>
    <w:lvl w:ilvl="1">
      <w:lvlJc w:val="left"/>
      <w:lvlText w:val="•"/>
      <w:numFmt w:val="bullet"/>
      <w:start w:val="1"/>
    </w:lvl>
  </w:abstractNum>
  <w:abstractNum w:abstractNumId="29">
    <w:nsid w:val="7644A45C"/>
    <w:multiLevelType w:val="hybridMultilevel"/>
    <w:lvl w:ilvl="0">
      <w:lvlJc w:val="left"/>
      <w:lvlText w:val="(%1)"/>
      <w:numFmt w:val="decimal"/>
      <w:start w:val="1"/>
    </w:lvl>
  </w:abstractNum>
  <w:abstractNum w:abstractNumId="30">
    <w:nsid w:val="32FFF902"/>
    <w:multiLevelType w:val="hybridMultilevel"/>
    <w:lvl w:ilvl="0">
      <w:lvlJc w:val="left"/>
      <w:lvlText w:val="(%1)"/>
      <w:numFmt w:val="decimal"/>
      <w:start w:val="1"/>
    </w:lvl>
  </w:abstractNum>
  <w:abstractNum w:abstractNumId="31">
    <w:nsid w:val="684A481A"/>
    <w:multiLevelType w:val="hybridMultilevel"/>
    <w:lvl w:ilvl="0">
      <w:lvlJc w:val="left"/>
      <w:lvlText w:val="%1."/>
      <w:numFmt w:val="lowerLetter"/>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1)"/>
      <w:numFmt w:val="decimal"/>
      <w:start w:val="1"/>
    </w:lvl>
  </w:abstractNum>
  <w:abstractNum w:abstractNumId="34">
    <w:nsid w:val="3DC240FB"/>
    <w:multiLevelType w:val="hybridMultilevel"/>
    <w:lvl w:ilvl="0">
      <w:lvlJc w:val="left"/>
      <w:lvlText w:val="(%1)"/>
      <w:numFmt w:val="decimal"/>
      <w:start w:val="6"/>
    </w:lvl>
  </w:abstractNum>
  <w:abstractNum w:abstractNumId="35">
    <w:nsid w:val="1BA026FA"/>
    <w:multiLevelType w:val="hybridMultilevel"/>
    <w:lvl w:ilvl="0">
      <w:lvlJc w:val="left"/>
      <w:lvlText w:val="%1)"/>
      <w:numFmt w:val="decimal"/>
      <w:start w:val="1"/>
    </w:lvl>
  </w:abstractNum>
  <w:abstractNum w:abstractNumId="36">
    <w:nsid w:val="79A1DEAA"/>
    <w:multiLevelType w:val="hybridMultilevel"/>
    <w:lvl w:ilvl="0">
      <w:lvlJc w:val="left"/>
      <w:lvlText w:val="(%1)"/>
      <w:numFmt w:val="decimal"/>
      <w:start w:val="1"/>
    </w:lvl>
  </w:abstractNum>
  <w:abstractNum w:abstractNumId="37">
    <w:nsid w:val="75C6C33A"/>
    <w:multiLevelType w:val="hybridMultilevel"/>
    <w:lvl w:ilvl="0">
      <w:lvlJc w:val="left"/>
      <w:lvlText w:val="(%1)"/>
      <w:numFmt w:val="decimal"/>
      <w:start w:val="7"/>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1)"/>
      <w:numFmt w:val="decimal"/>
      <w:start w:val="2"/>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1)"/>
      <w:numFmt w:val="lowerLetter"/>
      <w:start w:val="1"/>
    </w:lvl>
  </w:abstractNum>
  <w:abstractNum w:abstractNumId="43">
    <w:nsid w:val="23F9C13C"/>
    <w:multiLevelType w:val="hybridMultilevel"/>
    <w:lvl w:ilvl="0">
      <w:lvlJc w:val="left"/>
      <w:lvlText w:val="(%1)"/>
      <w:numFmt w:val="decimal"/>
      <w:start w:val="1"/>
    </w:lvl>
  </w:abstractNum>
  <w:abstractNum w:abstractNumId="44">
    <w:nsid w:val="649BB77C"/>
    <w:multiLevelType w:val="hybridMultilevel"/>
    <w:lvl w:ilvl="0">
      <w:lvlJc w:val="left"/>
      <w:lvlText w:val="(%1)"/>
      <w:numFmt w:val="decimal"/>
      <w:start w:val="1"/>
    </w:lvl>
  </w:abstractNum>
  <w:abstractNum w:abstractNumId="45">
    <w:nsid w:val="275AC794"/>
    <w:multiLevelType w:val="hybridMultilevel"/>
    <w:lvl w:ilvl="0">
      <w:lvlJc w:val="left"/>
      <w:lvlText w:val="(%1)"/>
      <w:numFmt w:val="decimal"/>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1)"/>
      <w:numFmt w:val="lowerRoman"/>
      <w:start w:val="1"/>
    </w:lvl>
  </w:abstractNum>
  <w:abstractNum w:abstractNumId="50">
    <w:nsid w:val="47398C89"/>
    <w:multiLevelType w:val="hybridMultilevel"/>
    <w:lvl w:ilvl="0">
      <w:lvlJc w:val="left"/>
      <w:lvlText w:val="(%1)"/>
      <w:numFmt w:val="decimal"/>
      <w:start w:val="1"/>
    </w:lvl>
  </w:abstractNum>
  <w:abstractNum w:abstractNumId="51">
    <w:nsid w:val="354FE9F9"/>
    <w:multiLevelType w:val="hybridMultilevel"/>
    <w:lvl w:ilvl="0">
      <w:lvlJc w:val="left"/>
      <w:lvlText w:val="(%1)"/>
      <w:numFmt w:val="decimal"/>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1)"/>
      <w:numFmt w:val="decimal"/>
      <w:start w:val="24"/>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1)"/>
      <w:numFmt w:val="lowerRoman"/>
      <w:start w:val="2"/>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à"/>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
      <w:numFmt w:val="bullet"/>
      <w:start w:val="1"/>
    </w:lvl>
  </w:abstractNum>
  <w:abstractNum w:abstractNumId="63">
    <w:nsid w:val="2F305DEF"/>
    <w:multiLevelType w:val="hybridMultilevel"/>
    <w:lvl w:ilvl="0">
      <w:lvlJc w:val="left"/>
      <w:lvlText w:val="(%1)"/>
      <w:numFmt w:val="decimal"/>
      <w:start w:val="7"/>
    </w:lvl>
  </w:abstractNum>
  <w:abstractNum w:abstractNumId="64">
    <w:nsid w:val="25A70BF7"/>
    <w:multiLevelType w:val="hybridMultilevel"/>
    <w:lvl w:ilvl="0">
      <w:lvlJc w:val="left"/>
      <w:lvlText w:val="•"/>
      <w:numFmt w:val="bullet"/>
      <w:start w:val="1"/>
    </w:lvl>
  </w:abstractNum>
  <w:abstractNum w:abstractNumId="65">
    <w:nsid w:val="1DBABF0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2025-03-18T16:34:23Z</dcterms:created>
  <dcterms:modified xsi:type="dcterms:W3CDTF">2025-03-18T16:34:23Z</dcterms:modified>
</cp:coreProperties>
</file>