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20" w:hanging="452"/>
        <w:spacing w:after="0" w:line="35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3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460"/>
        <w:spacing w:after="0"/>
        <w:tabs>
          <w:tab w:leader="none" w:pos="55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Altisource Portfolio Solutions S.A.</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p>
      <w:pPr>
        <w:ind w:left="2380"/>
        <w:spacing w:after="0"/>
        <w:tabs>
          <w:tab w:leader="none" w:pos="8100" w:val="left"/>
        </w:tabs>
        <w:rPr>
          <w:sz w:val="20"/>
          <w:szCs w:val="20"/>
          <w:color w:val="auto"/>
        </w:rPr>
      </w:pPr>
      <w:r>
        <w:rPr>
          <w:rFonts w:ascii="Arial" w:cs="Arial" w:eastAsia="Arial" w:hAnsi="Arial"/>
          <w:sz w:val="18"/>
          <w:szCs w:val="18"/>
          <w:b w:val="1"/>
          <w:bCs w:val="1"/>
          <w:color w:val="auto"/>
        </w:rPr>
        <w:t>Luxembourg</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1120"/>
        <w:spacing w:after="0"/>
        <w:tabs>
          <w:tab w:leader="none" w:pos="764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No.)</w:t>
      </w:r>
    </w:p>
    <w:p>
      <w:pPr>
        <w:spacing w:after="0" w:line="11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291, Route d’Arlon</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(352) 24 69 79 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including area code, of registrant’s principal executive offices)</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260"/>
              <w:spacing w:after="0"/>
              <w:rPr>
                <w:sz w:val="20"/>
                <w:szCs w:val="20"/>
                <w:color w:val="auto"/>
              </w:rPr>
            </w:pPr>
            <w:r>
              <w:rPr>
                <w:rFonts w:ascii="Arial" w:cs="Arial" w:eastAsia="Arial" w:hAnsi="Arial"/>
                <w:sz w:val="18"/>
                <w:szCs w:val="18"/>
                <w:color w:val="auto"/>
                <w:w w:val="82"/>
              </w:rPr>
              <w:t>Common</w:t>
            </w: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Stock, $1.00 par value</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00" w:type="dxa"/>
            <w:vAlign w:val="bottom"/>
            <w:gridSpan w:val="4"/>
          </w:tcPr>
          <w:p>
            <w:pPr>
              <w:jc w:val="center"/>
              <w:ind w:right="82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0" w:type="dxa"/>
            <w:vAlign w:val="bottom"/>
            <w:gridSpan w:val="3"/>
          </w:tcPr>
          <w:p>
            <w:pPr>
              <w:jc w:val="center"/>
              <w:ind w:right="194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60" w:type="dxa"/>
            <w:vAlign w:val="bottom"/>
            <w:gridSpan w:val="3"/>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020" w:type="dxa"/>
            <w:vAlign w:val="bottom"/>
            <w:gridSpan w:val="2"/>
          </w:tcPr>
          <w:p>
            <w:pPr>
              <w:spacing w:after="0"/>
              <w:rPr>
                <w:sz w:val="20"/>
                <w:szCs w:val="20"/>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3"/>
        </w:trPr>
        <w:tc>
          <w:tcPr>
            <w:tcW w:w="846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6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9"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460"/>
        <w:spacing w:after="0" w:line="207" w:lineRule="exact"/>
        <w:tabs>
          <w:tab w:leader="none" w:pos="7920" w:val="left"/>
          <w:tab w:leader="none" w:pos="8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2011 was $662,418,290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80" w:lineRule="exact"/>
        <w:rPr>
          <w:sz w:val="24"/>
          <w:szCs w:val="24"/>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January 31, 2012, there were 23,405,123 outstanding shares of the Registrant’s shares of beneficial interest (excluding 2,007,625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230" w:right="239" w:bottom="0" w:gutter="0" w:footer="0" w:header="0"/>
          <w:type w:val="continuous"/>
        </w:sectPr>
      </w:pPr>
    </w:p>
    <w:bookmarkStart w:id="1" w:name="page2"/>
    <w:bookmarkEnd w:id="1"/>
    <w:p>
      <w:pPr>
        <w:jc w:val="both"/>
        <w:ind w:firstLine="456"/>
        <w:spacing w:after="0" w:line="306"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2011 Annual Meeting of Stockholders are incorporated by reference into Part III of this Report. Such Definitive Proxy Statement will be filed with the Securities and Exchange Commission not later than 120 days after the conclusion of the registrant’s fiscal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0" w:type="dxa"/>
            <w:vAlign w:val="bottom"/>
            <w:gridSpan w:val="1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320" w:type="dxa"/>
            <w:vAlign w:val="bottom"/>
            <w:gridSpan w:val="5"/>
            <w:vMerge w:val="restart"/>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gridSpan w:val="2"/>
            <w:vMerge w:val="continue"/>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RISK FACTORS</w:t>
              </w:r>
            </w:hyperlink>
          </w:p>
        </w:tc>
        <w:tc>
          <w:tcPr>
            <w:tcW w:w="79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914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64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1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72"/>
        </w:trPr>
        <w:tc>
          <w:tcPr>
            <w:tcW w:w="1900" w:type="dxa"/>
            <w:vAlign w:val="bottom"/>
            <w:gridSpan w:val="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MARKET FOR REGISTRANT’S COMMON EQUITY, RELATED STOCKHOLDER MATTERS AND ISSUER</w:t>
              </w:r>
            </w:hyperlink>
          </w:p>
        </w:tc>
        <w:tc>
          <w:tcPr>
            <w:tcW w:w="10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PURCHASES OF EQUITY SECURITIES</w:t>
              </w:r>
            </w:hyperlink>
          </w:p>
        </w:tc>
        <w:tc>
          <w:tcPr>
            <w:tcW w:w="61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9140" w:type="dxa"/>
            <w:vAlign w:val="bottom"/>
            <w:gridSpan w:val="2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CONSOLIDATED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7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MANAGEMENT’S DISCUSSION AND ANALYSIS OF FINANCIAL CONDITION AND RESULTS OF OPERATIONS</w:t>
              </w:r>
            </w:hyperlink>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9140" w:type="dxa"/>
            <w:vAlign w:val="bottom"/>
            <w:gridSpan w:val="2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5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31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DISCLOSURES</w:t>
              </w:r>
            </w:hyperlink>
          </w:p>
        </w:tc>
        <w:tc>
          <w:tcPr>
            <w:tcW w:w="6560" w:type="dxa"/>
            <w:vAlign w:val="bottom"/>
            <w:tcBorders>
              <w:top w:val="single" w:sz="8" w:color="0000EE"/>
            </w:tcBorders>
            <w:gridSpan w:val="16"/>
          </w:tcPr>
          <w:p>
            <w:pPr>
              <w:spacing w:after="0"/>
              <w:rPr>
                <w:sz w:val="17"/>
                <w:szCs w:val="17"/>
                <w:color w:val="auto"/>
              </w:rPr>
            </w:pPr>
          </w:p>
        </w:tc>
        <w:tc>
          <w:tcPr>
            <w:tcW w:w="1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CONTROLS AND PROCEDURES</w:t>
              </w:r>
            </w:hyperlink>
          </w:p>
        </w:tc>
        <w:tc>
          <w:tcPr>
            <w:tcW w:w="66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2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72"/>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1180" w:type="dxa"/>
            <w:vAlign w:val="bottom"/>
            <w:gridSpan w:val="2"/>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56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DIRECTORS, EXECUTIVE OFFICERS AND CORPORATE GOVERNANCE</w:t>
              </w:r>
            </w:hyperlink>
          </w:p>
        </w:tc>
        <w:tc>
          <w:tcPr>
            <w:tcW w:w="34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14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SECURITY OWNERSHIP OF CERTAIN BENEFICIAL OWNERS AND MANAGEMENT AND RELATED</w:t>
              </w:r>
            </w:hyperlink>
          </w:p>
        </w:tc>
        <w:tc>
          <w:tcPr>
            <w:tcW w:w="13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914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4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ACCOUNTANT FEES AND SERVICES</w:t>
              </w:r>
            </w:hyperlink>
          </w:p>
        </w:tc>
        <w:tc>
          <w:tcPr>
            <w:tcW w:w="44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72"/>
        </w:trPr>
        <w:tc>
          <w:tcPr>
            <w:tcW w:w="1900" w:type="dxa"/>
            <w:vAlign w:val="bottom"/>
            <w:gridSpan w:val="7"/>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IV</w:t>
              </w:r>
            </w:hyperlink>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40" w:type="dxa"/>
            <w:vAlign w:val="bottom"/>
            <w:gridSpan w:val="14"/>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914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10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SIGNATURES</w:t>
              </w:r>
            </w:hyperlink>
          </w:p>
        </w:tc>
        <w:tc>
          <w:tcPr>
            <w:tcW w:w="3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“seek”, “believe” and similar expressions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1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“we,” “us,” “our” and the “Company” refer to Altisource Portfolio Solutions S.A., a Luxembourg société anonyme, or public limited company, and its wholly-owned subsidiaries.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Altisource Portfolio Solutions S.A., together with its subsidiaries, is a provider of services focused on high value, technology-enabled, knowledge-based functions principally related to real estate and mortgage portfolio management, asset recovery and customer relationship management. We enable our clients to achieve their goals by leveraging our process management, innovative technology, econometrics and consumer behavior practice and high-quality, cost effective global human resources.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On August 10, 2009, we became a stand-alone public company in connection with our separation from Ocwen Financial Corporation (“Ocwen</w:t>
      </w:r>
      <w:r>
        <w:rPr>
          <w:rFonts w:ascii="Arial" w:cs="Arial" w:eastAsia="Arial" w:hAnsi="Arial"/>
          <w:sz w:val="10"/>
          <w:szCs w:val="10"/>
          <w:color w:val="auto"/>
        </w:rPr>
        <w:t>®</w:t>
      </w:r>
      <w:r>
        <w:rPr>
          <w:rFonts w:ascii="Arial" w:cs="Arial" w:eastAsia="Arial" w:hAnsi="Arial"/>
          <w:sz w:val="16"/>
          <w:szCs w:val="16"/>
          <w:color w:val="auto"/>
        </w:rPr>
        <w:t>”) (the “Separation”). Prior to the date of Separation, our businesses were wholly-owned subsidiaries of Ocwen.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Achievements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During 2011, we achieved several milestones:</w:t>
      </w:r>
    </w:p>
    <w:p>
      <w:pPr>
        <w:spacing w:after="0" w:line="158"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revenue of $423.7 million, representing a 41% increase over the year-ended December 31, 2010.</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Service Revenue of $334.8 million representing a 36% increase over the year-ended December 31, 2010.</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diluted earnings per share of $2.77 representing a 47% increase over the year-ended December 31, 2010.</w:t>
      </w:r>
    </w:p>
    <w:p>
      <w:pPr>
        <w:spacing w:after="0" w:line="157" w:lineRule="exact"/>
        <w:rPr>
          <w:rFonts w:ascii="Arial" w:cs="Arial" w:eastAsia="Arial" w:hAnsi="Arial"/>
          <w:sz w:val="18"/>
          <w:szCs w:val="18"/>
          <w:color w:val="auto"/>
        </w:rPr>
      </w:pPr>
    </w:p>
    <w:p>
      <w:pPr>
        <w:ind w:left="5680" w:right="1640" w:hanging="5226"/>
        <w:spacing w:after="0" w:line="440" w:lineRule="auto"/>
        <w:tabs>
          <w:tab w:leader="none" w:pos="909"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$111.6 million of operating cash flow representing on average $0.33 for every dollar of Service Revenue generated. 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sought to strategically deploy cash generated during 2011 to either facilitate long-term growth or return such cash to shareholders:</w:t>
      </w:r>
    </w:p>
    <w:p>
      <w:pPr>
        <w:spacing w:after="0" w:line="181"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Returned $61.1 million to shareholders through the repurchase of 1.6 million shares under the stock repurchase program at an average price of $37.57 per share.</w:t>
      </w:r>
    </w:p>
    <w:p>
      <w:pPr>
        <w:spacing w:after="0" w:line="118"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Expended $16.4 million on capital projects to facilitate the growth of operations, primarily as a result of the continued growth of the residential loan servicing portfolio of Ocwen, our largest customer.</w:t>
      </w:r>
    </w:p>
    <w:p>
      <w:pPr>
        <w:spacing w:after="0" w:line="118"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Invested $15.0 million in Correspondent One S.A. (“Correspondent™”), an equity method investment. Correspondent One facilitates the purchase of closed conforming and government guaranteed residential mortgages from approved mortgage bankers. Correspondent One provides members of the Lenders One Mortgage Cooperative (“Lenders One</w:t>
      </w:r>
      <w:r>
        <w:rPr>
          <w:rFonts w:ascii="Arial" w:cs="Arial" w:eastAsia="Arial" w:hAnsi="Arial"/>
          <w:sz w:val="10"/>
          <w:szCs w:val="10"/>
          <w:color w:val="auto"/>
        </w:rPr>
        <w:t>®</w:t>
      </w:r>
      <w:r>
        <w:rPr>
          <w:rFonts w:ascii="Arial" w:cs="Arial" w:eastAsia="Arial" w:hAnsi="Arial"/>
          <w:sz w:val="16"/>
          <w:szCs w:val="16"/>
          <w:color w:val="auto"/>
        </w:rPr>
        <w:t>”), a national alliance of independent mortgage bankers which we manage, additional avenues to sell loans beyond Lenders One’s preferred investor arrangements and the members’ own network of loan buyers.</w:t>
      </w:r>
    </w:p>
    <w:p>
      <w:pPr>
        <w:spacing w:after="0" w:line="9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Springhouse, LLC (“Springhouse™”) an appraisal management company that utilizes a nationwide panel of appraisers to provide appraisals principally to mortgage originators and real estate managers.</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the assembled workforce of a sub-contractor (“Tracmail”) in India that performs asset recovery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three reportable segments:</w:t>
      </w:r>
    </w:p>
    <w:p>
      <w:pPr>
        <w:spacing w:after="0" w:line="158" w:lineRule="exact"/>
        <w:rPr>
          <w:sz w:val="20"/>
          <w:szCs w:val="20"/>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consists of mortgage portfolio management services that span the mortgage lifecycle from origination through real estate owned</w:t>
      </w:r>
      <w:r>
        <w:rPr>
          <w:rFonts w:ascii="Arial" w:cs="Arial" w:eastAsia="Arial" w:hAnsi="Arial"/>
          <w:sz w:val="18"/>
          <w:szCs w:val="18"/>
          <w:i w:val="1"/>
          <w:iCs w:val="1"/>
          <w:color w:val="auto"/>
        </w:rPr>
        <w:t xml:space="preserve"> </w:t>
      </w:r>
      <w:r>
        <w:rPr>
          <w:rFonts w:ascii="Arial" w:cs="Arial" w:eastAsia="Arial" w:hAnsi="Arial"/>
          <w:sz w:val="18"/>
          <w:szCs w:val="18"/>
          <w:color w:val="auto"/>
        </w:rPr>
        <w:t>(REO) asset management and sale;</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Services </w:t>
      </w:r>
      <w:r>
        <w:rPr>
          <w:rFonts w:ascii="Arial" w:cs="Arial" w:eastAsia="Arial" w:hAnsi="Arial"/>
          <w:sz w:val="18"/>
          <w:szCs w:val="18"/>
          <w:color w:val="auto"/>
        </w:rPr>
        <w:t>principally consists of unsecured asset recovery and customer relationship management; and</w:t>
      </w:r>
    </w:p>
    <w:p>
      <w:pPr>
        <w:spacing w:after="0" w:line="15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consists of modular, comprehensive integrated technological solutions for loan servicing, vendor management and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presentment and payment as well as providing infrastructure support.</w:t>
      </w:r>
    </w:p>
    <w:p>
      <w:pPr>
        <w:spacing w:after="0" w:line="10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and also includes costs recognized by us related to corporate support functions such as executive, finance, legal, human resources, vendor management and six sigma.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conduct portions of our operations in all 50 states and in three countries outside of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Mortgage Services segment continues to be the primary driver of growth. This segment generates revenue principally by providing services that loan originators and loan servicers typically outsource to third parties. Our services are provided using our national platform and span the lifecycle of a mortgage loan. Our services are primarily centered on our relationship with Ocwen, but we also have longstanding relationships with some of the leading capital market firms, commercial banks, hedge funds, insurance companies and lending institutions.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services typically begin with a default management referral from a customer which results in a pre-foreclosure title search, property inspection services and non-legal back-office support services in connection with managing foreclosures. Upon receipt of an asset management referral after a property has been foreclosed, we provide REO preservation, REO asset management, REO valuation, REO brokerage, REO closing and REO title insurance services.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our initial focus has principally been related to default services, we are also committed to developing our services to support mortgage originators and correspondent lenders. In February 2010, we acquired the Mortgage Partnership of America, L.L.C. (“MPA™”). MPA is the manager of a national alliance of community mortgage bankers and correspondent lenders which does business as Lenders One. We believe MPA’s 210 plus member companies originated approximately 8% of the total U.S. residential mortgage originations in 2011. Further, in 2011, we co-formed Correspondent One which once fully operational will provide members of Lenders One additional avenues to sell their loans beyond Lenders One’s preferred investor arrangements and the members’ own network of loan buyers. We anticipate this will result in improved profitability for the members and facilitate the sale of our services to the members.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we reorganized our reporting structure within this segment in that certain services originally part of Component Services and Other are now classified as part of Customer Relationship Management in our Financial Services segment. Following this change, Component Service and Other was renamed Origination Management Services. Prior periods have been recast to conform to the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revenues for our Mortgage Services segment for the past three annual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315"/>
              <w:spacing w:after="0"/>
              <w:rPr>
                <w:sz w:val="20"/>
                <w:szCs w:val="20"/>
                <w:color w:val="auto"/>
              </w:rPr>
            </w:pPr>
            <w:r>
              <w:rPr>
                <w:rFonts w:ascii="Arial" w:cs="Arial" w:eastAsia="Arial" w:hAnsi="Arial"/>
                <w:sz w:val="14"/>
                <w:szCs w:val="14"/>
                <w:b w:val="1"/>
                <w:bCs w:val="1"/>
                <w:color w:val="auto"/>
                <w:w w:val="86"/>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7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Asset Management Services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141,486</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78,999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Origination Management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22,835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Residential Property Valuation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33,502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Closing and Insurance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28,056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Default Management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23,741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187,133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 Services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78,999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Residential Property Valuation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32,525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Closing and Insurance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17,379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Default Management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6,752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135,655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Reimbursable Expenses (included in Revenue)</w:t>
            </w:r>
            <w:r>
              <w:rPr>
                <w:rFonts w:ascii="Arial" w:cs="Arial" w:eastAsia="Arial" w:hAnsi="Arial"/>
                <w:sz w:val="11"/>
                <w:szCs w:val="11"/>
                <w:color w:val="auto"/>
              </w:rPr>
              <w:t>(1)</w:t>
            </w: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 Services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41,920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Default Management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2,328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Closing and Insurance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3"/>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80,124</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44,550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Reimbursable Expenses include costs we incur that we pass through to our customers without any mark-up.</w:t>
      </w:r>
    </w:p>
    <w:p>
      <w:pPr>
        <w:spacing w:after="0" w:line="12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Asset Management Services</w:t>
      </w:r>
      <w:r>
        <w:rPr>
          <w:rFonts w:ascii="Arial" w:cs="Arial" w:eastAsia="Arial" w:hAnsi="Arial"/>
          <w:sz w:val="16"/>
          <w:szCs w:val="16"/>
          <w:color w:val="auto"/>
        </w:rPr>
        <w:t>. Principally includes property preservation, property inspection, REO asset management and REO brokerage.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Services has been the largest contributor to Service Revenue growth year to date which reflects an increase in the number of REO sold, the number of REO for which we provide property preservation services and an increase in pre-foreclosure inspection services.</w:t>
      </w:r>
    </w:p>
    <w:p>
      <w:pPr>
        <w:spacing w:after="0" w:line="8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Origination Management Services</w:t>
      </w:r>
      <w:r>
        <w:rPr>
          <w:rFonts w:ascii="Arial" w:cs="Arial" w:eastAsia="Arial" w:hAnsi="Arial"/>
          <w:sz w:val="18"/>
          <w:szCs w:val="18"/>
          <w:color w:val="auto"/>
        </w:rPr>
        <w:t>. Principally includes MPA, our contract underwriting business and our origination fulfillment operations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Residential Property Valuation Services. </w:t>
      </w:r>
      <w:r>
        <w:rPr>
          <w:rFonts w:ascii="Arial" w:cs="Arial" w:eastAsia="Arial" w:hAnsi="Arial"/>
          <w:sz w:val="18"/>
          <w:szCs w:val="18"/>
          <w:color w:val="auto"/>
        </w:rPr>
        <w:t>We provide our customers with traditional appraisal products through our licensed appraisal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working with our network of experienced appraisers and our exclusive ordering system. Customers may also order alternative valuation products through our system and network of real estate professionals. We also offer customers the ability to outsource all or part of their appraisal and valuation management oversight functions to us.</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Closing and Insurance Services</w:t>
      </w:r>
      <w:r>
        <w:rPr>
          <w:rFonts w:ascii="Arial" w:cs="Arial" w:eastAsia="Arial" w:hAnsi="Arial"/>
          <w:sz w:val="18"/>
          <w:szCs w:val="18"/>
          <w:color w:val="auto"/>
        </w:rPr>
        <w:t>. We provide an array of closing services (e.g., document preparation) and title services (e.g., pre-foreclosure title search,</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applicable to the residential foreclosure process and the sale of residential property. During 2011, we focused on increasing our referral capture rate in our operational states and rolling out insured title services nationwide, similar to what we accomplished with our title search and asset management businesses in 2010.</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We provide non-legal back-office support for foreclosure, bankruptcy and eviction attorneys as well as foreclosure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do not execute or notarize foreclosure affidavits of debt or lost note affidavits.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Services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Services segment provides collection and customer relationship management services primarily to debt originators (e.g., credit card, auto loans, retail credit, mortgages) and the utility and insurance industries. Our leadership team for this segment is focused on disciplined floor management, delivering more services over our global delivery platform, expanding our quality and analytical initiatives and investing in new technology. Our global delivery platform consists of highly trained specialists in various geographic regions.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for our Financial Services segment for the past three annual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4"/>
                <w:szCs w:val="14"/>
                <w:b w:val="1"/>
                <w:bCs w:val="1"/>
                <w:color w:val="auto"/>
                <w:w w:val="86"/>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78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Asset Recovery Management</w:t>
            </w: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39,321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48,050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 Relationship Management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31,860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29,567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Total Revenue</w:t>
            </w: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3"/>
            <w:vMerge w:val="continue"/>
          </w:tcPr>
          <w:p>
            <w:pPr>
              <w:spacing w:after="0"/>
              <w:rPr>
                <w:sz w:val="19"/>
                <w:szCs w:val="19"/>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71,181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77,617</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Asset Recovery Management</w:t>
            </w:r>
          </w:p>
        </w:tc>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Reimbursable Expenses (included in Revenue)</w:t>
            </w:r>
            <w:r>
              <w:rPr>
                <w:rFonts w:ascii="Arial" w:cs="Arial" w:eastAsia="Arial" w:hAnsi="Arial"/>
                <w:sz w:val="11"/>
                <w:szCs w:val="11"/>
                <w:color w:val="auto"/>
              </w:rPr>
              <w:t>(1)</w:t>
            </w:r>
            <w:r>
              <w:rPr>
                <w:rFonts w:ascii="Arial" w:cs="Arial" w:eastAsia="Arial" w:hAnsi="Arial"/>
                <w:sz w:val="18"/>
                <w:szCs w:val="18"/>
                <w:color w:val="auto"/>
              </w:rPr>
              <w:t>:</w:t>
            </w: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780" w:type="dxa"/>
            <w:vAlign w:val="bottom"/>
            <w:gridSpan w:val="3"/>
            <w:vMerge w:val="continue"/>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Recovery Management</w:t>
            </w:r>
          </w:p>
        </w:tc>
        <w:tc>
          <w:tcPr>
            <w:tcW w:w="2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Reimbursable Expenses include costs we incur that we pass through to our customers without any mark-up.</w:t>
      </w:r>
    </w:p>
    <w:p>
      <w:pPr>
        <w:spacing w:after="0" w:line="12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We provide post-charge-off consumer debt collection (e.g., credit cards, auto loans, second mortgages) on a contingent fee</w:t>
      </w:r>
      <w:r>
        <w:rPr>
          <w:rFonts w:ascii="Arial" w:cs="Arial" w:eastAsia="Arial" w:hAnsi="Arial"/>
          <w:sz w:val="18"/>
          <w:szCs w:val="18"/>
          <w:i w:val="1"/>
          <w:iCs w:val="1"/>
          <w:color w:val="auto"/>
        </w:rPr>
        <w:t xml:space="preserve"> </w:t>
      </w:r>
      <w:r>
        <w:rPr>
          <w:rFonts w:ascii="Arial" w:cs="Arial" w:eastAsia="Arial" w:hAnsi="Arial"/>
          <w:sz w:val="18"/>
          <w:szCs w:val="18"/>
          <w:color w:val="auto"/>
        </w:rPr>
        <w:t>basis where we are paid a percentage of the recovered debt.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We provide customer care (e.g., connects/disconnects for utilities) and early stage collections services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compensated on a per-call, per-person or per-minute basis. In addition, we provide insurance and claims processing, call center services and analytical support for which we are paid based upon the number of employees utilized.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Services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Technology Services comprises our REALSuite</w:t>
      </w:r>
      <w:r>
        <w:rPr>
          <w:rFonts w:ascii="Arial" w:cs="Arial" w:eastAsia="Arial" w:hAnsi="Arial"/>
          <w:sz w:val="10"/>
          <w:szCs w:val="10"/>
          <w:color w:val="auto"/>
        </w:rPr>
        <w:t>™</w:t>
      </w:r>
      <w:r>
        <w:rPr>
          <w:rFonts w:ascii="Arial" w:cs="Arial" w:eastAsia="Arial" w:hAnsi="Arial"/>
          <w:sz w:val="16"/>
          <w:szCs w:val="16"/>
          <w:color w:val="auto"/>
        </w:rPr>
        <w:t xml:space="preserve"> of applications as well as our IT infrastructure services. We only provide our IT infrastructure services to Ocwen and ourselves. In 2011, we began to report our Consumer Analytics group within Technology Services. Previously this group was included in Corporate.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2011, we modified our pricing for IT Infrastructure Services within our Technology Services segment from a model based principally on a rate card to a fully loaded costs plus mark-up methodology. This model applies to the infrastructure amounts charged to Ocwen as well as internal allocations of infrastructure costs.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Technology Services segment is primarily focused on supporting the growth of Mortgage Services and Ocwen. In addition, Technology Services is assisting in the cost reduction and quality initiatives on-going within the Financial Services segment.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our Technology Services segment for the past three annual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4"/>
                <w:szCs w:val="14"/>
                <w:b w:val="1"/>
                <w:bCs w:val="1"/>
                <w:color w:val="auto"/>
                <w:w w:val="86"/>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7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REALSuite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34,926</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31,214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Infrastructure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20,799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3"/>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56,094</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52,013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REALSuite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13,253</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11,226</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Infrastructure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21,812</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19,167</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REALSuite platform provides a fully integrated set of applications and technologies that manage the end-to-end lifecycle for residential and commercial servicing including the automated management and payment of a distributed network of vendors. A brief description of key components of the REALSuite is described below:</w:t>
      </w:r>
    </w:p>
    <w:p>
      <w:pPr>
        <w:spacing w:after="0" w:line="113"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administration. This technology solution features automated workflows, a dialogue engine and robust reporting capabilities. The solution spans the loan servicing cycle from loan boarding to satisfaction including all collections, payment processing and reporting. We also offer REALSynergy</w:t>
      </w:r>
      <w:r>
        <w:rPr>
          <w:rFonts w:ascii="Arial" w:cs="Arial" w:eastAsia="Arial" w:hAnsi="Arial"/>
          <w:sz w:val="11"/>
          <w:szCs w:val="11"/>
          <w:color w:val="auto"/>
        </w:rPr>
        <w:t>®</w:t>
      </w:r>
      <w:r>
        <w:rPr>
          <w:rFonts w:ascii="Arial" w:cs="Arial" w:eastAsia="Arial" w:hAnsi="Arial"/>
          <w:sz w:val="18"/>
          <w:szCs w:val="18"/>
          <w:color w:val="auto"/>
        </w:rPr>
        <w:t>, an enterprise commercial loan servicing system.</w:t>
      </w:r>
    </w:p>
    <w:p>
      <w:pPr>
        <w:spacing w:after="0" w:line="116"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i w:val="1"/>
          <w:iCs w:val="1"/>
          <w:color w:val="auto"/>
        </w:rPr>
        <w:t>REALTrans</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a patented electronic business-to-business exchange that automates and simplifies the ordering, tracking and fulfilling of vendor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8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to have invoice payments deposited directly to their respective bank accounts.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i w:val="1"/>
          <w:iCs w:val="1"/>
          <w:color w:val="auto"/>
        </w:rPr>
        <w:t xml:space="preserve">IT Infrastructure Services. </w:t>
      </w:r>
      <w:r>
        <w:rPr>
          <w:rFonts w:ascii="Arial" w:cs="Arial" w:eastAsia="Arial" w:hAnsi="Arial"/>
          <w:sz w:val="16"/>
          <w:szCs w:val="16"/>
          <w:color w:val="auto"/>
        </w:rPr>
        <w:t>We provide a full suite of IT services (e.g., desktop management, application support, network management, telephony, data</w:t>
      </w:r>
      <w:r>
        <w:rPr>
          <w:rFonts w:ascii="Arial" w:cs="Arial" w:eastAsia="Arial" w:hAnsi="Arial"/>
          <w:sz w:val="16"/>
          <w:szCs w:val="16"/>
          <w:i w:val="1"/>
          <w:iCs w:val="1"/>
          <w:color w:val="auto"/>
        </w:rPr>
        <w:t xml:space="preserve"> </w:t>
      </w:r>
      <w:r>
        <w:rPr>
          <w:rFonts w:ascii="Arial" w:cs="Arial" w:eastAsia="Arial" w:hAnsi="Arial"/>
          <w:sz w:val="16"/>
          <w:szCs w:val="16"/>
          <w:color w:val="auto"/>
        </w:rPr>
        <w:t>center management, disaster recovery, helpdesk and infrastructure security) for which we perform remote management of IT functions internally and for Ocwen.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Items and Eliminations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Items and Eliminations includes eliminations of transactions between the reporting segments and this segment also includes costs recognized by us related to corporate support functions such as executive, finance, legal, human resources, vendor management and six sigma. Prior to the date of Separation, this segment included expenditures recognized by us related to the Separation.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services to some of the most respected organizations in their industries, including one of the U.S.’ largest sub-prime servicers, utility companies, commercial banks, servicers, investors, mortgage bankers, financial service companies and hedge funds across the U.S.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three largest customers in 2011 accounted for 71% of our total revenue. Our largest customer is Ocwen which accounted for 58% of Altisource’s total revenue in 2011. During 2011, Ocwen successfully grew its residential loan servicing portfolio primarily through acquisitions to $102.2 billion in unpaid principal balances as of December 31, 2011. In October 2011, Ocwen announced it had entered into a definitive agreement to acquire a portfolio from a subsidiary of Morgan Stanley Mortgage Capital Holdings, LLC which would result in a net gain of approximately $16.0 billion in unpaid principal balance (the “Saxon” portfolio). In November 2011, Ocwen entered into an agreement with JPMorgan Chase, N.A. (“JPMCB”) to acquire a portfolio of $15.0 billion in unpaid principal balance. Both of these transactions are expected to board in the first half of 2012. Additionally, Ocwen continues to evaluate additional servicing portfolio acquisitions.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Following the date of Separation, Ocwen is contractually obligated to purchase certain Mortgage Services and Technology Services from us under service agreements. These agreements extend until August 2017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Ocwen, related party revenues consist of revenues earned directly from Ocwen and revenues earned from the loans serviced by Ocwen when Ocwen determines the service provider. We earn additional revenue on the loan portfolios serviced by Ocwen that are not considered related party revenues as Ocwen does not have the ability to decide the service provider. As a percentage of each of our segment revenues and as a percentage of consolidated revenues, related party revenue was as follows for the year ended December 31:</w:t>
      </w:r>
    </w:p>
    <w:p>
      <w:pPr>
        <w:spacing w:after="0" w:line="166"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For the Years Ended December 31,</w:t>
      </w:r>
    </w:p>
    <w:tbl>
      <w:tblPr>
        <w:tblLayout w:type="fixed"/>
        <w:tblInd w:w="0" w:type="dxa"/>
        <w:tblCellMar>
          <w:top w:w="0" w:type="dxa"/>
          <w:left w:w="0" w:type="dxa"/>
          <w:bottom w:w="0" w:type="dxa"/>
          <w:right w:w="0" w:type="dxa"/>
        </w:tblCellMar>
      </w:tblPr>
      <w:tr>
        <w:trPr>
          <w:trHeight w:val="142"/>
        </w:trPr>
        <w:tc>
          <w:tcPr>
            <w:tcW w:w="7940" w:type="dxa"/>
            <w:vAlign w:val="bottom"/>
            <w:gridSpan w:val="2"/>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9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 1</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&lt; 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&lt;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experienced sales personnel and relationship managers with subject matter expertise. These individuals maintain relationships throughout the industry sectors we serve and play an important role in generating new client leads as well as identifying opportunities to expand our services with existing clients. Additional leads are also generated through request for proposal processes from key industry participants. Our sales team works collaboratively and is compensated principally with a base salary and commission for sales generated.</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From a sales and marketing perspective, our primary focus is supporting the growth of our largest customer, Ocwen, expanding relationships with existing MPA members and targeting new customers that could have a material positive impact on our results of operations. Given the highly concentrated nature of the industries that we serve, the time and effort spent in expanding relationships or winning new relationships is significant.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rely on a combination of contractual restrictions, internal security practices, patents, trademarks, copyrights, trade secrets and other intellectual property to establish and protect our software, technology and expertise. We also own or, as necessary and appropriate, have obtained licenses from third parties to intellectual property relating to our services, processes and business. These intellectual property rights are important factors in the success of our businesses.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2011, we have been awarded one patent that expires in 2023 and three patents that expire in 2024. The U.S. Patent Office has also notified us of the allowance of a pending U.S. Patent Application. In addition, Altisource has registered trademarks or recently filed applications for registration of trademarks in a number of countries or groups of countries including the United States, the European Community, India and in eleven other countries or groups of countries. These trademarks generally can be renewed indefinitely.</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copyrights, trade secrets, trademarks and other intellectual property rights.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1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industry verticals in which we engage are highly competitive and generally consist of a few national vendors as well as a large number of regional or in-house providers resulting in a fragmented market with disparate service offerings. From an overall perspective, we compete with the global business process outsourcing firms. Our Mortgage Services segment competes with national and regional third party service providers and in-house servicing operations of large mortgage lenders and servicers. Our Financial Services segment competes with other large receivables management companies as well as a fragmented group of smaller companies and law firms focused on collections. Our Technology Services segment competes with data processing and software development companies.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diverse nature of services that we and our competitors offer, we cannot determine our position in the market with certainty, but we believe that we represent only a small portion of very large sized markets. Given our size, some of our competitors may offer more diversified services, operate in broader geographic markets or have greater financial resources than we do. In addition, some of our larger customers retain multiple providers and continuously evaluate our performance against our competitors.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Competitive factors in our Mortgage Services business include the quality and timeliness of our services, the size and competence of our network of vendors and the breadth of the services we offer. For Financial Services, competitive factors include the ability to achieve a collection rate comparable to our competitors; the quality and personal nature of the service; the consistency and professionalism of the service and the recruitment, training and retention of our workforce. Competitive factors in our Technology Services business include the quality of the technology-based application or service; application features and functions; ease of delivery and integration; our ability to maintain, enhance and support the applications or services and the cost of obtaining, maintaining and enforcing of our patents.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had the following number of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United States</w:t>
            </w:r>
          </w:p>
        </w:tc>
        <w:tc>
          <w:tcPr>
            <w:tcW w:w="24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India</w:t>
            </w: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2,853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Financial 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593</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1,678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Corporate</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Employees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that our future success will depend, in part, on our ability to continue to attract, hire and retain skilled and experienced personnel.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as borrowers may utilize tax refunds and bonuses to pay debts, and generally declines throughout the rest of the year. Mortgage Services revenue is impacted by REO sales which tend to be at their lowest level during fall and winter months and highest during spring and summer months.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businesses are subject to extensive laws and regulations by federal, state and local governmental authorities including the Federal Trade Commission, the state agencies that license our mortgage services, collection entities and the SEC. We also must comply with a number of federal, state and local consumer protection laws including, among others, the Gramm-Leach-Bliley Act, the Fair Debt Collection Practices Act, the Real Estate Settlement Procedures Act (“RESPA”), the Truth in Lending Act (“TILA”), the Fair Credit Reporting Act, the Homeowners Protection Act and the SAFE Act. These requirements can and do change as statutes and regulations are enacted, promulgated or amended. One such recently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Included in the Dodd Frank Act, among other things, is the creation of the Consumer Financial Protection Bureau, a new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In some cases, penalties for noncompliance are significantly increased and could lead to settlements or consent orders on us or our customers that may curtail or restrict the business as it is currently conducted. The Mortgage Act generally requires that implementing regulations be issued before many of its provisions are effective. Therefore, many of these provisions in the Mortgage Act will not be effective until 2013 or early 2014.</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Our employees may be required to be licensed by various state commissions for the particular type of service delivered and to participate in regular continuing education programs. From time to time, we receive requests from state and other agencies for records, documents and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our policies, procedures and practices regarding our mortgage services and debt collection business activities. We are also subject to the requirements of the Foreign Corrupt Practices Act and comparable foreign laws, due to our activities in foreign jurisdictions. We incur ongoing costs to comply with governmental laws and regulations.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Securities and Exchange Commission (“SEC”). These filings are available to the public over the Internet at the SEC’s web 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1 800-SEC-0330 for further information on the public reference room.</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auto"/>
        </w:rPr>
        <w:t>www.altisource.com</w:t>
      </w:r>
      <w:r>
        <w:rPr>
          <w:rFonts w:ascii="Arial" w:cs="Arial" w:eastAsia="Arial" w:hAnsi="Arial"/>
          <w:sz w:val="18"/>
          <w:szCs w:val="18"/>
          <w:color w:val="auto"/>
        </w:rPr>
        <w:t xml:space="preserve"> and we encourage investors to use it as a way of easily finding information about us. We promptly make available on this website, free of charge, the reports that we file or furnish with the SEC, corporate governance information (including our Code of Business Conduct and Ethics) and select press releases. The contents of our website are available for informational purposes only and shall not be deemed incorporated by reference in this report.</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obtain and retain other customers that compete with Ocwen.</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2011, our chairman owns or controls more than 13% of Ocwen’s common stock and 23% of our common stock. We derived 58% of our revenues in 2011 from Ocwen or the loan servicing portfolio managed by Ocwen. Given this close and continuing relationship with Ocwen, we may encounter difficulties in obtaining and retaining other customers who compete with Ocwen. Should these and other potential customers continue to view Altisource as part of Ocwen or as too closely related to or dependent upon Ocwen, they may be unwilling to utilize our services, and our growth could be inhibited as a result.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certain key customer relationships, the loss of or their inability to pay could affect our business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generate approximately 58% of our revenue from Ocwen. Following the Separation, Ocwen is contractually obligated to purchase certain services from our Mortgage Services and Technology Services segments under service agreements that extend for eight years from the date of Separation subject to termination under certain provisions.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no other individual client represents more than 10% of our consolidated revenues, we are exposed to customer concentration. Most of our customers are not contractually obligated to continue to use our services at historical levels or at all. The loss of any of these key customers or their failure to pay us could reduce our revenues and adversely affect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have substantial resources and some have widely used technology platforms that they seek to use as a competitive advantage to drive sales of other products and services. In addition, we expect that the markets in which we compete will continue to attract new competitors and new technologies. These new technologies may render our existing technologies obsolete, resulting in operating inefficiencies and increased competitive pressure. There can be no assurance that we will be able to compete successfully against current or future competitors or that competitive pressures we face in the markets in which we operate will not materially adversely affect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intellectual property rights are valuable and any inability to protect them could reduce the value of our services.</w:t>
      </w:r>
    </w:p>
    <w:p>
      <w:pPr>
        <w:spacing w:after="0" w:line="14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Our patents, trademarks, trade secrets, copyrights and other intellectual property rights are important assets. The efforts we have taken to protect these proprietary rights may not be sufficient or effective.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Although we seek to obtain patent protection for our innovations, it is possible we may not be able to protect some of these innovations.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that an issued patent may be deemed invalid or unenforceable.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failures could damage our business operations and increase our costs.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System disruptions or failures may interrupt or delay our ability to provide services to our customers. Any sustained and repeated disruptions in these services may have an adverse impact on our results of operations.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secure transmission of confidential information over the Internet is essential to maintaining consumer confidence. Security breaches and acts of vandalism could result in a compromise or breach of the technology that we use to protect our customers’ personal information and transaction data and could result in the assessment of penalties. Furthermore, Congress or individual states could enact new laws regulating electronic commerce that could adversely affect us and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technology solutions have a long sale cycle and are subject to development and obsolescence risks.</w:t>
      </w:r>
    </w:p>
    <w:p>
      <w:pPr>
        <w:spacing w:after="0" w:line="14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Many of our services in the Technology Services segment are based on sophisticated software and computing systems with long sales cycles. We may encounter delays when developing new technology solutions and services.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 Any one or more of the foregoing occurrences could have a material adverse effect on our business, financial condition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Federal Trade Commission, the state agencies that license certain of our mortgage related services and collection services and the SEC. We also must comply with a number of federal, state and local consumer protection laws including, among others, the Gramm-Leach-Bliley Act, the Fair Debt Collection Practices Act, the Real Estate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Settlement Procedures Act, the Truth in Lending Act, the Fair Credit Reporting Act, the Homeowners Protection Act, the SAFE Act, the Mortgage Act and the Foreign Corrupt Practices Act. These requirements can and do change as statutes and regulations are enacted, promulgated or amended.</w:t>
      </w:r>
    </w:p>
    <w:p>
      <w:pPr>
        <w:spacing w:after="0" w:line="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recently enacted regulation is the Dodd-Frank Act (see further description in </w:t>
      </w:r>
      <w:r>
        <w:rPr>
          <w:rFonts w:ascii="Arial" w:cs="Arial" w:eastAsia="Arial" w:hAnsi="Arial"/>
          <w:sz w:val="16"/>
          <w:szCs w:val="16"/>
          <w:i w:val="1"/>
          <w:iCs w:val="1"/>
          <w:color w:val="auto"/>
        </w:rPr>
        <w:t>Item 1. Business, Government Regulation</w:t>
      </w:r>
      <w:r>
        <w:rPr>
          <w:rFonts w:ascii="Arial" w:cs="Arial" w:eastAsia="Arial" w:hAnsi="Arial"/>
          <w:sz w:val="16"/>
          <w:szCs w:val="16"/>
          <w:color w:val="auto"/>
        </w:rPr>
        <w:t xml:space="preserve"> section above). In some cases, penalties for noncompliance are significantly increased and could lead to settlements or consent orders on us or our customers that may curtail or restrict the business as it is currently conducted.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additional certain federal, state and local consumer protection provisions. We also are subject to licensing and regulation as a mortgage services provider, valuation provider, appraisal management company, asset manager, property manager, title insurance agency, real estate broker and/or debt collector in a number of states. We are subject to audits and examinations that are conducted by the states in which we do business. Our employees and subsidiaries may be required to be licensed by various state commissions for the particular type of service sold and to participate in regular continuing education programs. From time to time, we receive requests from state and other agencies for records, documents and information regarding our policies, procedures and practices for our mortgage services and debt collection business activities. We incur significant ongoing costs to comply with governmental regulations.</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our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privacy regulations imposed on providers of services to financial institutions, our business could be harmed.</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provider of services to financial institutions, we are bound by the same limitations on disclosure of the information we receive from their customers that apply to the financial institutions themselves. If we fail to comply with these regulations, we could be exposed to lawsuits or to governmental proceedings, our customer relationships and reputation could be harmed and we could be inhibited in our ability to obtain new customers. In addition, the adoption of more restrictive privacy laws or rules in the future on the federal or state level could have an adverse impact on us.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or damages or modify our products or processes.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may be subject to costly and time-consuming legal proceedings that claim legal violations or wrongful conduct. These lawsuits may involve clients, vendors, competitors and / or other large groups of plaintiffs and, if resulting in findings of violations, could result in substantial damages. Alternatively, we may be forced to settle some claims out of court and change existing company practices, services and processes that are currently revenue generating. This could lead to unexpected costs or a loss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financial institutions at which we hold escrow funds fail, it could have a material adverse impact on our company.</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hold customers’ assets in escrow at various financial institutions, pending completion of certain real estate and debt collection activities. These amounts are held in escrow for limited periods of time, generally consisting of a few days. To the extent these assets are not co-mingled with our fees and are maintained in segregated bank accounts they are generally not included in the accompanying Consolidated Balance Sheets. Failure of one or more of these financial institutions may lead us to become liable for the funds owed to third parties, and there is no guarantee that we would recover the funds deposited, whether through Federal Deposit Insurance Corporation coverage, private insurance or otherwise.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grow is affected by our ability to retain and expand our existing client relationships and our ability to attract new customers.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grow is affected by our ability to retain and expand our existing client relationships and our ability to attract new customers. Our ability to retain existing customers and expand those relationships is subject to a number of risks including the risk that we do not:</w:t>
      </w:r>
    </w:p>
    <w:p>
      <w:pPr>
        <w:spacing w:after="0" w:line="11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or improve the quality of services that we provide to our customers;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or improve the level of attention expected by our customers;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leverage our existing client relationships to sell additional services.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our efforts to retain and expand our client relationships and to attract new customers do not prove effective, it could have a material adverse effect on our business and results of operations and our ability to grow our operations.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If we do not adapt our services to changes in technology or in the marketplace, or if our ongoing efforts to upgrade our technology are not successful, we could lose customers and have difficulty attracting new customers for our services.</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markets for our services are characterized by constant technological change, frequent introduction of new services and evolving industry standards. Our future success will be significantly affected by our ability to enhance, primarily through use of automation, econometrics and behavioral science principles, our current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services that meet these changing demands.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 and our ability to grow our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dependent on the trend toward outsourcing.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continued growth at historical rates is dependent on the industry trend toward outsourced services. There can be no assurance that this trend will continue, as organizations may elect to perform such services themselves or may be prevented from outsourcing services. A significant change in this trend could have a materially adverse effect on our continued growth.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of growing through selective acquisitions and mergers involves potential risks.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consider acquisitions of other companies that could complement our business including the acquisition of entities offering greater access and expertise in other asset types and markets that are related but that we do not currently serve. If we do acquire other businesses, we may face a number of risks including diverting management’s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attention from our daily operations, to the need for additional management, operational and financial resources along with system conversions and the inability to maintain key pre-acquisition relationships with customers, suppliers and employees. Moreover, any acquisition may result in the incurrence of additional amortization expense of related intangible assets which could reduce our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reduced our costs by utilizing lower cost labor in foreign countries such as India. For example, at December 31, 2011, over 5,400 of our employees were based in India. These countries are subject to relatively higher degrees of political and social instability and may lack the infrastructure to withstand political unrest or natural disasters. Such disruptions can decrease efficiency and increase our costs in these countries. Weakness of the U.S. dollar in relation to the currencies used in these foreign countries may also reduce the savings achievable through this strategy. Furthermore, the practice of utilizing labor based in foreign countries has come under increased scrutiny in the United States and, as a result, some of our customers may require us to use labor based in the United States. We may not be able to pass on the increased costs of higher-priced United States-based labor to our customers which ultimately could have an adverse effect on our results of operations.</w:t>
      </w:r>
    </w:p>
    <w:p>
      <w:pPr>
        <w:spacing w:after="0" w:line="9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many foreign countries, particularly in those with developing economies, it is common to engage in business practices that are prohibited by laws and regulations applicable to us, such as the Foreign Corrupt Practices Act (“FCPA”). Any violations of the FCPA or local anti-corruption laws by us, our subsidiaries or our local agents, could have an adverse effect on our business and reputation and result in substantial financial penalties or other sanctions.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political or economic instability in these countries could result in our having to replace or reduce these labor sources which may increase our labor costs and have an adverse impact on our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enforce judgments against it or its directors and executive officers.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the United States. It may be difficult for investors to enforce, in the United States, judgments obtained in U.S. courts against Altisource or its directors based on the civil liability provisions of the U.S. securities laws or to enforce, in Luxembourg, judgments obtained in other jurisdictions including the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professionals conversant in certain technologies may exceed supply as new and additional skills are required to keep pace with evolving computer technology. Our ability to locate and train employees is critical to achieving our growth objective. Our inability to attract and retain skilled employees or an increase in wages or other costs of attracting, training or retaining skilled employees could have a materially adverse effect on our business, financial condition and results of operations.</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2011 and the segments primarily occupying each location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Corporate</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and Support</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Financial</w:t>
            </w: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Mortgage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Services</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Services</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Services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3"/>
              </w:rPr>
              <w:t>Services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Luxembourg, Luxembourg</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640" w:type="dxa"/>
            <w:vAlign w:val="bottom"/>
            <w:gridSpan w:val="4"/>
          </w:tcPr>
          <w:p>
            <w:pPr>
              <w:spacing w:after="0"/>
              <w:rPr>
                <w:sz w:val="20"/>
                <w:szCs w:val="20"/>
                <w:color w:val="auto"/>
              </w:rPr>
            </w:pPr>
            <w:r>
              <w:rPr>
                <w:rFonts w:ascii="Arial" w:cs="Arial" w:eastAsia="Arial" w:hAnsi="Arial"/>
                <w:sz w:val="18"/>
                <w:szCs w:val="18"/>
                <w:color w:val="auto"/>
              </w:rPr>
              <w:t>United States</w:t>
            </w: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Atlanta, GA</w:t>
            </w:r>
          </w:p>
        </w:tc>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2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Irvine, CA</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Sacramento, CA</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St. Louis, MO</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Tempe, AZ</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Vestal, NY</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India</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8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Bangalore</w:t>
            </w:r>
          </w:p>
        </w:tc>
        <w:tc>
          <w:tcPr>
            <w:tcW w:w="2300" w:type="dxa"/>
            <w:vAlign w:val="bottom"/>
            <w:tcBorders>
              <w:top w:val="single" w:sz="8" w:color="CCEEFF"/>
            </w:tcBorders>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80" w:type="dxa"/>
            <w:vAlign w:val="bottom"/>
            <w:tcBorders>
              <w:top w:val="single" w:sz="8" w:color="CCEEFF"/>
            </w:tcBorders>
            <w:gridSpan w:val="2"/>
          </w:tcPr>
          <w:p>
            <w:pPr>
              <w:jc w:val="center"/>
              <w:ind w:right="220"/>
              <w:spacing w:after="0"/>
              <w:rPr>
                <w:sz w:val="20"/>
                <w:szCs w:val="20"/>
                <w:color w:val="auto"/>
              </w:rPr>
            </w:pPr>
            <w:r>
              <w:rPr>
                <w:rFonts w:ascii="Arial" w:cs="Arial" w:eastAsia="Arial" w:hAnsi="Arial"/>
                <w:sz w:val="18"/>
                <w:szCs w:val="18"/>
                <w:color w:val="auto"/>
              </w:rPr>
              <w:t>X</w:t>
            </w:r>
          </w:p>
        </w:tc>
        <w:tc>
          <w:tcPr>
            <w:tcW w:w="2260" w:type="dxa"/>
            <w:vAlign w:val="bottom"/>
            <w:tcBorders>
              <w:top w:val="single" w:sz="8" w:color="CCEEFF"/>
            </w:tcBorders>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Goa</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2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color w:val="auto"/>
              </w:rPr>
              <w:t>Mumbai</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We consider these facilities to be suitable and adequate for the management and operations of our business.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from time to time,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 Our businesses are also subject to extensive regulation which may result in regulatory proceedings against us. See “Item 1A. Risk Factors” above.</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20" w:right="58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of “ASPS”. The following table sets forth the high and low close of day sales prices for our common stock, for the periods indicated, as reported by the NASDAQ Global Select Market: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4"/>
              </w:rPr>
              <w:t>Quarter Ended</w:t>
            </w:r>
          </w:p>
        </w:tc>
        <w:tc>
          <w:tcPr>
            <w:tcW w:w="8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36"/>
        </w:trPr>
        <w:tc>
          <w:tcPr>
            <w:tcW w:w="940" w:type="dxa"/>
            <w:vAlign w:val="bottom"/>
            <w:tcBorders>
              <w:bottom w:val="single" w:sz="8" w:color="auto"/>
            </w:tcBorders>
            <w:vMerge w:val="continue"/>
          </w:tcPr>
          <w:p>
            <w:pPr>
              <w:spacing w:after="0"/>
              <w:rPr>
                <w:sz w:val="11"/>
                <w:szCs w:val="11"/>
                <w:color w:val="auto"/>
              </w:rPr>
            </w:pPr>
          </w:p>
        </w:tc>
        <w:tc>
          <w:tcPr>
            <w:tcW w:w="8300" w:type="dxa"/>
            <w:vAlign w:val="bottom"/>
          </w:tcPr>
          <w:p>
            <w:pPr>
              <w:spacing w:after="0"/>
              <w:rPr>
                <w:sz w:val="11"/>
                <w:szCs w:val="11"/>
                <w:color w:val="auto"/>
              </w:rPr>
            </w:pPr>
          </w:p>
        </w:tc>
        <w:tc>
          <w:tcPr>
            <w:tcW w:w="740" w:type="dxa"/>
            <w:vAlign w:val="bottom"/>
            <w:tcBorders>
              <w:bottom w:val="single" w:sz="8" w:color="auto"/>
            </w:tcBorders>
          </w:tcPr>
          <w:p>
            <w:pPr>
              <w:ind w:left="340"/>
              <w:spacing w:after="0" w:line="129" w:lineRule="exact"/>
              <w:rPr>
                <w:sz w:val="20"/>
                <w:szCs w:val="20"/>
                <w:color w:val="auto"/>
              </w:rPr>
            </w:pPr>
            <w:r>
              <w:rPr>
                <w:rFonts w:ascii="Arial" w:cs="Arial" w:eastAsia="Arial" w:hAnsi="Arial"/>
                <w:sz w:val="14"/>
                <w:szCs w:val="14"/>
                <w:b w:val="1"/>
                <w:bCs w:val="1"/>
                <w:color w:val="auto"/>
              </w:rPr>
              <w:t>Low</w:t>
            </w: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31.79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28.51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21.13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number of holders of record of our common stock as of January 31, 2012 was 97. The number of beneficial stockholders is substantially greater than the number of holders as a large portion of our common stock is held through brokerage firms.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cash dividends on our common stock, and we do not intend to pay dividends in the foreseeable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The following table presents information related to our repurchases of our equity securities during the three months ended December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2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2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 as</w:t>
            </w:r>
          </w:p>
        </w:tc>
        <w:tc>
          <w:tcPr>
            <w:tcW w:w="2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part of</w:t>
            </w:r>
          </w:p>
        </w:tc>
        <w:tc>
          <w:tcPr>
            <w:tcW w:w="2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w:t>
            </w:r>
          </w:p>
        </w:tc>
        <w:tc>
          <w:tcPr>
            <w:tcW w:w="2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price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 the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79"/>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paid per</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plans</w:t>
            </w:r>
          </w:p>
        </w:tc>
        <w:tc>
          <w:tcPr>
            <w:tcW w:w="24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plans or</w:t>
            </w:r>
          </w:p>
        </w:tc>
        <w:tc>
          <w:tcPr>
            <w:tcW w:w="0" w:type="dxa"/>
            <w:vAlign w:val="bottom"/>
          </w:tcPr>
          <w:p>
            <w:pPr>
              <w:spacing w:after="0"/>
              <w:rPr>
                <w:sz w:val="1"/>
                <w:szCs w:val="1"/>
                <w:color w:val="auto"/>
              </w:rPr>
            </w:pPr>
          </w:p>
        </w:tc>
      </w:tr>
      <w:tr>
        <w:trPr>
          <w:trHeight w:val="169"/>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5"/>
              </w:rPr>
              <w:t>purchased</w:t>
            </w:r>
            <w:r>
              <w:rPr>
                <w:rFonts w:ascii="Arial" w:cs="Arial" w:eastAsia="Arial" w:hAnsi="Arial"/>
                <w:sz w:val="18"/>
                <w:szCs w:val="18"/>
                <w:b w:val="1"/>
                <w:bCs w:val="1"/>
                <w:color w:val="auto"/>
                <w:w w:val="95"/>
                <w:vertAlign w:val="superscript"/>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or programs</w:t>
            </w:r>
          </w:p>
        </w:tc>
        <w:tc>
          <w:tcPr>
            <w:tcW w:w="2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programs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October 1 – 31, 2011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128,923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35.56</w:t>
            </w:r>
          </w:p>
        </w:tc>
        <w:tc>
          <w:tcPr>
            <w:tcW w:w="880" w:type="dxa"/>
            <w:vAlign w:val="bottom"/>
          </w:tcPr>
          <w:p>
            <w:pPr>
              <w:jc w:val="right"/>
              <w:spacing w:after="0"/>
              <w:rPr>
                <w:sz w:val="20"/>
                <w:szCs w:val="20"/>
                <w:color w:val="auto"/>
              </w:rPr>
            </w:pPr>
            <w:r>
              <w:rPr>
                <w:rFonts w:ascii="Arial" w:cs="Arial" w:eastAsia="Arial" w:hAnsi="Arial"/>
                <w:sz w:val="18"/>
                <w:szCs w:val="18"/>
                <w:color w:val="auto"/>
              </w:rPr>
              <w:t>128,923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1,971,148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1 – 30, 2011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December 1 – 31, 2011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49.10</w:t>
            </w:r>
          </w:p>
        </w:tc>
        <w:tc>
          <w:tcPr>
            <w:tcW w:w="880" w:type="dxa"/>
            <w:vAlign w:val="bottom"/>
          </w:tcPr>
          <w:p>
            <w:pPr>
              <w:jc w:val="right"/>
              <w:spacing w:after="0"/>
              <w:rPr>
                <w:sz w:val="20"/>
                <w:szCs w:val="20"/>
                <w:color w:val="auto"/>
              </w:rPr>
            </w:pPr>
            <w:r>
              <w:rPr>
                <w:rFonts w:ascii="Arial" w:cs="Arial" w:eastAsia="Arial" w:hAnsi="Arial"/>
                <w:sz w:val="18"/>
                <w:szCs w:val="18"/>
                <w:color w:val="auto"/>
              </w:rPr>
              <w:t>170,000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599,269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The information contained in Altisource Common Stock Comparative Performance Graph section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incorporate it by reference into a document filed under the Securities Act of 1933, as amended, or the Securities Exchange Act of 1934, as amended.</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S&amp;P’s 500 Index for the period commencing on August 10, 2009, the first trading day of our common stock, and ending on December 30, 2011, the last trading day of fiscal year 2011. The graph assumes an investment of $100 at the beginning of such period. The comparisons in the graphs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173355</wp:posOffset>
            </wp:positionV>
            <wp:extent cx="4682490" cy="258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8249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8/10/2009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12/31/2009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9"/>
              </w:rPr>
              <w:t>06/30/10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9"/>
              </w:rPr>
              <w:t>12/31/10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06/30/11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12/31/11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Altisource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S&amp;P 500</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124.38</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131.13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selected financial data as of and for the years ended December 31, 2011, 2010 and 2009 has been derived from our audited Consolidated Financial Statements. The following selected financial data as of and for the years ended December 31, 2008 and 2007 has been derived from our audited Combined Consolidated Financial Statements.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historical results presented below may not be indicative of our future performance and do not necessarily reflect what our financial position and results of operations would have been had we operated as a separate, stand-alone entity for periods ending prior to August 9, 2009 (as discussed in Note 1 to the consolidated financial statements).</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our consolidated financial statements and notes thereto in Item 8 of Part II,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8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53"/>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423,687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301,378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275,849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189,059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115,048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112,319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57,352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54,967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55,771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(7,943)</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56,174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(6,855)</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(6,903)</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1"/>
                <w:szCs w:val="11"/>
                <w:color w:val="auto"/>
              </w:rPr>
              <w:t>(1)</w:t>
            </w: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8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245,262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154,988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94,897</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64,251</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3"/>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30,456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30,497</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9,077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33,719</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36,391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11,540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224,159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197,800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120,556</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76,675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Lines of Credit and Other Secured Borrowings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34,208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16,129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all periods prior to the Separation, the number of shares originally issued of 24.1 million is being used for diluted earnings per share (“EPS”) and for basic EPS as no common stock of Altisource was traded prior to August 10, 2009 and no Altisource equity awards were outstanding prior to that 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results of operations (“MD&amp;A”) is a supplement to the accompanying consolidated financial statements and provides additional information on our businesses, current developments, financial condition, cash flows and results of operations. Significant sections of the MD&amp;A are as follows:</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beginning on page 22, provides a description of recent developments we believe are important in understanding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financial condition or in understanding anticipated future trends. In addition, a brief description is provided of significant transactions and events that affect the comparability of results being analyzed.</w:t>
      </w:r>
    </w:p>
    <w:p>
      <w:pPr>
        <w:spacing w:after="0" w:line="113"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24, provides an analysis of our consolidated results of operations for the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2011.</w:t>
      </w:r>
    </w:p>
    <w:p>
      <w:pPr>
        <w:spacing w:after="0" w:line="105"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29, provides an analysis of each business segment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as well as our Corporate segment. In addition, we discuss significant transactions, events and trends that may affect the comparability of the results being analyzed.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This section, beginning on page 41, provides an analysis of our cash flows for the three years ended December 31, 2011.</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discuss restrictions on cash movements, future commitments and capital resources.</w:t>
      </w:r>
    </w:p>
    <w:p>
      <w:pPr>
        <w:spacing w:after="0" w:line="138"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Critical Accounting Judgments. </w:t>
      </w:r>
      <w:r>
        <w:rPr>
          <w:rFonts w:ascii="Arial" w:cs="Arial" w:eastAsia="Arial" w:hAnsi="Arial"/>
          <w:sz w:val="18"/>
          <w:szCs w:val="18"/>
          <w:color w:val="auto"/>
        </w:rPr>
        <w:t>This section, beginning on page 42, identifies those accounting principles we believe are most important to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and that require significant judgment and estimates on the part of management in application. We provide all of our significant accounting policies in Note 2 to the accompanying consolidated financial statements.</w:t>
      </w:r>
    </w:p>
    <w:p>
      <w:pPr>
        <w:spacing w:after="0" w:line="113"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This section, beginning on page 43, provides a discussion of off-balance sheet arrangements to the extent they exist. In addition,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 tabular discussion of contractual obligations and discuss any significant commitments or contingencies.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“seek”, “believe” and similar expressions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1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a provider of services focused on high value, technology-enabled, knowledge-based functions principally related to real estate and mortgage portfolio management, asset recovery and customer relationship management.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three reportable segments:</w:t>
      </w:r>
    </w:p>
    <w:p>
      <w:pPr>
        <w:spacing w:after="0" w:line="158" w:lineRule="exact"/>
        <w:rPr>
          <w:sz w:val="20"/>
          <w:szCs w:val="20"/>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consists of mortgage portfolio management services that span the mortgage lifecycle from origination through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sale;</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Financial Services </w:t>
      </w:r>
      <w:r>
        <w:rPr>
          <w:rFonts w:ascii="Arial" w:cs="Arial" w:eastAsia="Arial" w:hAnsi="Arial"/>
          <w:sz w:val="18"/>
          <w:szCs w:val="18"/>
          <w:color w:val="auto"/>
        </w:rPr>
        <w:t>principally consists of unsecured asset recovery and customer relationship management; and</w:t>
      </w:r>
    </w:p>
    <w:p>
      <w:pPr>
        <w:spacing w:after="0" w:line="157"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consists of modular, comprehensive integrated technological solutions for loan servicing, vendor management and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presentment and payment as well as providing infrastructure support.</w:t>
      </w:r>
    </w:p>
    <w:p>
      <w:pPr>
        <w:spacing w:after="0" w:line="10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and also includes costs recognized by us related to corporate support functions such as executive, finance, legal, human resources, vendor management and six sigma.</w:t>
      </w:r>
    </w:p>
    <w:p>
      <w:pPr>
        <w:spacing w:after="0" w:line="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evaluating our performance, we utilize Service Revenue which consists of amounts attributable to our fee based services. Reimbursable Expenses and Cooperative Non-controlling Interests are pass-through items for which we earn no margin. Reimbursable Expenses consists of amounts that we incur on behalf of our customers in performing our fee based services, but we pass such costs directly on to our customers without any additional markup.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Further discussion regarding our business may be found under Part I, 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Update</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2011, we focused our efforts on strategically supporting Ocwen as its portfolio of loans serviced continued to grow at an accelerated pace. To support such growth, we invested significantly in hiring and training new personnel (increasing our global staffing by 66%), developed and expanded some of the newer services (primarily insurance related services) and continued to add to the geographic footprint for existing services where it made economic sense.</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Ocwen’s growth and our focused efforts to capture more revenue per loan serviced by Ocwen, we recognized $334.8 million of Service Revenue, a 36% increase over the year-ended December 31, 2010. In addition, although we made significant investments in personnel and related costs months in advance of loans boarding, we achieved gross margins based on Service Revenue of 44%, comparable to 2010 levels, and improved income from operations as a percent of Service Revenue to 26%, up from 22% in 2010.</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From a cash perspective, we generated $111.6 million in operating cash flow which represents $0.33 for every dollar of Service Revenue. We sought to strategically deploy cash principally in three ways. First, we returned $61.1 million to shareholders through the repurchase of 1.6 million shares under the stock repurchase program. Second, we invested $16.4 million in technology and facilities to support our rapid growth. Third, we continued to invest in mortgage origination services with our $15.0 million investment in Correspondent One and our acquisition of Springhouse.</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Looking ahead to 2012, we expect to remain focused on a few key initiatives that we believe will allow us to continue to deliver superior results for our customers and shareholders:</w:t>
      </w:r>
    </w:p>
    <w:p>
      <w:pPr>
        <w:spacing w:after="0" w:line="105"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i w:val="1"/>
          <w:iCs w:val="1"/>
          <w:color w:val="auto"/>
        </w:rPr>
        <w:t xml:space="preserve">Support Ocwen’s growth. </w:t>
      </w:r>
      <w:r>
        <w:rPr>
          <w:rFonts w:ascii="Arial" w:cs="Arial" w:eastAsia="Arial" w:hAnsi="Arial"/>
          <w:sz w:val="16"/>
          <w:szCs w:val="16"/>
          <w:color w:val="auto"/>
        </w:rPr>
        <w:t>Our primary focus for next year will be the continued support of Ocwen. Ocwen’s growth in loans serviced, including loans</w:t>
      </w:r>
      <w:r>
        <w:rPr>
          <w:rFonts w:ascii="Arial" w:cs="Arial" w:eastAsia="Arial" w:hAnsi="Arial"/>
          <w:sz w:val="16"/>
          <w:szCs w:val="16"/>
          <w:i w:val="1"/>
          <w:iCs w:val="1"/>
          <w:color w:val="auto"/>
        </w:rPr>
        <w:t xml:space="preserve"> </w:t>
      </w:r>
      <w:r>
        <w:rPr>
          <w:rFonts w:ascii="Arial" w:cs="Arial" w:eastAsia="Arial" w:hAnsi="Arial"/>
          <w:sz w:val="16"/>
          <w:szCs w:val="16"/>
          <w:color w:val="auto"/>
        </w:rPr>
        <w:t>boarded in the second half of 2011 and the additional 0.2 million loans we expect Ocwen to board in early 2012, will be the principal driver of our expected growth in 2012. Furthermore, we believe Ocwen will remain a leader in the on-going consolidation of high touch residential loan servicers.</w:t>
      </w:r>
    </w:p>
    <w:p>
      <w:pPr>
        <w:spacing w:after="0" w:line="8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Improve operating effectiveness. </w:t>
      </w:r>
      <w:r>
        <w:rPr>
          <w:rFonts w:ascii="Arial" w:cs="Arial" w:eastAsia="Arial" w:hAnsi="Arial"/>
          <w:sz w:val="18"/>
          <w:szCs w:val="18"/>
          <w:color w:val="auto"/>
        </w:rPr>
        <w:t>We must deliver high quality, regulatory compliant services that meet or exceed customers’ performance expectations.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This requires us to intelligently and persistently invest in an array of broad based competencies including technology, quality assurance, compliance, econometrics and behavioral science among others.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i w:val="1"/>
          <w:iCs w:val="1"/>
          <w:color w:val="auto"/>
        </w:rPr>
        <w:t xml:space="preserve">Service Offerings. </w:t>
      </w:r>
      <w:r>
        <w:rPr>
          <w:rFonts w:ascii="Arial" w:cs="Arial" w:eastAsia="Arial" w:hAnsi="Arial"/>
          <w:sz w:val="18"/>
          <w:szCs w:val="18"/>
          <w:color w:val="auto"/>
        </w:rPr>
        <w:t>We intend to capture additional revenue per loan from the loans boarded on our systems as well as develop a more balanced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that we believe will enable us to generate long-term consistent revenue and earnings growth, with faster growth in 2012. In 2012, we will expand our offering of mortgage origination services, principally to the members of Lenders One, as well as begin implementation of our next generation of REALSuite technologies.</w:t>
      </w:r>
    </w:p>
    <w:p>
      <w:pPr>
        <w:spacing w:after="0" w:line="11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i w:val="1"/>
          <w:iCs w:val="1"/>
          <w:color w:val="auto"/>
        </w:rPr>
        <w:t xml:space="preserve">Bring Financial Services to Profitability. </w:t>
      </w:r>
      <w:r>
        <w:rPr>
          <w:rFonts w:ascii="Arial" w:cs="Arial" w:eastAsia="Arial" w:hAnsi="Arial"/>
          <w:sz w:val="16"/>
          <w:szCs w:val="16"/>
          <w:color w:val="auto"/>
        </w:rPr>
        <w:t>Our Financial Services segment improved in 2011 posting $4.4 million in pre-tax income, which compares to $0.3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2010, although revenue declined 8% to $71.2 million. We remain committed to this segment as we believe that significant market opportunities exist in assisting clients in the areas of customer relationship and asset recovery management services. We continue to believe that investments in areas such as optimal resolution models deployed through dynamic scripts will enable us to take advantage of these opportunities over an extended time period.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 For periods prior to the Separation, our results include revenues and expenses directly attributable to our operations and allocations of expense from Ocwen which may not necessarily reflect what our consolidated results of operations, financial position and cash flows would have been had we operated as an independent company during that entire period.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2010, our shareholders authorized us to purchase 15% of our outstanding share capital, or 3.8 million shares of common stock, in the open market. From authorization through December 31, 2011, we have purchased 2.3 million shares of common stock on the open market at an average price of $34.55 per share leaving 1.5 million shares available for purchase under the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April 2011, we acquired Springhouse, an appraisal management company that utilizes a nationwide panel of appraisers to provide real estate appraisals principally to mortgage originators, including the members of Lenders One, and real estate asset managers. In July 2011, we acquired the assembled workforce of a sub-contractor in India that performs asset recovery services. See Note 4 to the consolidated financial statements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58" w:lineRule="exact"/>
        <w:rPr>
          <w:sz w:val="20"/>
          <w:szCs w:val="20"/>
          <w:color w:val="auto"/>
        </w:rPr>
      </w:pPr>
    </w:p>
    <w:p>
      <w:pPr>
        <w:jc w:val="both"/>
        <w:ind w:left="1480" w:hanging="446"/>
        <w:spacing w:after="0" w:line="256"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January 2011, we modified our pricing for IT Infrastructure Services within our Technology Services segment from a rate card model primarily based on headcount to a fully loaded cost plus mark-up methodology. This new model applies to the infrastructure amounts charged to Ocwen as well as internal allocations of infrastructure cost. The impact of this change is discussed further in the Technology Services segment;</w:t>
      </w:r>
    </w:p>
    <w:p>
      <w:pPr>
        <w:spacing w:after="0" w:line="129"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further align the interests of management with shareholders, we expanded our use of equity compensation. For the years ended December 31, 2011, 2010 and 2009, we have recognized equity compensation expense of $4.0 million, $3.1 million and $0.3 million, respectively. Contributing to the increase was the attainment of certain market performance criteria in 2011 and 2010 which triggered vesting of a portion of the awards and acceleration in the expense recognition of these grants;</w:t>
      </w:r>
    </w:p>
    <w:p>
      <w:pPr>
        <w:spacing w:after="0" w:line="129"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fourth quarter of 2010, we recognized $2.8 million of goodwill impairment related to the Financial Services segment;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June 2010, we received a favorable tax ruling regarding the treatment of certain intangibles that exist for purposes of determining our taxable income. The ruling was retroactive to the date of Separation. As a result of the ruling, we recognized a $3.4 million credit attributable to 2009 in the second quarter 2010;</w:t>
      </w:r>
    </w:p>
    <w:p>
      <w:pPr>
        <w:spacing w:after="0" w:line="126"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2010, we acquired all of the outstanding membership interest of MPA which was formed for the purpose of managing the Lenders One Mortgage Cooperative. The results of operations of Lenders One have been consolidated since the acquisition date under Financial Accounting Standards Board (“FASB”) Accounting Standard Codification (“ASC”) Topic 810;</w:t>
      </w:r>
    </w:p>
    <w:p>
      <w:pPr>
        <w:spacing w:after="0" w:line="126"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year ended December 31, 2009, we recognized $3.4 million of one-time costs in our Corporate segment in anticipation of the Separation from Ocwen; and</w:t>
      </w:r>
    </w:p>
    <w:p>
      <w:pPr>
        <w:spacing w:after="0" w:line="118"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year ended December 31, 2009, we recognized $1.9 million of facility closure costs, $1.4 million of litigation settlement losses (both recognized in Selling, General and Administrative Expenses) and a $2.3 million litigation settlement gain in Other Income in our Financial Services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is a discussion of our consolidated results of operations for each of the years in the three year period ended December 31, 2011. For a more detailed discussion of the factors that affected the results of our business segments in these periods, see “SEGMENT RESULTS OF OPERATIONS” below. Cooperative Non-controlling Interests is attributable to the members of Lenders 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years ended December 31, 2011, 2010 and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3"/>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3"/>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3"/>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334,758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247,026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82,074</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47,449</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423,687</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301,378</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202,812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275,849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189,059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126,797</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147,838</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112,319</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85,707</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54,967</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85,910</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55,771</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77,967</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56,174</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3"/>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71,112</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49,271</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Operations/Service Revenue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91"/>
        </w:trPr>
        <w:tc>
          <w:tcPr>
            <w:tcW w:w="5660" w:type="dxa"/>
            <w:vAlign w:val="bottom"/>
            <w:gridSpan w:val="3"/>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gridSpan w:val="2"/>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1100" w:type="dxa"/>
            <w:vAlign w:val="bottom"/>
            <w:gridSpan w:val="2"/>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245,262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154,988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Interest Expenses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for the years ended December 31, 2011, 2010 and 2009: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left="656"/>
              <w:spacing w:after="0"/>
              <w:rPr>
                <w:sz w:val="20"/>
                <w:szCs w:val="20"/>
                <w:color w:val="auto"/>
              </w:rPr>
            </w:pPr>
            <w:r>
              <w:rPr>
                <w:rFonts w:ascii="Arial" w:cs="Arial" w:eastAsia="Arial" w:hAnsi="Arial"/>
                <w:sz w:val="14"/>
                <w:szCs w:val="14"/>
                <w:b w:val="1"/>
                <w:bCs w:val="1"/>
                <w:color w:val="auto"/>
                <w:w w:val="86"/>
              </w:rPr>
              <w:t>Years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 Better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 Better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9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3"/>
                <w:szCs w:val="13"/>
                <w:color w:val="auto"/>
              </w:rPr>
            </w:pP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/(Worse)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2"/>
              </w:rPr>
              <w:t>/(Worse)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Mortgage Services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224,942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135,680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69,231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Technology Services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56,094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52,013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Eliminations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334,758</w:t>
            </w: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247,026</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186,735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Mortgage Services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80,124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44,550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8"/>
                <w:szCs w:val="18"/>
                <w:color w:val="auto"/>
              </w:rPr>
              <w:t>Total Reimbursable Expenses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82,074</w:t>
            </w: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47,449</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Mortgage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6,855</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6,903</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301,378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202,812</w:t>
            </w:r>
          </w:p>
        </w:tc>
        <w:tc>
          <w:tcPr>
            <w:tcW w:w="0" w:type="dxa"/>
            <w:vAlign w:val="bottom"/>
          </w:tcPr>
          <w:p>
            <w:pPr>
              <w:spacing w:after="0"/>
              <w:rPr>
                <w:sz w:val="1"/>
                <w:szCs w:val="1"/>
                <w:color w:val="auto"/>
              </w:rPr>
            </w:pPr>
          </w:p>
        </w:tc>
      </w:tr>
      <w:tr>
        <w:trPr>
          <w:trHeight w:val="20"/>
        </w:trPr>
        <w:tc>
          <w:tcPr>
            <w:tcW w:w="592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920" w:type="dxa"/>
            <w:vAlign w:val="bottom"/>
            <w:gridSpan w:val="3"/>
          </w:tcPr>
          <w:p>
            <w:pPr>
              <w:spacing w:after="0"/>
              <w:rPr>
                <w:sz w:val="20"/>
                <w:szCs w:val="20"/>
                <w:color w:val="auto"/>
              </w:rPr>
            </w:pPr>
            <w:r>
              <w:rPr>
                <w:rFonts w:ascii="Arial" w:cs="Arial" w:eastAsia="Arial" w:hAnsi="Arial"/>
                <w:sz w:val="18"/>
                <w:szCs w:val="18"/>
                <w:color w:val="auto"/>
              </w:rPr>
              <w:t>Average Loans Serviced by Ocwen</w:t>
            </w:r>
          </w:p>
        </w:tc>
        <w:tc>
          <w:tcPr>
            <w:tcW w:w="2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524,668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401,706</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351,595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Mortgage Services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223,184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135,655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Technology Services</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21,812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19,167</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Service Revenue is directly attributable to the growth in Ocwen’s residential loan portfolio serviced and our development of mortgage and real estate portfolio management services during the years presented. The growth in Ocwen’s residential loan portfolio serviced benefits both the Mortgage Services and Technology Services segments. In 2011, we principally invested in insurance services (e.g., title) and mortgage origination services. Partially offsetting our Service Revenue growth in Mortgage Services and Technology Services was a decline in the Financial Services segment. The decline in Financial Services is attributable to overall economic conditions, the movement of some collection work to India at lower fees and collector performance particularly in 2009 and 2010 resulting in decreased total placements.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Reimbursable Expenses over the three year period is due to the expansion of our asset management and default services businesses over the same period.</w:t>
      </w:r>
    </w:p>
    <w:p>
      <w:pPr>
        <w:spacing w:after="0" w:line="1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as borrowers may utilize tax refunds to pay debts and generally declines throughout the year. Mortgage Services revenue is impacted by sales of residential homes which tend to be at their lowest level during fall and winter months and highest during spring and summer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years ended December 31, 2011, 2010 and 2009: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82,548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86,201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60,583</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82,074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18,772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12,548</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vMerge w:val="restart"/>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275,849</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189,059</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Cost of Revenue is directly attributable to our investments in personnel and technology principally to support the increase in Ocwen’s residential loan servicing portfolio, the development of new mortgage and real estate portfolio management services and growth in third party vendor costs.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percent of Service Revenue, Compensation and Benefits declined for each period presented as a result of investments in training, technology and process improvement and, in 2011, the weakening of the Indian Rupee. Two factors mitigate initiatives meant to improve employee productivity. First, in anticipation of Ocwen’s boarding of significant loan servicing portfolios (as occurred in September 2010, September 2011 and expected in the first half of 2012), we have had to hire personnel three to six months in advance in order to adequately train such persons in the delivery of our services. Second, as we develop new services, we invest heavily in personnel to ensure high quality delivery of services until such time as we deploy technology and process improvement to improve productivity at reduced costs.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Fees and Services consists principally of vendor costs that are not passed through at cost as Reimbursable Expenses. These principally include certain valuation and pre-foreclosure asset management services. The increase of these costs as a percent of Service Revenue in 2011 is principally due to the timing and magnitude of loans boarded by Ocwen during the year and the mix of mortgage services provided. We intend to reduce Outside Fees and Services as a percent of Service Revenue over time through deployment of our next generation vendor and process management technologies, beginning in the second half of 2012 and continuing through 2013.</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gross margins can vary significantly from period to period. The most significant factors contributing to variability include seasonality, mix of services delivered, timing of investments in new services and hiring of staff in advance of new business and the timing of when loans are boarded by our customers.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years ended December 31, 2011, 2010 and 2009: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6,658</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5,291</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Selling, General &amp; Administrative Expenses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62,131</w:t>
            </w:r>
          </w:p>
        </w:tc>
        <w:tc>
          <w:tcPr>
            <w:tcW w:w="1380" w:type="dxa"/>
            <w:vAlign w:val="bottom"/>
            <w:gridSpan w:val="3"/>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57,352</w:t>
            </w:r>
          </w:p>
        </w:tc>
        <w:tc>
          <w:tcPr>
            <w:tcW w:w="1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Percentage:</w:t>
            </w:r>
          </w:p>
        </w:tc>
        <w:tc>
          <w:tcPr>
            <w:tcW w:w="2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Income from Operations/Service Revenue</w:t>
            </w:r>
          </w:p>
        </w:tc>
        <w:tc>
          <w:tcPr>
            <w:tcW w:w="2820" w:type="dxa"/>
            <w:vAlign w:val="bottom"/>
          </w:tcPr>
          <w:p>
            <w:pPr>
              <w:jc w:val="right"/>
              <w:ind w:right="912"/>
              <w:spacing w:after="0"/>
              <w:rPr>
                <w:sz w:val="20"/>
                <w:szCs w:val="20"/>
                <w:color w:val="auto"/>
              </w:rPr>
            </w:pPr>
            <w:r>
              <w:rPr>
                <w:rFonts w:ascii="Arial" w:cs="Arial" w:eastAsia="Arial" w:hAnsi="Arial"/>
                <w:sz w:val="18"/>
                <w:szCs w:val="18"/>
                <w:color w:val="auto"/>
              </w:rPr>
              <w:t>26%</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22%</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1270</wp:posOffset>
            </wp:positionV>
            <wp:extent cx="591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18415</wp:posOffset>
            </wp:positionV>
            <wp:extent cx="591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1270</wp:posOffset>
            </wp:positionV>
            <wp:extent cx="591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18415</wp:posOffset>
            </wp:positionV>
            <wp:extent cx="591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1270</wp:posOffset>
            </wp:positionV>
            <wp:extent cx="591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18415</wp:posOffset>
            </wp:positionV>
            <wp:extent cx="591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on a consolidated basis began to stabilize in 2011. The significant increase over the periods presented is principally attributable to increased costs associated with being a newly formed public company and increased Occupancy Related Costs to support the growth in operations as previously described.</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Compensation and Benefits increased over the periods presented as we developed separate support functions including accounting, law and human resources. In addition, contributing to the increase in 2011 and 2010 was increased equity compensation for senior executives.</w:t>
      </w:r>
    </w:p>
    <w:p>
      <w:pPr>
        <w:spacing w:after="0" w:line="1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Professional Services expense decreased in the most recent period principally due to a focus on reduced legal costs through increased compliance, particularly within our Financial Services segment. The 2009 period includes one-time expenses associated with the Separation ($3.4 million) and litigation costs ($1.4 million).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costs principally include travel related expenditures, bank charges and reserves for doubtful accounts. In 2009, this category also includes one-time facility closure costs of $1.9 million in the Financial Services segment (see Note 11 to the consolidated financial statements).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from Operations as a percent of Service Revenue increased 330 basis points compared to 2010 principally as a result of our ability to leverage support costs as our revenue grew significantly.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(Provision)/Benefit</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income tax provision / (benefit) was $7.9 million, $(0.4) million and $11.6 million in 2011, 2010 and 2009, respectively. Adjusting for the impact of net income attributable to Non-controlling Interests, our effective tax rate was 10.0%, (0.8) % and 30.9% for 2011, 2010 and 2009, respectively.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income tax provision computed by applying the Luxembourg statutory tax rate of 28.8% differs from our effective tax rate in all three periods because of the varying tax rates in multiple taxing jurisdictions, the calculation of taxable net income in certain jurisdictions and the impact of tax credit carryforwards. In June 2010, we received a favorable tax ruling regarding the treatment of certain intangibles that exist for purposes of determining our taxable income. The ruling was retroactive to the date of Separation. As a result of the ruling, we recognized a $3.4 million credit attributable to 2009 in the second quarter 2010.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There are no pending accounting pronouncements that are expected to have a material impact upon adoption.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years ended December 31, 2011, 2010 and 2009. Transactions between segments are accounted for as third-party arrangements for purposes of presenting Segment Results of Operations. Intercompany transactions primarily consist of information technology infrastructure services and charges for the use of certain REALSuite applications from our Technology Services segment to our other two segments and Corporate.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6"/>
              </w:rPr>
              <w:t>For the Year Ended December 31, 2011</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6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w w:val="97"/>
              </w:rPr>
              <w:t>Services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3"/>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51,096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36,874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(14,156)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15,634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26,352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(27,705)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6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7"/>
              </w:rPr>
              <w:t>For the Year Ended December 31, 2010</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6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7"/>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187,133</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56,575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28,909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(14,116)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20,739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17,910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(19,179)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56,505</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6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135,655</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88"/>
              </w:rPr>
              <w:t>Mortgage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6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87,801</w:t>
            </w:r>
          </w:p>
        </w:tc>
        <w:tc>
          <w:tcPr>
            <w:tcW w:w="38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79,731</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(11,286)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6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vMerge w:val="restart"/>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1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2,712</w:t>
            </w:r>
          </w:p>
        </w:tc>
        <w:tc>
          <w:tcPr>
            <w:tcW w:w="3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Mortgage Services segment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224,942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135,680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80,124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44,550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311,921</w:t>
            </w: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187,133</w:t>
            </w: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87,801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202,035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117,691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109,886</w:t>
            </w: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69,442</w:t>
            </w: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94,608</w:t>
            </w:r>
          </w:p>
        </w:tc>
        <w:tc>
          <w:tcPr>
            <w:tcW w:w="112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55,724</w:t>
            </w: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Margins: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Gross Profit/Service Revenue</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91"/>
        </w:trPr>
        <w:tc>
          <w:tcPr>
            <w:tcW w:w="5620" w:type="dxa"/>
            <w:vAlign w:val="bottom"/>
            <w:gridSpan w:val="3"/>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223,184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135,655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vMerge w:val="restart"/>
          </w:tcPr>
          <w:p>
            <w:pPr>
              <w:ind w:left="56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Mortgage Services segment is the primary driver of growth for the periods presented. The growth in Mortgage Services is directly attributable to the growth in Ocwen’s residential loan servicing portfolio and our development of mortgage and real estate portfolio management services that have allowed us to capture more Service Revenue per loan.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we reorganized our reporting structure within this segment in that certain services originally part of Component Services and Other are now classified as part of Customer Relationship Management in our Financial Services segment. Following this change, Component Service and Other was renamed Origination Management Services. Prior periods have been recast to conform to the current year presentation.</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initiative for 2011 was the formation of Correspondent One which provides members of Lenders One additional avenues to sell loans beyond Lenders One’s preferred investor arrangements and the members’ own network of loan buyers. We anticipate this will result in improved capital markets execution for the members and facilitate the sale of our services to the members. Through July 2011, we fulfilled our funding obligations to Correspondent One and account for such investment under the equity method within this segment. In 2011, we recognized a net loss of $0.5 million attributable to Correspondent One. We expect Correspondent One to incur losses until the second half of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87"/>
              </w:rPr>
              <w:t>Years Ended December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8"/>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8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3"/>
              <w:spacing w:after="0" w:line="148"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1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3"/>
              <w:spacing w:after="0" w:line="148"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96"/>
              </w:rPr>
              <w:t>/(Worse)</w:t>
            </w:r>
          </w:p>
        </w:tc>
        <w:tc>
          <w:tcPr>
            <w:tcW w:w="200" w:type="dxa"/>
            <w:vAlign w:val="bottom"/>
          </w:tcPr>
          <w:p>
            <w:pPr>
              <w:spacing w:after="0"/>
              <w:rPr>
                <w:sz w:val="13"/>
                <w:szCs w:val="13"/>
                <w:color w:val="auto"/>
              </w:rPr>
            </w:pPr>
          </w:p>
        </w:tc>
        <w:tc>
          <w:tcPr>
            <w:tcW w:w="720" w:type="dxa"/>
            <w:vAlign w:val="bottom"/>
          </w:tcPr>
          <w:p>
            <w:pPr>
              <w:jc w:val="right"/>
              <w:ind w:right="233"/>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Asset Management Services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64,975</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75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37,079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Origination Management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Residential Property Valuation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51,785</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Closing and Insurance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56,496</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Default Management Services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32,975</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224,942</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820" w:type="dxa"/>
            <w:vAlign w:val="bottom"/>
            <w:gridSpan w:val="3"/>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76,511</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Default Management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Closing and Insurance Services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Reimbursable Expenses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80,124</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311,921</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Asset Management Services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136,685</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Property Valuation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48,734</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rPr>
              <w:t>Closing and Insurance Services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26,733</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Default Management Services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223,184</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w:t>
      </w:r>
    </w:p>
    <w:p>
      <w:pPr>
        <w:spacing w:after="0" w:line="105" w:lineRule="exact"/>
        <w:rPr>
          <w:sz w:val="20"/>
          <w:szCs w:val="20"/>
          <w:color w:val="auto"/>
        </w:rPr>
      </w:pPr>
    </w:p>
    <w:p>
      <w:pPr>
        <w:jc w:val="both"/>
        <w:ind w:left="460" w:right="20"/>
        <w:spacing w:after="0" w:line="335" w:lineRule="auto"/>
        <w:rPr>
          <w:sz w:val="20"/>
          <w:szCs w:val="20"/>
          <w:color w:val="auto"/>
        </w:rPr>
      </w:pPr>
      <w:r>
        <w:rPr>
          <w:rFonts w:ascii="Arial" w:cs="Arial" w:eastAsia="Arial" w:hAnsi="Arial"/>
          <w:sz w:val="15"/>
          <w:szCs w:val="15"/>
          <w:i w:val="1"/>
          <w:iCs w:val="1"/>
          <w:color w:val="auto"/>
        </w:rPr>
        <w:t xml:space="preserve">Asset Management Services. </w:t>
      </w:r>
      <w:r>
        <w:rPr>
          <w:rFonts w:ascii="Arial" w:cs="Arial" w:eastAsia="Arial" w:hAnsi="Arial"/>
          <w:sz w:val="15"/>
          <w:szCs w:val="15"/>
          <w:color w:val="auto"/>
        </w:rPr>
        <w:t>Asset management services principally include property preservation, property inspection, REO asset management and REO</w:t>
      </w:r>
      <w:r>
        <w:rPr>
          <w:rFonts w:ascii="Arial" w:cs="Arial" w:eastAsia="Arial" w:hAnsi="Arial"/>
          <w:sz w:val="15"/>
          <w:szCs w:val="15"/>
          <w:i w:val="1"/>
          <w:iCs w:val="1"/>
          <w:color w:val="auto"/>
        </w:rPr>
        <w:t xml:space="preserve"> </w:t>
      </w:r>
      <w:r>
        <w:rPr>
          <w:rFonts w:ascii="Arial" w:cs="Arial" w:eastAsia="Arial" w:hAnsi="Arial"/>
          <w:sz w:val="15"/>
          <w:szCs w:val="15"/>
          <w:color w:val="auto"/>
        </w:rPr>
        <w:t>brokerage. Asset Management Services has been the largest contributor to Service Revenue growth over the three year period which reflects an increase in the number of REO sold, the number of REO for which we provide property preservation services and an increase in pre-foreclosure inspection services.</w:t>
      </w:r>
    </w:p>
    <w:p>
      <w:pPr>
        <w:spacing w:after="0" w:line="6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Origination Management Services</w:t>
      </w:r>
      <w:r>
        <w:rPr>
          <w:rFonts w:ascii="Arial" w:cs="Arial" w:eastAsia="Arial" w:hAnsi="Arial"/>
          <w:sz w:val="18"/>
          <w:szCs w:val="18"/>
          <w:color w:val="auto"/>
        </w:rPr>
        <w:t>. Origination Management Services includes MPA and our developing fulfillment business. The increase over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 is principally due to the inclusion of MPA’s results from the date of acquisition in February 2010. For the year ended December 31, 2011, MPA experienced a net increase of 35 members and had 214 members as of December 31, 2011.</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Residential Property Valuation Services. </w:t>
      </w:r>
      <w:r>
        <w:rPr>
          <w:rFonts w:ascii="Arial" w:cs="Arial" w:eastAsia="Arial" w:hAnsi="Arial"/>
          <w:sz w:val="18"/>
          <w:szCs w:val="18"/>
          <w:color w:val="auto"/>
        </w:rPr>
        <w:t>We provide our customers with a broad range of traditional appraisal and other valuation services.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three year period was primarily a result of Ocwen’s residential loan servicing portfolio growth and, in 2011, to a lesser degree from the Springhouse acquisition in April 2011.</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Closing and Insurance Services</w:t>
      </w:r>
      <w:r>
        <w:rPr>
          <w:rFonts w:ascii="Arial" w:cs="Arial" w:eastAsia="Arial" w:hAnsi="Arial"/>
          <w:sz w:val="18"/>
          <w:szCs w:val="18"/>
          <w:color w:val="auto"/>
        </w:rPr>
        <w:t>. Closing and Insurance Services principally consists of title search, title agency and similar insured services. During 2011,</w:t>
      </w:r>
      <w:r>
        <w:rPr>
          <w:rFonts w:ascii="Arial" w:cs="Arial" w:eastAsia="Arial" w:hAnsi="Arial"/>
          <w:sz w:val="18"/>
          <w:szCs w:val="18"/>
          <w:i w:val="1"/>
          <w:iCs w:val="1"/>
          <w:color w:val="auto"/>
        </w:rPr>
        <w:t xml:space="preserve"> </w:t>
      </w:r>
      <w:r>
        <w:rPr>
          <w:rFonts w:ascii="Arial" w:cs="Arial" w:eastAsia="Arial" w:hAnsi="Arial"/>
          <w:sz w:val="18"/>
          <w:szCs w:val="18"/>
          <w:color w:val="auto"/>
        </w:rPr>
        <w:t>we remained focused on increasing our referral capture rate in our operational states and rolling out insured title services nationwide, similar to what we accomplished with our title search and asset management businesses in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Default Management Services</w:t>
      </w:r>
      <w:r>
        <w:rPr>
          <w:rFonts w:ascii="Arial" w:cs="Arial" w:eastAsia="Arial" w:hAnsi="Arial"/>
          <w:sz w:val="18"/>
          <w:szCs w:val="18"/>
          <w:color w:val="auto"/>
        </w:rPr>
        <w:t>. We provide non-legal back-office support for foreclosure, bankruptcy and eviction attorneys as well as foreclosure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do not execute or notarize foreclosure affidavits of debt or lost note affidavits. The increase over the three year period was a result of our continued rollout of a national platform as well as Ocwen’s loan servicing portfolio growth.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73,888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Cost of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202,035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117,691</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3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4440" w:type="dxa"/>
            <w:vAlign w:val="bottom"/>
          </w:tcPr>
          <w:p>
            <w:pPr>
              <w:ind w:left="440"/>
              <w:spacing w:after="0"/>
              <w:rPr>
                <w:sz w:val="20"/>
                <w:szCs w:val="20"/>
                <w:color w:val="auto"/>
              </w:rPr>
            </w:pPr>
            <w:r>
              <w:rPr>
                <w:rFonts w:ascii="Arial" w:cs="Arial" w:eastAsia="Arial" w:hAnsi="Arial"/>
                <w:sz w:val="18"/>
                <w:szCs w:val="18"/>
                <w:color w:val="auto"/>
              </w:rPr>
              <w:t>Gross Profit/Service Revenue</w:t>
            </w:r>
          </w:p>
        </w:tc>
        <w:tc>
          <w:tcPr>
            <w:tcW w:w="3260" w:type="dxa"/>
            <w:vAlign w:val="bottom"/>
          </w:tcPr>
          <w:p>
            <w:pPr>
              <w:jc w:val="right"/>
              <w:ind w:right="912"/>
              <w:spacing w:after="0"/>
              <w:rPr>
                <w:sz w:val="20"/>
                <w:szCs w:val="20"/>
                <w:color w:val="auto"/>
              </w:rPr>
            </w:pPr>
            <w:r>
              <w:rPr>
                <w:rFonts w:ascii="Arial" w:cs="Arial" w:eastAsia="Arial" w:hAnsi="Arial"/>
                <w:sz w:val="18"/>
                <w:szCs w:val="18"/>
                <w:color w:val="auto"/>
              </w:rPr>
              <w:t>49%</w:t>
            </w:r>
          </w:p>
        </w:tc>
        <w:tc>
          <w:tcPr>
            <w:tcW w:w="2340" w:type="dxa"/>
            <w:vAlign w:val="bottom"/>
          </w:tcPr>
          <w:p>
            <w:pPr>
              <w:jc w:val="right"/>
              <w:ind w:right="932"/>
              <w:spacing w:after="0"/>
              <w:rPr>
                <w:sz w:val="20"/>
                <w:szCs w:val="20"/>
                <w:color w:val="auto"/>
              </w:rPr>
            </w:pPr>
            <w:r>
              <w:rPr>
                <w:rFonts w:ascii="Arial" w:cs="Arial" w:eastAsia="Arial" w:hAnsi="Arial"/>
                <w:sz w:val="18"/>
                <w:szCs w:val="18"/>
                <w:color w:val="auto"/>
              </w:rPr>
              <w:t>51%</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1270</wp:posOffset>
            </wp:positionV>
            <wp:extent cx="591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18415</wp:posOffset>
            </wp:positionV>
            <wp:extent cx="591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1270</wp:posOffset>
            </wp:positionV>
            <wp:extent cx="591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18415</wp:posOffset>
            </wp:positionV>
            <wp:extent cx="591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1270</wp:posOffset>
            </wp:positionV>
            <wp:extent cx="591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18415</wp:posOffset>
            </wp:positionV>
            <wp:extent cx="591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Revenues increased for the periods presented due to investments in personnel and vendor costs to support the increase in Ocwen’s residential loan servicing portfolio as well as the development of new mortgage and real estate portfolio management services.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most significant factors impacting gross profit margins as a percent of Service Revenue are investments in personnel and third party vendor costs. Although we have been able to generally maintain or improve our margins in a period of accelerated growth, over time we will seek to reduce employee and vendor costs as a percent of Service Revenue principally through deployment of our next generation vendor, process and payment management technologies beginning in the second half of 2012 and continuing through 2013.</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margins also can vary substantially based upon when servicing is acquired by Ocwen. Typically, compensation and benefits will increase in anticipation of an acquisition as we hire and train personnel to deliver services in advance of the actual boarding of loans.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compared to 2010, gross profits as a percent of Service Revenue declined in 2011 principally due to additional investment in personnel to support the boarding of loans in September and November 2011 and to prepare for loans we expect Ocwen to board in 2012. In addition, we continue to invest in personnel to develop our newer services including insurance and origination services. Gross profit margins as a percent of Service Revenue improved in 2010 when compared to 2009 as a result of services being more weighted towards asset management services which tend to have higher margins as a result of less Outside Fees and Services.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687"/>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 and Other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2,619</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2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2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15,278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Margin Percentage:</w:t>
            </w:r>
          </w:p>
        </w:tc>
        <w:tc>
          <w:tcPr>
            <w:tcW w:w="2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4880" w:type="dxa"/>
            <w:vAlign w:val="bottom"/>
          </w:tcPr>
          <w:p>
            <w:pPr>
              <w:ind w:left="440"/>
              <w:spacing w:after="0"/>
              <w:rPr>
                <w:sz w:val="20"/>
                <w:szCs w:val="20"/>
                <w:color w:val="auto"/>
              </w:rPr>
            </w:pPr>
            <w:r>
              <w:rPr>
                <w:rFonts w:ascii="Arial" w:cs="Arial" w:eastAsia="Arial" w:hAnsi="Arial"/>
                <w:sz w:val="18"/>
                <w:szCs w:val="18"/>
                <w:color w:val="auto"/>
              </w:rPr>
              <w:t>Income from Operations/Service Revenue</w:t>
            </w:r>
          </w:p>
        </w:tc>
        <w:tc>
          <w:tcPr>
            <w:tcW w:w="2820" w:type="dxa"/>
            <w:vAlign w:val="bottom"/>
          </w:tcPr>
          <w:p>
            <w:pPr>
              <w:jc w:val="right"/>
              <w:ind w:right="912"/>
              <w:spacing w:after="0"/>
              <w:rPr>
                <w:sz w:val="20"/>
                <w:szCs w:val="20"/>
                <w:color w:val="auto"/>
              </w:rPr>
            </w:pPr>
            <w:r>
              <w:rPr>
                <w:rFonts w:ascii="Arial" w:cs="Arial" w:eastAsia="Arial" w:hAnsi="Arial"/>
                <w:sz w:val="18"/>
                <w:szCs w:val="18"/>
                <w:color w:val="auto"/>
              </w:rPr>
              <w:t>42%</w:t>
            </w:r>
          </w:p>
        </w:tc>
        <w:tc>
          <w:tcPr>
            <w:tcW w:w="2340" w:type="dxa"/>
            <w:vAlign w:val="bottom"/>
          </w:tcPr>
          <w:p>
            <w:pPr>
              <w:jc w:val="right"/>
              <w:ind w:right="932"/>
              <w:spacing w:after="0"/>
              <w:rPr>
                <w:sz w:val="20"/>
                <w:szCs w:val="20"/>
                <w:color w:val="auto"/>
              </w:rPr>
            </w:pPr>
            <w:r>
              <w:rPr>
                <w:rFonts w:ascii="Arial" w:cs="Arial" w:eastAsia="Arial" w:hAnsi="Arial"/>
                <w:sz w:val="18"/>
                <w:szCs w:val="18"/>
                <w:color w:val="auto"/>
              </w:rPr>
              <w:t>41%</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1270</wp:posOffset>
            </wp:positionV>
            <wp:extent cx="591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18415</wp:posOffset>
            </wp:positionV>
            <wp:extent cx="591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1270</wp:posOffset>
            </wp:positionV>
            <wp:extent cx="591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18415</wp:posOffset>
            </wp:positionV>
            <wp:extent cx="591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1270</wp:posOffset>
            </wp:positionV>
            <wp:extent cx="591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18415</wp:posOffset>
            </wp:positionV>
            <wp:extent cx="591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over the three year period principally due to the exponential growth in the segment which required investments in facilities, technology and other general and administrative costs. As this segment continues to grow, we should begin to leverage Selling, General and Administrative Expenses resulting in increased margins.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2010 was also as a result of the classification of certain compensation and benefit costs related to segment management and marketing previously being captured either in Cost of Revenue or as a component of the Corporate segment. In addition, professional services fees such as those associated with the external audit increased in 2010 as a result of being a public company for a full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Financial Services segment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 Better</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 Better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3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3"/>
                <w:szCs w:val="13"/>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/(Worse)</w:t>
            </w:r>
          </w:p>
        </w:tc>
        <w:tc>
          <w:tcPr>
            <w:tcW w:w="100" w:type="dxa"/>
            <w:vAlign w:val="bottom"/>
          </w:tcPr>
          <w:p>
            <w:pPr>
              <w:spacing w:after="0"/>
              <w:rPr>
                <w:sz w:val="13"/>
                <w:szCs w:val="13"/>
                <w:color w:val="auto"/>
              </w:rPr>
            </w:pPr>
          </w:p>
        </w:tc>
        <w:tc>
          <w:tcPr>
            <w:tcW w:w="48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9"/>
              </w:rPr>
              <w:t>/(Worse)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69,231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74,718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1,950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2,899</w:t>
            </w: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71,181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77,617</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51,096</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56,575</w:t>
            </w: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57,067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20,085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21,042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15,634</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20,739</w:t>
            </w:r>
          </w:p>
        </w:tc>
        <w:tc>
          <w:tcPr>
            <w:tcW w:w="3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Margins: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Profit/Service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Income from Operations/Service Revenue</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2011, we reorganized our reporting structure within this segment in that certain services originally part of Component Services and Other in the Mortgage Services segment are now classified as part of Customer Relationship Management in our Financial Services segment.</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leadership team is focused on disciplined floor management, delivering more services over our global delivery platform, expanding our quality and analytical initiatives and investing in new technology.</w:t>
      </w:r>
    </w:p>
    <w:p>
      <w:pPr>
        <w:spacing w:after="0" w:line="105"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In July 2011, we purchased the assembled workforce of a sub-contractor in India that performs asset recovery services. For periods prior to the acquisition, the costs paid to the sub-contractor were included as a component of Outside Fees and Services. Since acquisition, the costs have been recorded as employee costs, technology or occupancy as appropriate which has resulted in movement between Cost of Revenue and Selling, General and Administrative Expense categories.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88"/>
              </w:rPr>
              <w:t>Years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w w:val="95"/>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4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6"/>
              </w:rPr>
              <w:t>/(Worse)</w:t>
            </w: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Asset Recovery Management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37,371</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 Relationship Management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69,231</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Asset Recovery Management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71,181</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Asset Recovery Management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Financial Services segment, we generate revenue from asset recovery management fees we earn for collecting amounts due to our customers and from fees we earn for performing customer relationship management for our customers.</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Financial Services revenue declined over the three year period due to a decline in revenue attributable to asset recovery management, primarily associated with one of the segment’s largest customers. The decline was due to the general economic environment which has kept collection rates depressed and also the result of the client shifting work to the Company’s global delivery platform. Our global delivery platform consists of highly trained specialists in various geographic regions. The use of specialists in certain countries may result in lower commission rates paid by clients but results in higher margins principally due to the lower employee cost structure. These declines were partially offset by growth in new asset recovery management accounts, which drove an increase in associated revenues, and growth in our customer relationship management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29,764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11,587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15,417</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7,784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51,096</w:t>
            </w:r>
          </w:p>
        </w:tc>
        <w:tc>
          <w:tcPr>
            <w:tcW w:w="2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56,575</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Revenues as percent of Service Revenue has remained flat over the periods presented as we have actively worked to manage our cost structure in a declining revenue environment. We principally managed our cost structure through a reduction in compensation and benefit costs both through reduction in overall headcount as well as expanding our use of our global workforce.</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decline in Compensation and Benefits in 2011 is mostly offset by the acquisition of a sub-contractor, as previously described, for which costs incurred prior to the acquisition were recorded in Outside Fees and Services. Since acquisition, costs have been recorded as employee costs, technology or occupancy as appropriate which has also resulted in movement between Cost of Revenue and Selling, General and Administrative Expense categories.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Revenues in 2010 decreased as compared to 2009 principally due to a reduction in compensation and benefits as a result of a lower number of collectors and reduced commissions, partially offset by higher costs associated with the utilization of outside collectors.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4"/>
                <w:szCs w:val="14"/>
                <w:b w:val="1"/>
                <w:bCs w:val="1"/>
                <w:color w:val="auto"/>
                <w:w w:val="87"/>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 and Other</w:t>
            </w:r>
            <w:r>
              <w:rPr>
                <w:rFonts w:ascii="Arial" w:cs="Arial" w:eastAsia="Arial" w:hAnsi="Arial"/>
                <w:sz w:val="11"/>
                <w:szCs w:val="11"/>
                <w:color w:val="auto"/>
              </w:rPr>
              <w:t>(1)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2,672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Margin Percentage:</w:t>
            </w:r>
          </w:p>
        </w:tc>
        <w:tc>
          <w:tcPr>
            <w:tcW w:w="2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4960" w:type="dxa"/>
            <w:vAlign w:val="bottom"/>
          </w:tcPr>
          <w:p>
            <w:pPr>
              <w:ind w:left="440"/>
              <w:spacing w:after="0"/>
              <w:rPr>
                <w:sz w:val="20"/>
                <w:szCs w:val="20"/>
                <w:color w:val="auto"/>
              </w:rPr>
            </w:pPr>
            <w:r>
              <w:rPr>
                <w:rFonts w:ascii="Arial" w:cs="Arial" w:eastAsia="Arial" w:hAnsi="Arial"/>
                <w:sz w:val="18"/>
                <w:szCs w:val="18"/>
                <w:color w:val="auto"/>
              </w:rPr>
              <w:t>Income from Operations/Service Revenue</w:t>
            </w:r>
          </w:p>
        </w:tc>
        <w:tc>
          <w:tcPr>
            <w:tcW w:w="2820" w:type="dxa"/>
            <w:vAlign w:val="bottom"/>
          </w:tcPr>
          <w:p>
            <w:pPr>
              <w:jc w:val="right"/>
              <w:ind w:right="952"/>
              <w:spacing w:after="0"/>
              <w:rPr>
                <w:sz w:val="20"/>
                <w:szCs w:val="20"/>
                <w:color w:val="auto"/>
              </w:rPr>
            </w:pPr>
            <w:r>
              <w:rPr>
                <w:rFonts w:ascii="Arial" w:cs="Arial" w:eastAsia="Arial" w:hAnsi="Arial"/>
                <w:sz w:val="18"/>
                <w:szCs w:val="18"/>
                <w:color w:val="auto"/>
              </w:rPr>
              <w:t>6%</w:t>
            </w:r>
          </w:p>
        </w:tc>
        <w:tc>
          <w:tcPr>
            <w:tcW w:w="2320" w:type="dxa"/>
            <w:vAlign w:val="bottom"/>
          </w:tcPr>
          <w:p>
            <w:pPr>
              <w:jc w:val="right"/>
              <w:ind w:right="952"/>
              <w:spacing w:after="0"/>
              <w:rPr>
                <w:sz w:val="20"/>
                <w:szCs w:val="20"/>
                <w:color w:val="auto"/>
              </w:rPr>
            </w:pPr>
            <w:r>
              <w:rPr>
                <w:rFonts w:ascii="Arial" w:cs="Arial" w:eastAsia="Arial" w:hAnsi="Arial"/>
                <w:sz w:val="18"/>
                <w:szCs w:val="18"/>
                <w:color w:val="auto"/>
              </w:rPr>
              <w:t>0%</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$1.9 million in one-time facility closure costs primarily consisting of lease exit costs and severance and $1.4 million of legal settlement losses in 2009.</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in 2011 primarily due to a $2.8 million goodwill impairment recorded in the fourth quarter of 2010 (no impairment recorded in 2011) as well as a result of reduced occupancy costs and costs from our Technology Services segment following implementation of certain cost containment measures.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Technology Services segment for the years ended December 31: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56,094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36,874</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28,909</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18,245</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Margins: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Profit/Revenue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Income from Operations/Revenue</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focus of the Technology Services segment today is to support the growth of Mortgage Services and Ocwen. In addition, Technology Services assists in cost reduction and quality initiatives within the Financial Services segment.</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2011, we modified our pricing for IT Infrastructure Services within our Technology Services segment from a model based principally on a set charge per headcount per service to a fully loaded cost plus mark-up methodology. Mark-ups for infrastructure services are based upon economic studies performed that are generally consistent with our transfer pricing methodology. This new model applies to the infrastructure amounts charged to Ocwen as well as internal allocations of infrastructure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2011 we now report our Consumer Analytics group within Technology Services (previously reported in our Corporate Segment). Our Consumer Analytics group seeks to expand our use of behavioral sciences by building proprietary algorithms and psychologically-optimized communications through a customized technology platform.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87"/>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w w:val="98"/>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1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40" w:type="dxa"/>
            <w:vAlign w:val="bottom"/>
          </w:tcPr>
          <w:p>
            <w:pPr>
              <w:jc w:val="right"/>
              <w:ind w:right="255"/>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00" w:type="dxa"/>
            <w:vAlign w:val="bottom"/>
          </w:tcPr>
          <w:p>
            <w:pPr>
              <w:spacing w:after="0"/>
              <w:rPr>
                <w:sz w:val="13"/>
                <w:szCs w:val="13"/>
                <w:color w:val="auto"/>
              </w:rPr>
            </w:pPr>
          </w:p>
        </w:tc>
        <w:tc>
          <w:tcPr>
            <w:tcW w:w="720" w:type="dxa"/>
            <w:vAlign w:val="bottom"/>
          </w:tcPr>
          <w:p>
            <w:pPr>
              <w:jc w:val="right"/>
              <w:ind w:right="235"/>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REALSuite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34,926</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Infrastructure Services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56,094</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Arial" w:cs="Arial" w:eastAsia="Arial" w:hAnsi="Arial"/>
                <w:sz w:val="18"/>
                <w:szCs w:val="18"/>
                <w:color w:val="auto"/>
              </w:rPr>
              <w:t>REALSuite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13,253</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IT Infrastructure Services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REALSuite revenue is directly attributable to the growth in Ocwen’s residential loan servicing portfolio. In addition, the increase in 2010 as compared to 2009 was driven by increases in REALServicing attributable to an expanded five-year renewal agreement with a non-related customer in the second quarter of 2009.</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mentioned above, IT Infrastructure Services revenue is principally based on fully loaded costs. This increase in 2011 is due to the growth in both our and Ocwen’s operations, partially offset by the change in pricing effective January 1, 2011 as discussed above. The decrease in 2010 as compared to 2009 was due a reduction in our internal expenditures (which we eliminate in consolidation but include in our segment presentation) as well as those of Ocwen. The primary driver for the reduction in revenue related to internal expenditures was in our Financial Services segment due in part to fewer collections, facility closures and other cost reduction efforts. The decrease in revenue in 2010 was partially offset by an increase in revenues in the second half of 2010 as Ocwen expanded their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3"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6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9"/>
              </w:rPr>
              <w:t>/(Worse)</w:t>
            </w: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15,519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14,994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5,634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36,874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3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4480" w:type="dxa"/>
            <w:vAlign w:val="bottom"/>
          </w:tcPr>
          <w:p>
            <w:pPr>
              <w:ind w:left="440"/>
              <w:spacing w:after="0"/>
              <w:rPr>
                <w:sz w:val="20"/>
                <w:szCs w:val="20"/>
                <w:color w:val="auto"/>
              </w:rPr>
            </w:pPr>
            <w:r>
              <w:rPr>
                <w:rFonts w:ascii="Arial" w:cs="Arial" w:eastAsia="Arial" w:hAnsi="Arial"/>
                <w:sz w:val="18"/>
                <w:szCs w:val="18"/>
                <w:color w:val="auto"/>
              </w:rPr>
              <w:t>Gross Profit/Service Revenue</w:t>
            </w:r>
          </w:p>
        </w:tc>
        <w:tc>
          <w:tcPr>
            <w:tcW w:w="3260" w:type="dxa"/>
            <w:vAlign w:val="bottom"/>
          </w:tcPr>
          <w:p>
            <w:pPr>
              <w:jc w:val="right"/>
              <w:ind w:right="912"/>
              <w:spacing w:after="0"/>
              <w:rPr>
                <w:sz w:val="20"/>
                <w:szCs w:val="20"/>
                <w:color w:val="auto"/>
              </w:rPr>
            </w:pPr>
            <w:r>
              <w:rPr>
                <w:rFonts w:ascii="Arial" w:cs="Arial" w:eastAsia="Arial" w:hAnsi="Arial"/>
                <w:sz w:val="18"/>
                <w:szCs w:val="18"/>
                <w:color w:val="auto"/>
              </w:rPr>
              <w:t>34%</w:t>
            </w:r>
          </w:p>
        </w:tc>
        <w:tc>
          <w:tcPr>
            <w:tcW w:w="2300" w:type="dxa"/>
            <w:vAlign w:val="bottom"/>
          </w:tcPr>
          <w:p>
            <w:pPr>
              <w:jc w:val="right"/>
              <w:ind w:right="892"/>
              <w:spacing w:after="0"/>
              <w:rPr>
                <w:sz w:val="20"/>
                <w:szCs w:val="20"/>
                <w:color w:val="auto"/>
              </w:rPr>
            </w:pPr>
            <w:r>
              <w:rPr>
                <w:rFonts w:ascii="Arial" w:cs="Arial" w:eastAsia="Arial" w:hAnsi="Arial"/>
                <w:sz w:val="18"/>
                <w:szCs w:val="18"/>
                <w:color w:val="auto"/>
              </w:rPr>
              <w:t>44%</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Cost of Revenues increased for the periods presented due to investments in personnel and vendor costs to support the growth of Ocwen and our operations. In addition, we continue to strengthen our technology design and development competencies as we invest in the next generation of REALSuite technologies. We expect Technology Services’ Compensation and Benefits costs to increase as we continue to invest in personnel to support our development initiatives.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Technology and Communication costs increased principally due to the addition of new facilities, expansion of bandwidth at existing facilities and increased licensing fees for software to support our growth.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42"/>
              <w:spacing w:after="0"/>
              <w:rPr>
                <w:sz w:val="20"/>
                <w:szCs w:val="20"/>
                <w:color w:val="auto"/>
              </w:rPr>
            </w:pPr>
            <w:r>
              <w:rPr>
                <w:rFonts w:ascii="Arial" w:cs="Arial" w:eastAsia="Arial" w:hAnsi="Arial"/>
                <w:sz w:val="14"/>
                <w:szCs w:val="14"/>
                <w:b w:val="1"/>
                <w:bCs w:val="1"/>
                <w:color w:val="auto"/>
                <w:w w:val="85"/>
              </w:rPr>
              <w:t>Years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 Better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6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3"/>
                <w:szCs w:val="13"/>
                <w:color w:val="auto"/>
              </w:rPr>
            </w:pPr>
          </w:p>
        </w:tc>
        <w:tc>
          <w:tcPr>
            <w:tcW w:w="11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/(Worse)</w:t>
            </w:r>
          </w:p>
        </w:tc>
        <w:tc>
          <w:tcPr>
            <w:tcW w:w="220" w:type="dxa"/>
            <w:vAlign w:val="bottom"/>
          </w:tcPr>
          <w:p>
            <w:pPr>
              <w:spacing w:after="0"/>
              <w:rPr>
                <w:sz w:val="13"/>
                <w:szCs w:val="13"/>
                <w:color w:val="auto"/>
              </w:rPr>
            </w:pPr>
          </w:p>
        </w:tc>
        <w:tc>
          <w:tcPr>
            <w:tcW w:w="72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 and Other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rPr>
              <w:t>Operating Margin Percentage: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Operations/Service Revenue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Selling, General and Administrative Expenses in 2011 were comparable to those in 2010. Selling, General and Administrative Expenses increased in 2010 as a result of increased occupancy charges associated with the new data center and as a result of costs incurred in preparing for Ocwen’s growth in loans serviced.</w:t>
      </w:r>
    </w:p>
    <w:p>
      <w:pPr>
        <w:spacing w:after="0" w:line="58" w:lineRule="exact"/>
        <w:rPr>
          <w:sz w:val="20"/>
          <w:szCs w:val="20"/>
          <w:color w:val="auto"/>
        </w:rPr>
      </w:pPr>
    </w:p>
    <w:p>
      <w:pPr>
        <w:ind w:right="1840"/>
        <w:spacing w:after="0" w:line="407" w:lineRule="auto"/>
        <w:rPr>
          <w:sz w:val="20"/>
          <w:szCs w:val="20"/>
          <w:color w:val="auto"/>
        </w:rPr>
      </w:pPr>
      <w:r>
        <w:rPr>
          <w:rFonts w:ascii="Arial" w:cs="Arial" w:eastAsia="Arial" w:hAnsi="Arial"/>
          <w:sz w:val="18"/>
          <w:szCs w:val="18"/>
          <w:color w:val="auto"/>
        </w:rPr>
        <w:t xml:space="preserve">The operating margin decreased over the three year period as a result of the Revenue and Cost of Revenue fluctuations described above. </w:t>
      </w:r>
      <w:r>
        <w:rPr>
          <w:rFonts w:ascii="Arial" w:cs="Arial" w:eastAsia="Arial" w:hAnsi="Arial"/>
          <w:sz w:val="18"/>
          <w:szCs w:val="18"/>
          <w:b w:val="1"/>
          <w:bCs w:val="1"/>
          <w:color w:val="auto"/>
        </w:rPr>
        <w:t>Corporate</w:t>
      </w:r>
    </w:p>
    <w:p>
      <w:pPr>
        <w:jc w:val="both"/>
        <w:spacing w:after="0" w:line="259" w:lineRule="auto"/>
        <w:rPr>
          <w:sz w:val="20"/>
          <w:szCs w:val="20"/>
          <w:color w:val="auto"/>
        </w:rPr>
      </w:pPr>
      <w:r>
        <w:rPr>
          <w:rFonts w:ascii="Arial" w:cs="Arial" w:eastAsia="Arial" w:hAnsi="Arial"/>
          <w:sz w:val="18"/>
          <w:szCs w:val="18"/>
          <w:color w:val="auto"/>
        </w:rPr>
        <w:t>Our Corporate segment prior to the date of Separation includes expenditures recognized by us related to the Separation. Subsequent to the date of Separation, in addition to these items, this segment also includes costs recognized by us related to corporate support functions such as executive, finance, legal, human resources, vendor management and six sigma.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647"/>
              <w:spacing w:after="0"/>
              <w:rPr>
                <w:sz w:val="20"/>
                <w:szCs w:val="20"/>
                <w:color w:val="auto"/>
              </w:rPr>
            </w:pPr>
            <w:r>
              <w:rPr>
                <w:rFonts w:ascii="Arial" w:cs="Arial" w:eastAsia="Arial" w:hAnsi="Arial"/>
                <w:sz w:val="14"/>
                <w:szCs w:val="14"/>
                <w:b w:val="1"/>
                <w:bCs w:val="1"/>
                <w:color w:val="auto"/>
                <w:w w:val="86"/>
              </w:rPr>
              <w:t>Years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Better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6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3"/>
                <w:szCs w:val="13"/>
                <w:color w:val="auto"/>
              </w:rPr>
            </w:pPr>
          </w:p>
        </w:tc>
        <w:tc>
          <w:tcPr>
            <w:tcW w:w="110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4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/(Worse)</w:t>
            </w:r>
          </w:p>
        </w:tc>
        <w:tc>
          <w:tcPr>
            <w:tcW w:w="200" w:type="dxa"/>
            <w:vAlign w:val="bottom"/>
          </w:tcPr>
          <w:p>
            <w:pPr>
              <w:spacing w:after="0"/>
              <w:rPr>
                <w:sz w:val="13"/>
                <w:szCs w:val="13"/>
                <w:color w:val="auto"/>
              </w:rPr>
            </w:pPr>
          </w:p>
        </w:tc>
        <w:tc>
          <w:tcPr>
            <w:tcW w:w="720" w:type="dxa"/>
            <w:vAlign w:val="bottom"/>
          </w:tcPr>
          <w:p>
            <w:pPr>
              <w:jc w:val="right"/>
              <w:ind w:right="242"/>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2011, we incurred a full year of costs for those employees hired during 2010 and also hired additional resources principally focused on legal, compliance and quality assurance. As a result, our expenses associated with related professional fees decreased. In addition, lease costs increased related to the build out of new facilities to support Ocwen’s growth. Typically, we include new lease costs within Corporate until the facility is put into use at which time the prospective lease cost is included within the appropriate segment. Lastly, we continue to invest in an enterprise resource planning system that we expect will increase the quality of our support functions and over time reduce costs. As a percentage of total consolidated Service Revenue, Corporate expenses were essentially flat in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costs rose throughout 2010 as we invested in staff to support our growing operations, as a result of our first full year of being a public company and as a result of the increase in regulatory and compliance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seek to deploy excess cash generated in a disciplined manner. Principally, we will continue to reinvest excess cash in developing compelling services that we believe will generate high margins. In addition, we may seek to acquire a limited number of complementary companies that fit our strategic objectives. Finally, given the tax inefficiency of dividends, the low returns earned on cash held and our current belief to pursue a limited number of acquisitions, we believe one of the best ways to return value to shareholders is through a share repurchase program.</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Through December 31, 2011, we purchased 2.3 million shares of our common stock on the open market at an average price of $34.55 leaving 1.5 million shares still available for purchase under the program.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left="658"/>
              <w:spacing w:after="0"/>
              <w:rPr>
                <w:sz w:val="20"/>
                <w:szCs w:val="20"/>
                <w:color w:val="auto"/>
              </w:rPr>
            </w:pPr>
            <w:r>
              <w:rPr>
                <w:rFonts w:ascii="Arial" w:cs="Arial" w:eastAsia="Arial" w:hAnsi="Arial"/>
                <w:sz w:val="14"/>
                <w:szCs w:val="14"/>
                <w:b w:val="1"/>
                <w:bCs w:val="1"/>
                <w:color w:val="auto"/>
                <w:w w:val="86"/>
              </w:rPr>
              <w:t>Years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 Better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 Better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9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3"/>
                <w:szCs w:val="13"/>
                <w:color w:val="auto"/>
              </w:rPr>
            </w:pP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/(Worse)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2"/>
              </w:rPr>
              <w:t>/(Worse)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4"/>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74,564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14,954</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(21,752)</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(33,070)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(39,489)</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9,991</w:t>
            </w: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(8,322)</w:t>
            </w: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30,456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Cash at End of Period</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3"/>
            <w:vMerge w:val="continue"/>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32,125</w:t>
            </w: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22,134</w:t>
            </w: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operating activities consists of two components: (i) net income adjusted for depreciation, amortization and certain other non-cash items and</w:t>
      </w:r>
    </w:p>
    <w:p>
      <w:pPr>
        <w:spacing w:after="0" w:line="38" w:lineRule="exact"/>
        <w:rPr>
          <w:sz w:val="20"/>
          <w:szCs w:val="20"/>
          <w:color w:val="auto"/>
        </w:rPr>
      </w:pPr>
    </w:p>
    <w:p>
      <w:pPr>
        <w:jc w:val="both"/>
        <w:ind w:firstLine="8"/>
        <w:spacing w:after="0" w:line="255"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capital. For the year ended December 31, 2011, we generated $111.6 million in positive cash flow from operations or approximately $0.33 for every dollar of service revenue. This primarily reflects our profitability, adjusted for non-cash items, as a result of our year-over-year growth in mortgage-related services as well as a focused effort to improve our working capital position.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significant increase in operating cash flow in 2010 compared to 2009 was primarily driven by our increased profitability as our Mortgage Services segment has expanded.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2011, we invested $15.0 million in Correspondent One to facilitate the establishment of this business. In addition, we acquired Springhouse for net consideration of $1.8 million and Tracmail for net consideration of $0.7 million. Finally, we spent $16.4 million on capital expenditures principally consisting of technology investments and leasehold improvements necessary to facilitate our growth.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largest use of cash flow for investing activities in 2010 was the acquisition of MPA in February 2010 for which the purchase consideration included $26.8 million in cash, net of cash acquired. In addition, we increased purchases of premises and equipment and technology to support our expansion of operations and in anticipation of the growth in Ocwen’s residential loan servicing portfolio.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largest use of cash flow from financing activities was the repurchase of shares for $62.2 million and $17.8 million in 2011 and 2010, respectively. Additional activities include receipt of funds related to stock option exercises and payments to non-controlling interest owners as a result of the acquisition of MPA.</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2009,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 Prior to the Separation we recorded all cash receipts and disbursement activity between Ocwen and us through invested equity in the Consolidated Balance Sheets and as net distributions in the Consolidated Statements of Equity and Cash Flows because we considered such amounts to have been distributed to Ocwen. As such, our cash flow from financing activities in 2009 primarily included payments on debt and the net change in our invested equity balance.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December 31,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2012, we expect to distribute $2.4 million to the Lenders One members, representing non-controlling interests.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 (see also Contractual Obligations, Commitments and Contingencies below).</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Given our ability to generate cash flow which is sufficient to fund both current operations as well as expansion activities, we require very limited capital. Were we to need additional capital, we believe we have adequate access to both debt and equity capital markets.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JUDGMENTS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of the United States (“GAAP”) requires estimates and assumptions that affect the reported amounts of assets and liabilities, revenues and expenses and related disclosures of contingent assets and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policies and judgments addressed below. We also have other key accounting policies, which involve the use of estimates, judgments, and assumptions that are significant to understanding our results. For additional information, see Note 2 to the consolidated financial statements. Although we believe that our estimates, assumptions, and judgments are reasonable, they are based upon information presently available. Actual results may differ significantly from these estimates under different assumptions, judgments, or conditions.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from the services we provide in accordance with ASC Topic 605. ASC Topic 605 sets forth guidance as to when revenue is realized or realizable and earned when all of the following criteria are met: (1) persuasive evidence of an arrangement exists; (2) delivery has occurred or services have been performed; (3)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seller’s price to the buyer is fixed or determinable; and (4) collectability is reasonably assured. Generally, the contract terms for these services are relatively short in duration, and we recognize revenues as the services are performed either on a per unit or a fixed price basis. Our revenue recognition policies are detailed in Note 2 to the consolidated financial statements. Significant areas of judgment include the period over which we recognize property preservation revenue, certain default management services revenue, certain insurance program management fees and the determination of fair value for certain IT infrastructure services that we provide Ocwen. Management considers historical information and other third-party objective evidence on a periodic basis in determining the appropriate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evaluate goodwill for impairment annually during the fourth quarter or more frequently when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indicates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 are based on our best estimate of future net sales and operating expenses, based primarily on expected category expansion, pricing, market segment share and general economic conditions. Certain estimates of discounted cash flows involve businesses and geographies with limited financial history and developing revenue models.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fourth quarter 2011 analysis, management concluded no impairment was indicated given the fair value for the associated reporting units was substantially in excess of the book value.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2010, management determined it was prudent to impair $2.8 million of goodwill in the Financial Services segment. This determination was made after considering quantitative and qualitative factors including past performance and execution risk.</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Identifiable Intangible Assets</w:t>
      </w:r>
      <w:r>
        <w:rPr>
          <w:rFonts w:ascii="Arial" w:cs="Arial" w:eastAsia="Arial" w:hAnsi="Arial"/>
          <w:sz w:val="16"/>
          <w:szCs w:val="16"/>
          <w:color w:val="auto"/>
        </w:rPr>
        <w:t>. Identified intangible assets consist primarily of customer lists, acquired trade names and trademarks. Indentified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amortize are tested for impairment whenever events or changes in circumstances occur indicating that the carrying amount of the asset may not be recoverable. An impairment loss would be recognized for an intangible asset if its carrying value exceeds its fair value.</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Given the performance of our Financial Services segment, we continue to monitor the performance of amortizing intangible assets, particularly those associated with customer lists. To date, we have not determined the need for any impairment charges for identified intangible assets.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taxes in Luxembourg, the United States, India and Uruguay.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statutory rates and higher than anticipated earnings in countries where we have higher statutory rates, by changes in foreign currency exchange rates or by changes in the relevant tax, accounting and other laws, regulations, principles and interpretations. We are subject to audit in various taxing jurisdictions, and such jurisdictions may assess additional income tax during an examination. Although we believe our tax balances are sufficient to support our future tax liabilities, the final determination of tax audits and any related litigation could differ from the balances we have accrued.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 and operating leases.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and debt collection activities. These amounts are held in escrow for limited periods of time, generally consisting of a few days. To the extent these assets are not co-mingled with our fees and are maintained in segregated bank accounts, they are generally not included in the accompanying Consolidated Balance Sheets, the balance of which is $17.7 million at December 31, 2011.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long-term contractual obligations generally include our operating lease payments on certain of our property and equipment. The following table sets forth information relating to our contractual obligations as of December 31, 2011: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Payments due by period</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w w:val="91"/>
              </w:rPr>
              <w:t>Less than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7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6"/>
              <w:spacing w:after="0" w:line="148"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92"/>
              </w:rPr>
              <w:t>1-3 years</w:t>
            </w:r>
          </w:p>
        </w:tc>
        <w:tc>
          <w:tcPr>
            <w:tcW w:w="140" w:type="dxa"/>
            <w:vAlign w:val="bottom"/>
          </w:tcPr>
          <w:p>
            <w:pPr>
              <w:spacing w:after="0"/>
              <w:rPr>
                <w:sz w:val="13"/>
                <w:szCs w:val="13"/>
                <w:color w:val="auto"/>
              </w:rPr>
            </w:pPr>
          </w:p>
        </w:tc>
        <w:tc>
          <w:tcPr>
            <w:tcW w:w="78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Non-Cancelable Operating Lease Obligations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Capital Lease Obligations – Principal</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Interest Payments</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19,311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10,223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9,088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300" w:firstLine="8"/>
        <w:spacing w:after="0" w:line="363" w:lineRule="auto"/>
        <w:tabs>
          <w:tab w:leader="none" w:pos="446"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Represents estimated future interest payments on capital leases, based on applicable interest rates as of December 31, 2011. For further information, see Note 18 to the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 Ocwen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year ended December 31, 2011, we generated $223.2 million of Mortgage Services, $0.3 million of Financial Services and $21.8 million of Technology Services segment revenue from Ocwen. Services provided to Ocwen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technologies including our REALSuite of products. We provided all services at rates we believe to be comparable to market rates.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2011, Altisource billed Ocwen $2.6 million and Ocwen billed Altisource $1.9 million for services provided under the Transition Services Agreement. These amounts are reflected as a component of Selling, General and Administrative Expenses in the accompanying Consolidated Statements of Operations.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financial market risk consists primarily of foreign currency exchange risk. We are exposed to foreign currency exchange rate risk in connection with our investment in non-U.S. dollar functional currency operations which are limited, to the extent that our foreign exchange positions remain unhedged.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40" w:type="dxa"/>
            <w:vAlign w:val="bottom"/>
            <w:gridSpan w:val="7"/>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140" w:type="dxa"/>
            <w:vAlign w:val="bottom"/>
          </w:tcPr>
          <w:p>
            <w:pPr>
              <w:spacing w:after="0"/>
              <w:rPr>
                <w:sz w:val="19"/>
                <w:szCs w:val="19"/>
                <w:color w:val="auto"/>
              </w:rPr>
            </w:pPr>
          </w:p>
        </w:tc>
      </w:tr>
      <w:tr>
        <w:trPr>
          <w:trHeight w:val="405"/>
        </w:trPr>
        <w:tc>
          <w:tcPr>
            <w:tcW w:w="1018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r>
      <w:tr>
        <w:trPr>
          <w:trHeight w:val="286"/>
        </w:trPr>
        <w:tc>
          <w:tcPr>
            <w:tcW w:w="4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Report of Independent Registered Certified Public Accounting Firm</w:t>
              </w:r>
            </w:hyperlink>
          </w:p>
        </w:tc>
        <w:tc>
          <w:tcPr>
            <w:tcW w:w="538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5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9">
              <w:r>
                <w:rPr>
                  <w:rFonts w:ascii="Arial" w:cs="Arial" w:eastAsia="Arial" w:hAnsi="Arial"/>
                  <w:sz w:val="18"/>
                  <w:szCs w:val="18"/>
                  <w:color w:val="0000EE"/>
                  <w:w w:val="86"/>
                </w:rPr>
                <w:t>Consolidated Balance Sheets as of December 31, 2011 and 2010</w:t>
              </w:r>
            </w:hyperlink>
          </w:p>
        </w:tc>
        <w:tc>
          <w:tcPr>
            <w:tcW w:w="564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Operations for the Years Ended December 31, 2011, 2010 and 2009</w:t>
              </w:r>
            </w:hyperlink>
          </w:p>
        </w:tc>
        <w:tc>
          <w:tcPr>
            <w:tcW w:w="344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92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Changes in Stockholders’ and Invested Equity for the Years Ended December 31, 2011, 2010 and 2009</w:t>
              </w:r>
            </w:hyperlink>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Cash Flows for the Years Ended December 31, 2011, 2010 and 2009</w:t>
              </w:r>
            </w:hyperlink>
          </w:p>
        </w:tc>
        <w:tc>
          <w:tcPr>
            <w:tcW w:w="338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018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660" w:type="dxa"/>
            <w:vAlign w:val="bottom"/>
            <w:gridSpan w:val="3"/>
          </w:tcPr>
          <w:p>
            <w:pPr>
              <w:jc w:val="right"/>
              <w:ind w:right="9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1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Altisource Portfolio Solutions S.A.:</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2011 and 2010, and the related consolidated statements of operations, changes in stockholders’ and invested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our opinion, such consolidated financial statements referred to above present fairly, in all material respects, the financial position of Altisource Portfolio Solutions S.A.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discussed in Note 3 to the consolidated financial statements, the Company has entered into significant transactions with Ocwen Financial Corporation, a related party.</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2011, based on the criteria established in Internal Control—Integrated Framework issued by the Committee of Sponsoring Organizations of the Treadway Commission and our report dated February 16, 2012 expressed an unqualified opinion on the Company’s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1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Altisource Portfolio Solutions S.A.:</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Altisource Portfolio Solutions S.A. and subsidiaries (the “Company”)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opinions.</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w:t>
      </w:r>
      <w:r>
        <w:rPr>
          <w:rFonts w:ascii="Arial" w:cs="Arial" w:eastAsia="Arial" w:hAnsi="Arial"/>
          <w:sz w:val="16"/>
          <w:szCs w:val="16"/>
          <w:i w:val="1"/>
          <w:iCs w:val="1"/>
          <w:color w:val="auto"/>
        </w:rPr>
        <w:t>.</w:t>
      </w:r>
    </w:p>
    <w:p>
      <w:pPr>
        <w:spacing w:after="0" w:line="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2011 of the Company and our report dated February 16, 2012 expressed an unqualified opinion on those financial statements and included an explanatory paragraph regarding significant transactions with Ocwen Financial Corporation, a related party.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ind w:left="4220"/>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52,005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Premises and Equipment, net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14,915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Equity Affiliate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9,428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224,159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346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44,867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Obligations—Current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390"/>
        </w:trPr>
        <w:tc>
          <w:tcPr>
            <w:tcW w:w="9240" w:type="dxa"/>
            <w:vAlign w:val="bottom"/>
            <w:gridSpan w:val="2"/>
          </w:tcPr>
          <w:p>
            <w:pPr>
              <w:spacing w:after="0"/>
              <w:rPr>
                <w:sz w:val="20"/>
                <w:szCs w:val="20"/>
                <w:color w:val="auto"/>
              </w:rPr>
            </w:pPr>
            <w:r>
              <w:rPr>
                <w:rFonts w:ascii="Arial" w:cs="Arial" w:eastAsia="Arial" w:hAnsi="Arial"/>
                <w:sz w:val="18"/>
                <w:szCs w:val="18"/>
                <w:color w:val="auto"/>
              </w:rPr>
              <w:t>Capital Lease Obligations—Non-current</w:t>
            </w: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390"/>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 and Contingencies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Common Stock ($1.00 par value; 100,000 shares authorized;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25,413 shares issued and 23,405 outstanding in 2011;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25,413 shares issued and 24,881 outstanding in 2010)</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25,413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($1.00 par value; 2,008 and 532 sharesin 2011 and 2010, respectively)</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420"/>
              <w:spacing w:after="0"/>
              <w:rPr>
                <w:sz w:val="20"/>
                <w:szCs w:val="20"/>
                <w:color w:val="auto"/>
              </w:rPr>
            </w:pPr>
            <w:r>
              <w:rPr>
                <w:rFonts w:ascii="Arial" w:cs="Arial" w:eastAsia="Arial" w:hAnsi="Arial"/>
                <w:sz w:val="18"/>
                <w:szCs w:val="18"/>
                <w:color w:val="auto"/>
              </w:rPr>
              <w:t>Altisource Equity</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162,755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148,838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165,943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151,898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224,159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i w:val="1"/>
                <w:iCs w:val="1"/>
                <w:color w:val="auto"/>
                <w:w w:val="87"/>
              </w:rPr>
              <w:t>See notes to consolidated and combined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301,378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275,849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189,059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126,797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57,352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39,473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(7,943)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(11,605)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(6,855)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49,271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vMerge w:val="continue"/>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154,988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and Invested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5"/>
              </w:rPr>
              <w:t>Altisource Equity</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Treasury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 at</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Equity</w:t>
            </w: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cost</w:t>
            </w: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Interests</w:t>
            </w: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54,487</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6,059</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60,546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 Issuance due to Conversion to a Luxembourg Societé Anonyme</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(3,283)</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9,079</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3,283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for Pre-separation Period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14,306</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14,306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83"/>
              </w:rPr>
              <w:t>14,306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Transfers to Ocwen</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(1,354)</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(1,354)</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Consummation of Spin-off Transaction and Distribution to Common Stock</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(64,156)</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14,732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14,732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49,424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296</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Income for Post-separation Period</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11,665</w:t>
            </w:r>
          </w:p>
        </w:tc>
        <w:tc>
          <w:tcPr>
            <w:tcW w:w="160" w:type="dxa"/>
            <w:vAlign w:val="bottom"/>
          </w:tcPr>
          <w:p>
            <w:pPr>
              <w:spacing w:after="0"/>
              <w:rPr>
                <w:sz w:val="12"/>
                <w:szCs w:val="12"/>
                <w:color w:val="auto"/>
              </w:rPr>
            </w:pPr>
          </w:p>
        </w:tc>
        <w:tc>
          <w:tcPr>
            <w:tcW w:w="760" w:type="dxa"/>
            <w:vAlign w:val="bottom"/>
          </w:tcPr>
          <w:p>
            <w:pPr>
              <w:ind w:left="380"/>
              <w:spacing w:after="0" w:line="149" w:lineRule="exact"/>
              <w:rPr>
                <w:sz w:val="20"/>
                <w:szCs w:val="20"/>
                <w:color w:val="auto"/>
              </w:rPr>
            </w:pPr>
            <w:r>
              <w:rPr>
                <w:rFonts w:ascii="Arial" w:cs="Arial" w:eastAsia="Arial" w:hAnsi="Arial"/>
                <w:sz w:val="14"/>
                <w:szCs w:val="14"/>
                <w:color w:val="auto"/>
                <w:w w:val="83"/>
              </w:rPr>
              <w:t>11,665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24,145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24,145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11,665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50,538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86,348</w:t>
            </w: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w w:val="83"/>
              </w:rPr>
              <w:t>25,971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49,271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6,903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56,174</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80"/>
              <w:spacing w:after="0"/>
              <w:rPr>
                <w:sz w:val="20"/>
                <w:szCs w:val="20"/>
                <w:color w:val="auto"/>
              </w:rPr>
            </w:pPr>
            <w:r>
              <w:rPr>
                <w:rFonts w:ascii="Arial" w:cs="Arial" w:eastAsia="Arial" w:hAnsi="Arial"/>
                <w:sz w:val="14"/>
                <w:szCs w:val="14"/>
                <w:color w:val="auto"/>
                <w:w w:val="83"/>
              </w:rPr>
              <w:t>56,174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MPA</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959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959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22,941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27,168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Contributions from Non-controlling Interest Holders</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 Holders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(7,152)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3,110</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3,110</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298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298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2,708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3,986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Delivery of Vested Restricted Stock</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(17,788)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(17,788)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2010</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3"/>
              </w:rPr>
              <w:t>25,413</w:t>
            </w: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25,413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58,546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79,297</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8"/>
              </w:rPr>
              <w:t>(14,418)</w:t>
            </w:r>
          </w:p>
        </w:tc>
        <w:tc>
          <w:tcPr>
            <w:tcW w:w="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3,060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2"/>
              </w:rPr>
              <w:t>151,898</w:t>
            </w: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83"/>
              </w:rPr>
              <w:t>56,174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71,112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77,967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83"/>
              </w:rPr>
              <w:t>77,967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Contributions from Non-controlling Interest Holders</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 Holders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(6,776)</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(6,776)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3,932</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3,932</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(62,151)</w:t>
            </w:r>
          </w:p>
        </w:tc>
        <w:tc>
          <w:tcPr>
            <w:tcW w:w="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(62,151)</w:t>
            </w:r>
          </w:p>
        </w:tc>
        <w:tc>
          <w:tcPr>
            <w:tcW w:w="160" w:type="dxa"/>
            <w:vAlign w:val="bottom"/>
          </w:tcPr>
          <w:p>
            <w:pPr>
              <w:spacing w:after="0"/>
              <w:rPr>
                <w:sz w:val="12"/>
                <w:szCs w:val="12"/>
                <w:color w:val="auto"/>
              </w:rPr>
            </w:pP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25,413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25,413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126,161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83,229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(72,048)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165,943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83"/>
              </w:rPr>
              <w:t>77,967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77,967</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56,174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Equity in Losses of Affiliate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Bad Debt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(18,259)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(4,892)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33,284</w:t>
            </w: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Premises and Equipment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Equity Affiliate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Change in Restricted Cash</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398"/>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Capital Lease Obligations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Distribution to Parent</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Line of Credit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Cash Flows from Financing Activities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(68,550)</w:t>
            </w: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(21,645)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22,134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Income Taxes (Received) Paid, net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Shares issued in Connection with Acquisition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23,900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 in Income Tax Payable from Tax Amortizable Goodwill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Increase in Common Stock due to the Company’s Conversion to a</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Luxembourg Société Anonyme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and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provider of services focused on high value, technology-enabled, knowledge-based functions principally related to real estate and mortgage portfolio management, asset recovery and customer relationship management. We were incorporated under the laws of Luxembourg on November 4, 1999 as Ocwen Luxembourg S.à r.l., renamed Altisource Portfolio Solutions S.à r.l. on May 12, 2009 and converted into Altisource Portfolio Solutions S.A. on June 5, 2009. We became a publicly traded company on the NASDAQ Global Select market under the symbol “ASPS” as of August 10, 2009, see “Separation” below.</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2010, we acquired all of the outstanding membership interests of The Mortgage Partnership of America, L.L.C. (“MPA™”). MPA was formed as a Missouri limited liability company to serve as the manager of Best Partners Mortgage Cooperative, Inc. (“BPMC™”) doing business as Lenders One Mortgage Cooperative (“Lenders One</w:t>
      </w:r>
      <w:r>
        <w:rPr>
          <w:rFonts w:ascii="Arial" w:cs="Arial" w:eastAsia="Arial" w:hAnsi="Arial"/>
          <w:sz w:val="10"/>
          <w:szCs w:val="10"/>
          <w:color w:val="auto"/>
        </w:rPr>
        <w:t>®</w:t>
      </w:r>
      <w:r>
        <w:rPr>
          <w:rFonts w:ascii="Arial" w:cs="Arial" w:eastAsia="Arial" w:hAnsi="Arial"/>
          <w:sz w:val="16"/>
          <w:szCs w:val="16"/>
          <w:color w:val="auto"/>
        </w:rPr>
        <w:t>”). Lenders One is a national alliance of independent mortgage bankers (“Members”) that provides its Members with education and training along with revenue enhancing, cost reducing and market share expanding opportunities. In April 2011, we acquired Springhouse, LLC (“Springhouse™”) an appraisal management company that utilizes a nationwide panel of appraisers to provide real estate appraisals principally to mortgage originators, including the members of Lenders One, and real estate asset managers. In July 2011, we acquired the assembled workforce of a sub-contractor (“Tracmail”) in India that performed asset recovery services (see Note 4).</w:t>
      </w:r>
    </w:p>
    <w:p>
      <w:pPr>
        <w:spacing w:after="0" w:line="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Services. In addition, we report our corporate related expenditures as a separate segment (see Note 19 for a description of our business segments).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 On August 10, 2009, we became a stand-alone public company in connection with our separation from Ocwen Financial Corporation (“Ocwen</w:t>
      </w:r>
      <w:r>
        <w:rPr>
          <w:rFonts w:ascii="Arial" w:cs="Arial" w:eastAsia="Arial" w:hAnsi="Arial"/>
          <w:sz w:val="11"/>
          <w:szCs w:val="1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“Separation”). Prior to the Separation, our businesses were wholly-owned subsidiaries of Ocwen. On the date of Separation, Ocwen distributed all of the Altisource common stock to Ocwen’s shareholders (the “Distribution”).</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Services Agreement, a Transition Services Agreement and certain long-term servicing contracts (collectively, the “Agreements”).</w:t>
      </w:r>
    </w:p>
    <w:p>
      <w:pPr>
        <w:spacing w:after="0" w:line="7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Beginning August 10, 2009, after our assets and liabilities were formally contributed by Ocwen to Altisource pursuant to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Agreement, our financial statements have been presented on a consolidated basis for financial reporting purposes. Our consolidated financial statements include the assets and liabilities, revenues and expenses directly attributable to our operations.</w:t>
      </w:r>
    </w:p>
    <w:p>
      <w:pPr>
        <w:spacing w:after="0" w:line="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periods prior to the date of Separation, these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For additional information, see Note 3.</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statements for the period ended December 31, 2009 also do not necessarily reflect what our consolidated results of operations, financial position and cash flows would have been had we operated as an independent company during the entire periods presented. For instance, as an independent public company, Altisource incurs costs for maintaining a separate Board of Directors, obtaining a separate audit, relocating certain executive management and hiring additional personnel.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consolidated financial statements are prepared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 have a</w:t>
      </w:r>
      <w:r>
        <w:rPr>
          <w:rFonts w:ascii="Arial" w:cs="Arial" w:eastAsia="Arial" w:hAnsi="Arial"/>
          <w:sz w:val="18"/>
          <w:szCs w:val="18"/>
          <w:b w:val="1"/>
          <w:bCs w:val="1"/>
          <w:color w:val="auto"/>
        </w:rPr>
        <w:t xml:space="preserve"> </w:t>
      </w:r>
      <w:r>
        <w:rPr>
          <w:rFonts w:ascii="Arial" w:cs="Arial" w:eastAsia="Arial" w:hAnsi="Arial"/>
          <w:sz w:val="18"/>
          <w:szCs w:val="18"/>
          <w:color w:val="auto"/>
        </w:rPr>
        <w:t>variable interest and are the primary beneficiary. Intercompany balances and transactions have been eliminated.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our acquisition of MPA, MPA and Lenders One entered into a management agreement that ends on December 31, 2025. MPA was formed to act on behalf of Lenders One and its Members principally to provide its Members with education and training along with revenue enhancing, cost reducing and market share expanding opportunities. For providing these services, MPA receives payment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9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management agreement between MPA and Lenders One, pursuant to which MPA is the management company of Lenders One, represents a variable interest in a variable interest entity. MPA determined that it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consolidated financial statements on a consolidated basis with the interests of the Members reflected as Non-controlling Interest on the Consolidated Balance Sheets. At December 31, 2011, Lenders One had total assets of $5.2 million and liabilities of less than $0.1 million.</w:t>
      </w:r>
    </w:p>
    <w:p>
      <w:pPr>
        <w:spacing w:after="0" w:line="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revenues and expenses, and related disclosures of contingent liabilities in the consolidated financial statements and accompanying notes. Estimates are used for, but not limited to, determining shared-based compensation, income taxes, collectability of receivables, valuation of acquired intangibles and goodwill, depreciable lives of fixed assets and contingencies. Actual results could differ materially from those estimates.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9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Accounts Receivable, Net </w:t>
      </w:r>
      <w:r>
        <w:rPr>
          <w:rFonts w:ascii="Arial" w:cs="Arial" w:eastAsia="Arial" w:hAnsi="Arial"/>
          <w:sz w:val="16"/>
          <w:szCs w:val="16"/>
          <w:color w:val="auto"/>
        </w:rPr>
        <w:t>– Accounts Receivable are net of an allowance for doubtful accounts that represent an amount that we estimate to be uncollectible.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We report Premises and Equipment, net at cost or estimated fair value at acquisition and depreciate them over their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useful lives using the straight-line method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Office Equipment</w:t>
            </w:r>
          </w:p>
        </w:tc>
        <w:tc>
          <w:tcPr>
            <w:tcW w:w="7400" w:type="dxa"/>
            <w:vAlign w:val="bottom"/>
          </w:tcPr>
          <w:p>
            <w:pPr>
              <w:jc w:val="right"/>
              <w:ind w:right="12"/>
              <w:spacing w:after="0"/>
              <w:rPr>
                <w:sz w:val="20"/>
                <w:szCs w:val="20"/>
                <w:color w:val="auto"/>
              </w:rPr>
            </w:pPr>
            <w:r>
              <w:rPr>
                <w:rFonts w:ascii="Arial" w:cs="Arial" w:eastAsia="Arial" w:hAnsi="Arial"/>
                <w:sz w:val="18"/>
                <w:szCs w:val="18"/>
                <w:color w:val="auto"/>
              </w:rPr>
              <w:t>5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 –3 years</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0" w:type="dxa"/>
            <w:vAlign w:val="bottom"/>
          </w:tcPr>
          <w:p>
            <w:pPr>
              <w:jc w:val="right"/>
              <w:ind w:right="12"/>
              <w:spacing w:after="0"/>
              <w:rPr>
                <w:sz w:val="20"/>
                <w:szCs w:val="20"/>
                <w:color w:val="auto"/>
              </w:rPr>
            </w:pPr>
            <w:r>
              <w:rPr>
                <w:rFonts w:ascii="Arial" w:cs="Arial" w:eastAsia="Arial" w:hAnsi="Arial"/>
                <w:sz w:val="18"/>
                <w:szCs w:val="18"/>
                <w:color w:val="auto"/>
              </w:rPr>
              <w:t>Shorter of useful life or term of lease</w:t>
            </w:r>
          </w:p>
        </w:tc>
      </w:tr>
      <w:tr>
        <w:trPr>
          <w:trHeight w:val="356"/>
        </w:trPr>
        <w:tc>
          <w:tcPr>
            <w:tcW w:w="4020" w:type="dxa"/>
            <w:vAlign w:val="bottom"/>
          </w:tcPr>
          <w:p>
            <w:pPr>
              <w:spacing w:after="0"/>
              <w:rPr>
                <w:sz w:val="24"/>
                <w:szCs w:val="24"/>
                <w:color w:val="auto"/>
              </w:rPr>
            </w:pPr>
          </w:p>
        </w:tc>
        <w:tc>
          <w:tcPr>
            <w:tcW w:w="7400" w:type="dxa"/>
            <w:vAlign w:val="bottom"/>
          </w:tcPr>
          <w:p>
            <w:pPr>
              <w:jc w:val="right"/>
              <w:ind w:right="5532"/>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 payments for maintenance and repairs as expenses when incurred. We record expenditures for significant improvements and new equipment as capital expenses and depreciate them over the shorter of the capitalized asset’s life or the life of the lease.</w:t>
      </w:r>
    </w:p>
    <w:p>
      <w:pPr>
        <w:spacing w:after="0" w:line="10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in the amount by which the carrying amount of the assets exceeds the fair value of the asset or asset group.</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the straight-line method over its estimated useful life, ranging from two to three years.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 We account for acquisitions using the purchase method of accounting in accordance with Accounting Standards Codification (“ASC”)</w:t>
      </w:r>
      <w:r>
        <w:rPr>
          <w:rFonts w:ascii="Arial" w:cs="Arial" w:eastAsia="Arial" w:hAnsi="Arial"/>
          <w:sz w:val="18"/>
          <w:szCs w:val="18"/>
          <w:b w:val="1"/>
          <w:bCs w:val="1"/>
          <w:color w:val="auto"/>
        </w:rPr>
        <w:t xml:space="preserve"> </w:t>
      </w:r>
      <w:r>
        <w:rPr>
          <w:rFonts w:ascii="Arial" w:cs="Arial" w:eastAsia="Arial" w:hAnsi="Arial"/>
          <w:sz w:val="18"/>
          <w:szCs w:val="18"/>
          <w:color w:val="auto"/>
        </w:rPr>
        <w:t>Topic 805. The purchase price of the acquisition is allocated to the assets acquired and liabilities assumed using the fair values determined by management as of the acquisition date.</w:t>
      </w:r>
    </w:p>
    <w:p>
      <w:pPr>
        <w:spacing w:after="0" w:line="10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Investment in Equity Affiliate </w:t>
      </w:r>
      <w:r>
        <w:rPr>
          <w:rFonts w:ascii="Arial" w:cs="Arial" w:eastAsia="Arial" w:hAnsi="Arial"/>
          <w:sz w:val="16"/>
          <w:szCs w:val="16"/>
          <w:color w:val="auto"/>
        </w:rPr>
        <w:t>– We utilize the equity method to account for investments in equity securities where we have the ability to exercise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operating and financial policies of the investee. We include a proportionate share of earnings and/or losses of equity method investees in Equity Income (Loss) in Affiliates, net which is included in Other Income (Expense), net in the Consolidated Statements of Operations.</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Goodwill represents the excess cost of an acquired business over the fair value of the identifiable tangible and intangible assets acquired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assumed in a business combination. We evaluate goodwill for impairment annually or more frequently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best estimate of future net sales and operating expenses, based primarily on estimated category expansion, pricing, market segment share and general economic conditions.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 our annual impairment test as of November 30 of each year and determined no impairment of goodwill was required for the years ended December 31, 2011 and 2009 (in 2010, we recorded a $2.8 million impairment in our Financial Service segment).</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Intangible Assets, Net – </w:t>
      </w:r>
      <w:r>
        <w:rPr>
          <w:rFonts w:ascii="Arial" w:cs="Arial" w:eastAsia="Arial" w:hAnsi="Arial"/>
          <w:sz w:val="18"/>
          <w:szCs w:val="18"/>
          <w:color w:val="auto"/>
        </w:rPr>
        <w:t>Identifiable intangible assets acquired in business combinations are recorded based on their fair values at the date of acquisition.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on a straight-line basis over their useful lives, generally ranging from 5 to 20 years.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carrying amount exceeds fair value. No impairment was recognized during the periods presented.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The fair value of financial instruments, which primarily include Cash and Cash Equivalents, Restricted Cash,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and Accounts Payable and Accrued Expenses are carried at amounts that approximate their fair value due to the short-term nature of these amounts.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Functional Currency</w:t>
      </w:r>
      <w:r>
        <w:rPr>
          <w:rFonts w:ascii="Arial" w:cs="Arial" w:eastAsia="Arial" w:hAnsi="Arial"/>
          <w:sz w:val="18"/>
          <w:szCs w:val="18"/>
          <w:color w:val="auto"/>
        </w:rPr>
        <w:t>—The currency of the primary economic environment in which our operations are conducted is the U.S. dollar. Therefore, the U.S. dollar</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determined to be our functional and reporting currency. Non-dollar transactions and balances have been measured in U.S. dollars in accordance with ASC Topic 830. All transaction gains and losses from the measurement of monetary balance sheet items denominated in non-dollar currencies are reflected in the statement of operations as income or expenses, as appropriate.</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equal to a discretionary percentage determined by us. We recorded expense of $0.1 million, $0.2 million and $0.1 million in 2011, 2010 and 2009, respectively, related to our discretionary amounts contributed.</w:t>
      </w:r>
    </w:p>
    <w:p>
      <w:pPr>
        <w:spacing w:after="0" w:line="1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Equity-based Compensation – </w:t>
      </w:r>
      <w:r>
        <w:rPr>
          <w:rFonts w:ascii="Arial" w:cs="Arial" w:eastAsia="Arial" w:hAnsi="Arial"/>
          <w:sz w:val="16"/>
          <w:szCs w:val="16"/>
          <w:color w:val="auto"/>
        </w:rPr>
        <w:t>Equity-based compensation is accounted for under the provisions of ASC Topic 718. Under ASC Topic 718,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services received in exchange for an award of equity instruments is generally measured based on the grant-date fair value of the award. Equity-based awards that do not require future service are expensed immediately. Equity-based employee awards that require future service are recognized over the relevant service period. Further, as required under ASC Topic 718, we estimate forfeitures for equity-based awards that are not expected to vest.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 Basic Net Income per Share is computed by dividing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by the weighted-average number of common stock outstanding for the period. Diluted Net Income Per Share reflects the assumed conversion of all dilutive securities.</w:t>
      </w:r>
    </w:p>
    <w:p>
      <w:pPr>
        <w:spacing w:after="0" w:line="1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We recognize revenues from the services we provide in accordance with ASC Topic 605. ASC Topic 605 sets forth guidance as to when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is realized or realizable and earned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revenues as the services are performed either on a per unit or a fixed price basis. Specific policies for each of our reportable segments are as follows:</w:t>
      </w:r>
    </w:p>
    <w:p>
      <w:pPr>
        <w:spacing w:after="0" w:line="87" w:lineRule="exact"/>
        <w:rPr>
          <w:sz w:val="20"/>
          <w:szCs w:val="20"/>
          <w:color w:val="auto"/>
        </w:rPr>
      </w:pPr>
    </w:p>
    <w:p>
      <w:pPr>
        <w:jc w:val="both"/>
        <w:ind w:left="460"/>
        <w:spacing w:after="0" w:line="253"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We recognize revenues for the majority of the services we provide in this segment on completion of the service to our customer. For</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processing services and certain property preservation services, we recognize revenue over the period during which we perform the related services, with full recognition on completion of the related foreclosure filing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 Reimbursable expenses of $80.1 million, $44.6 million and $16.1 million incurred in 2011, 2010 and 2009, respectively, primarily in conjunction with our property preservation and default processing services are included in revenues with an equal offsetting expense included in cost of revenues. These amounts are recognized on a gross basis, principally because we have complete control over selection of vendors.</w:t>
      </w:r>
    </w:p>
    <w:p>
      <w:pPr>
        <w:spacing w:after="0" w:line="118"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We generally earn our fees for asset recovery management services as a percentage of the amount we collect on delinquent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on behalf of our clients and recognize revenues upon collection from the debtors. We also provide customer relationship management services for which we earn and recognize revenues on a per-call, per-person or per minute basis as the related services are performed.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ind w:left="460"/>
        <w:spacing w:after="0" w:line="294"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For our REALSuite™, we charge based on the number of our client’s loans processed on the system or on a per-transaction basis.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 transactional revenues when the service is provided and other revenues monthly based on the number of loans processed, employees serviced or services provided. Furthermore, we provide IT infrastructure services to Ocwen and charge for these services primarily based on the number of employees that are using the applicable systems and the number and type of licensed products used by Ocwen. We record revenue associated with implementation services upon completion and maintenance ratably over the related service period.</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account for certain income and expense items differently for financial purposes and income tax purposes. We recognize deferred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expect to recover or settle those temporary differences. The effect on deferred assets and liabilities of a change in tax rates is recognized in income in the period when the change is enacted. Deferred tax assets are reduced by a valuation allowance when it is more likely than not that some portion or all the deferred tax assets will not be realized.</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TRANSACTIONS WITH RELATED PARTIES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Ocwen remains our largest customer. Following the Separation, Ocwen is contractually obligated to purchase certain Mortgage Services and Technology Services from us under service agreements. These agreements extend for eight years from the date of Separation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Ocwen, related party revenues consist of revenues earned directly from Ocwen and revenues earned from the loans serviced by Ocwen when Ocwen determines the service provider. We earn additional revenue on the loan portfolios serviced by Ocwen that are not considered related party revenues as Ocwen does not have the ability to decide the service provider. As a percentage of each of our segment revenues and as a percentage of consolidated revenues, related party revenue was as follows for the year ended December 31:</w:t>
      </w:r>
    </w:p>
    <w:p>
      <w:pPr>
        <w:spacing w:after="0" w:line="166"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For the Years Ended December 31,</w:t>
      </w:r>
    </w:p>
    <w:tbl>
      <w:tblPr>
        <w:tblLayout w:type="fixed"/>
        <w:tblInd w:w="0" w:type="dxa"/>
        <w:tblCellMar>
          <w:top w:w="0" w:type="dxa"/>
          <w:left w:w="0" w:type="dxa"/>
          <w:bottom w:w="0" w:type="dxa"/>
          <w:right w:w="0" w:type="dxa"/>
        </w:tblCellMar>
      </w:tblPr>
      <w:tr>
        <w:trPr>
          <w:trHeight w:val="142"/>
        </w:trPr>
        <w:tc>
          <w:tcPr>
            <w:tcW w:w="7940" w:type="dxa"/>
            <w:vAlign w:val="bottom"/>
            <w:gridSpan w:val="2"/>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9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 1</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&lt; 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&lt;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56"/>
        </w:trPr>
        <w:tc>
          <w:tcPr>
            <w:tcW w:w="7940" w:type="dxa"/>
            <w:vAlign w:val="bottom"/>
            <w:gridSpan w:val="2"/>
          </w:tcPr>
          <w:p>
            <w:pPr>
              <w:jc w:val="right"/>
              <w:ind w:right="2052"/>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 As of January 1, 2011, we modified our pricing for IT Infrastructure Services within our Technology Services segment from a rate card model primarily based on headcount to a fully loaded cost plus mark-up methodology.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tax, risk management, legal, strategic planning, compliance and other areas are provided to the counterparty for up to two years from the date of Separation. The agreement was subsequently extended in August 2011 for certain services for an additional year. For the years ended December 31, 2011 and 2010, Altisource billed Ocwen $2.6 million and $1.8 million, respectively, and Ocwen billed Altisource $1.9 million and $1.1 million respectively for services provided under this agreement. Amounts were immaterial in 2009. These amounts are reflected as a component of Selling, General and Administrative expenses in the Consolidated Statements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Related Expenditures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Included in Selling, General and Administrative Expenses in the accompanying Statement of Operations, we have recognized $3.4 million of Separation related expenses for the year ended December 31, 2009, primarily representing professional fees and other costs associated with establishing the Company as a stand-alone entity. Prior to the second quarter of 2009, all previous costs in connection with the Separation were recognized by Ocwen.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operations of the following acquisitions have been included in our consolidated results from the respective acquisition dates. The acquisitions did not have a material effect on our financial position, results of operations or cash flows.</w:t>
      </w:r>
    </w:p>
    <w:p>
      <w:pPr>
        <w:spacing w:after="0" w:line="105"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color w:val="auto"/>
        </w:rPr>
        <w:t xml:space="preserve">Acquisition-related transaction costs are included in Selling, General and Administrative Expenses in the Consolidated Statements of Operations. </w:t>
      </w:r>
      <w:r>
        <w:rPr>
          <w:rFonts w:ascii="Arial" w:cs="Arial" w:eastAsia="Arial" w:hAnsi="Arial"/>
          <w:sz w:val="18"/>
          <w:szCs w:val="18"/>
          <w:i w:val="1"/>
          <w:iCs w:val="1"/>
          <w:color w:val="auto"/>
        </w:rPr>
        <w:t>Springhouse and Tracmail</w:t>
      </w:r>
    </w:p>
    <w:p>
      <w:pPr>
        <w:jc w:val="both"/>
        <w:spacing w:after="0" w:line="268" w:lineRule="auto"/>
        <w:rPr>
          <w:sz w:val="20"/>
          <w:szCs w:val="20"/>
          <w:color w:val="auto"/>
        </w:rPr>
      </w:pPr>
      <w:r>
        <w:rPr>
          <w:rFonts w:ascii="Arial" w:cs="Arial" w:eastAsia="Arial" w:hAnsi="Arial"/>
          <w:sz w:val="18"/>
          <w:szCs w:val="18"/>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1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July 2011, we acquired the assembled workforce of Tracmail, a sub-contractor in India that performed asset recovery services. Prior to acquisition, the costs paid to the sub-contractor were included in Outside Fees and Services (included in Cost of Revenue in the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0" w:type="dxa"/>
            <w:vAlign w:val="bottom"/>
          </w:tcPr>
          <w:p>
            <w:pPr>
              <w:jc w:val="center"/>
              <w:ind w:left="1372"/>
              <w:spacing w:after="0"/>
              <w:rPr>
                <w:sz w:val="20"/>
                <w:szCs w:val="20"/>
                <w:color w:val="auto"/>
              </w:rPr>
            </w:pPr>
            <w:r>
              <w:rPr>
                <w:rFonts w:ascii="Arial" w:cs="Arial" w:eastAsia="Arial" w:hAnsi="Arial"/>
                <w:sz w:val="18"/>
                <w:szCs w:val="18"/>
                <w:b w:val="1"/>
                <w:bCs w:val="1"/>
                <w:color w:val="auto"/>
                <w:w w:val="97"/>
              </w:rPr>
              <w:t>ALTISOURCE PORTFOLIO SOLUTIONS S.A.</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0" w:type="dxa"/>
            <w:vAlign w:val="bottom"/>
          </w:tcPr>
          <w:p>
            <w:pPr>
              <w:jc w:val="center"/>
              <w:ind w:left="1372"/>
              <w:spacing w:after="0"/>
              <w:rPr>
                <w:sz w:val="20"/>
                <w:szCs w:val="20"/>
                <w:color w:val="auto"/>
              </w:rPr>
            </w:pPr>
            <w:r>
              <w:rPr>
                <w:rFonts w:ascii="Arial" w:cs="Arial" w:eastAsia="Arial" w:hAnsi="Arial"/>
                <w:sz w:val="18"/>
                <w:szCs w:val="18"/>
                <w:b w:val="1"/>
                <w:bCs w:val="1"/>
                <w:color w:val="auto"/>
                <w:w w:val="86"/>
              </w:rPr>
              <w:t xml:space="preserve">Notes to Consolidated Financial Statements </w:t>
            </w:r>
            <w:r>
              <w:rPr>
                <w:rFonts w:ascii="Arial" w:cs="Arial" w:eastAsia="Arial" w:hAnsi="Arial"/>
                <w:sz w:val="18"/>
                <w:szCs w:val="18"/>
                <w:b w:val="1"/>
                <w:bCs w:val="1"/>
                <w:i w:val="1"/>
                <w:iCs w:val="1"/>
                <w:color w:val="auto"/>
                <w:w w:val="86"/>
              </w:rPr>
              <w:t>(continued)</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080" w:type="dxa"/>
            <w:vAlign w:val="bottom"/>
            <w:gridSpan w:val="3"/>
          </w:tcPr>
          <w:p>
            <w:pPr>
              <w:spacing w:after="0"/>
              <w:rPr>
                <w:sz w:val="20"/>
                <w:szCs w:val="20"/>
                <w:color w:val="auto"/>
              </w:rPr>
            </w:pPr>
            <w:r>
              <w:rPr>
                <w:rFonts w:ascii="Arial" w:cs="Arial" w:eastAsia="Arial" w:hAnsi="Arial"/>
                <w:sz w:val="18"/>
                <w:szCs w:val="18"/>
                <w:color w:val="auto"/>
              </w:rPr>
              <w:t>The allocation of the purchase price for these transactions is as follows: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acquisitions:</w:t>
            </w:r>
          </w:p>
        </w:tc>
        <w:tc>
          <w:tcPr>
            <w:tcW w:w="1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08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(in Years)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Trademarks</w:t>
            </w:r>
            <w:r>
              <w:rPr>
                <w:rFonts w:ascii="Arial" w:cs="Arial" w:eastAsia="Arial" w:hAnsi="Arial"/>
                <w:sz w:val="11"/>
                <w:szCs w:val="11"/>
                <w:color w:val="auto"/>
              </w:rPr>
              <w:t>(1)</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Lists</w:t>
            </w:r>
            <w:r>
              <w:rPr>
                <w:rFonts w:ascii="Arial" w:cs="Arial" w:eastAsia="Arial" w:hAnsi="Arial"/>
                <w:sz w:val="11"/>
                <w:szCs w:val="11"/>
                <w:color w:val="auto"/>
              </w:rPr>
              <w:t>(1)</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Non-compete</w:t>
            </w:r>
            <w:r>
              <w:rPr>
                <w:rFonts w:ascii="Arial" w:cs="Arial" w:eastAsia="Arial" w:hAnsi="Arial"/>
                <w:sz w:val="11"/>
                <w:szCs w:val="11"/>
                <w:color w:val="auto"/>
              </w:rPr>
              <w:t>(1)</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1"/>
          <w:szCs w:val="11"/>
          <w:color w:val="auto"/>
        </w:rPr>
      </w:pPr>
      <w:r>
        <w:rPr>
          <w:rFonts w:ascii="Arial" w:cs="Arial" w:eastAsia="Arial" w:hAnsi="Arial"/>
          <w:sz w:val="16"/>
          <w:szCs w:val="16"/>
          <w:color w:val="auto"/>
        </w:rPr>
        <w:t>The identifiable assets are subject to amortization on a straight-line basis as this best approximates the benefit period related to these assets.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goodwill arising from the Springhouse acquisition assigned to our Mortgage Services segment relates principally to in-place workforce and our ability to go to market more quickly with a retail origination appraisal business. The goodwill arising from the Tracmail acquisition assigned to our Financial Services segment relates principally to in-place workforce. All goodwill and intangible assets related to the acquisitions are expected to be amortizable and deductible for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MPA</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2010, we acquired all of the outstanding membership interests of MPA pursuant to a Purchase and Sale Agreement. MPA serves as the manager of Lenders One, a national alliance of independent mortgage bankers. The alliance was established in 2000 and as of December 31, 2011 consisted of 214 members.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520" w:type="dxa"/>
            <w:vAlign w:val="bottom"/>
          </w:tcPr>
          <w:p>
            <w:pPr>
              <w:jc w:val="center"/>
              <w:ind w:left="52"/>
              <w:spacing w:after="0"/>
              <w:rPr>
                <w:sz w:val="20"/>
                <w:szCs w:val="20"/>
                <w:color w:val="auto"/>
              </w:rPr>
            </w:pPr>
            <w:r>
              <w:rPr>
                <w:rFonts w:ascii="Arial" w:cs="Arial" w:eastAsia="Arial" w:hAnsi="Arial"/>
                <w:sz w:val="18"/>
                <w:szCs w:val="18"/>
                <w:b w:val="1"/>
                <w:bCs w:val="1"/>
                <w:color w:val="auto"/>
                <w:w w:val="97"/>
              </w:rPr>
              <w:t>ALTISOURCE PORTFOLIO SOLUTIONS S.A.</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520" w:type="dxa"/>
            <w:vAlign w:val="bottom"/>
          </w:tcPr>
          <w:p>
            <w:pPr>
              <w:jc w:val="center"/>
              <w:ind w:left="52"/>
              <w:spacing w:after="0"/>
              <w:rPr>
                <w:sz w:val="20"/>
                <w:szCs w:val="20"/>
                <w:color w:val="auto"/>
              </w:rPr>
            </w:pPr>
            <w:r>
              <w:rPr>
                <w:rFonts w:ascii="Arial" w:cs="Arial" w:eastAsia="Arial" w:hAnsi="Arial"/>
                <w:sz w:val="18"/>
                <w:szCs w:val="18"/>
                <w:b w:val="1"/>
                <w:bCs w:val="1"/>
                <w:color w:val="auto"/>
                <w:w w:val="86"/>
              </w:rPr>
              <w:t xml:space="preserve">Notes to Consolidated Financial Statements </w:t>
            </w:r>
            <w:r>
              <w:rPr>
                <w:rFonts w:ascii="Arial" w:cs="Arial" w:eastAsia="Arial" w:hAnsi="Arial"/>
                <w:sz w:val="18"/>
                <w:szCs w:val="18"/>
                <w:b w:val="1"/>
                <w:bCs w:val="1"/>
                <w:i w:val="1"/>
                <w:iCs w:val="1"/>
                <w:color w:val="auto"/>
                <w:w w:val="86"/>
              </w:rPr>
              <w:t>(continued)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400" w:type="dxa"/>
            <w:vAlign w:val="bottom"/>
            <w:gridSpan w:val="3"/>
          </w:tcPr>
          <w:p>
            <w:pPr>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Consideration</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5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Working Capital Adjustment</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common stock consisted of 1.0 million shares of Altisource’s common stock valued at $24.92 per share based on the closing price of Altisource common stock on February 11, 2010. A portion of the stock consideration (0.3 million shares) was held in escrow two years from the closing date of the acquisition to secure MPA’s indemnification obligations under the Purchase and Sale Agreement. The escrowed shares were released in 2011. In addition, we entered into three put option agreements with certain of the sellers whereby each seller has the right, with respect to an aggregate of 0.5 million shares of our common stock, to put up to 25% of eligible shares each year for a total of four years at a price equal to $16.84 per share. All remaining put agreements expired in December 2011 due to the attainment of certain Altisource share price thresholds.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Unbilled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Receivable from Correspondent One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398"/>
        </w:trPr>
        <w:tc>
          <w:tcPr>
            <w:tcW w:w="9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at completion of the service.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60" w:type="dxa"/>
            <w:vAlign w:val="bottom"/>
          </w:tcPr>
          <w:p>
            <w:pPr>
              <w:jc w:val="center"/>
              <w:ind w:left="1212"/>
              <w:spacing w:after="0"/>
              <w:rPr>
                <w:sz w:val="20"/>
                <w:szCs w:val="20"/>
                <w:color w:val="auto"/>
              </w:rPr>
            </w:pPr>
            <w:r>
              <w:rPr>
                <w:rFonts w:ascii="Arial" w:cs="Arial" w:eastAsia="Arial" w:hAnsi="Arial"/>
                <w:sz w:val="18"/>
                <w:szCs w:val="18"/>
                <w:b w:val="1"/>
                <w:bCs w:val="1"/>
                <w:color w:val="auto"/>
                <w:w w:val="97"/>
              </w:rPr>
              <w:t>ALTISOURCE PORTFOLIO SOLUTIONS S.A.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60" w:type="dxa"/>
            <w:vAlign w:val="bottom"/>
          </w:tcPr>
          <w:p>
            <w:pPr>
              <w:jc w:val="center"/>
              <w:ind w:left="1212"/>
              <w:spacing w:after="0"/>
              <w:rPr>
                <w:sz w:val="20"/>
                <w:szCs w:val="20"/>
                <w:color w:val="auto"/>
              </w:rPr>
            </w:pPr>
            <w:r>
              <w:rPr>
                <w:rFonts w:ascii="Arial" w:cs="Arial" w:eastAsia="Arial" w:hAnsi="Arial"/>
                <w:sz w:val="18"/>
                <w:szCs w:val="18"/>
                <w:b w:val="1"/>
                <w:bCs w:val="1"/>
                <w:color w:val="auto"/>
                <w:w w:val="86"/>
              </w:rPr>
              <w:t xml:space="preserve">Notes to Consolidated Financial Statements </w:t>
            </w:r>
            <w:r>
              <w:rPr>
                <w:rFonts w:ascii="Arial" w:cs="Arial" w:eastAsia="Arial" w:hAnsi="Arial"/>
                <w:sz w:val="18"/>
                <w:szCs w:val="18"/>
                <w:b w:val="1"/>
                <w:bCs w:val="1"/>
                <w:i w:val="1"/>
                <w:iCs w:val="1"/>
                <w:color w:val="auto"/>
                <w:w w:val="86"/>
              </w:rPr>
              <w:t>(continued)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300" w:type="dxa"/>
            <w:vAlign w:val="bottom"/>
            <w:gridSpan w:val="6"/>
          </w:tcPr>
          <w:p>
            <w:pPr>
              <w:spacing w:after="0"/>
              <w:rPr>
                <w:sz w:val="20"/>
                <w:szCs w:val="20"/>
                <w:color w:val="auto"/>
              </w:rPr>
            </w:pPr>
            <w:r>
              <w:rPr>
                <w:rFonts w:ascii="Arial" w:cs="Arial" w:eastAsia="Arial" w:hAnsi="Arial"/>
                <w:sz w:val="18"/>
                <w:szCs w:val="18"/>
                <w:color w:val="auto"/>
                <w:w w:val="92"/>
              </w:rPr>
              <w:t>A summary of the allowance for doubtful accounts, net of recoveries, for the years ended December 31, 2011, 2010 and 2009 is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5,002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PREMISES AND EQUIPMENT, NET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40" w:type="dxa"/>
            <w:vAlign w:val="bottom"/>
            <w:gridSpan w:val="3"/>
          </w:tcPr>
          <w:p>
            <w:pPr>
              <w:spacing w:after="0"/>
              <w:rPr>
                <w:sz w:val="20"/>
                <w:szCs w:val="20"/>
                <w:color w:val="auto"/>
              </w:rPr>
            </w:pPr>
            <w:r>
              <w:rPr>
                <w:rFonts w:ascii="Arial" w:cs="Arial" w:eastAsia="Arial" w:hAnsi="Arial"/>
                <w:sz w:val="18"/>
                <w:szCs w:val="18"/>
                <w:color w:val="auto"/>
              </w:rPr>
              <w:t>Premises and Equipment, net which include amounts recorded under capital leases, consists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39,452</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4,299</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65,833</w:t>
            </w: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(31,882)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25,600</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jc w:val="center"/>
              <w:ind w:left="2097"/>
              <w:spacing w:after="0"/>
              <w:rPr>
                <w:sz w:val="20"/>
                <w:szCs w:val="20"/>
                <w:color w:val="auto"/>
              </w:rPr>
            </w:pPr>
            <w:r>
              <w:rPr>
                <w:rFonts w:ascii="Arial" w:cs="Arial" w:eastAsia="Arial" w:hAnsi="Arial"/>
                <w:sz w:val="18"/>
                <w:szCs w:val="18"/>
                <w:color w:val="auto"/>
                <w:w w:val="89"/>
              </w:rPr>
              <w:t>60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$8.4 million, $7.2 million and $5.4 million for 2011, 2010 and 2009, respectively, and is included in Cost of Revenue for operating assets and in Selling, General and Administrative expense for non-operating assets in the accompanying Consolidated Statements of Operations.</w:t>
      </w:r>
    </w:p>
    <w:p>
      <w:pPr>
        <w:spacing w:after="0" w:line="107" w:lineRule="exact"/>
        <w:rPr>
          <w:sz w:val="20"/>
          <w:szCs w:val="20"/>
          <w:color w:val="auto"/>
        </w:rPr>
      </w:pPr>
    </w:p>
    <w:p>
      <w:pPr>
        <w:ind w:right="7500" w:firstLine="8"/>
        <w:spacing w:after="0" w:line="410" w:lineRule="auto"/>
        <w:tabs>
          <w:tab w:leader="none" w:pos="17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 Goodwill</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Goodwill relates to the acquisitions of MPA, Springhouse, Tracmail, and the company that developed the predecessor to our REALTrans</w:t>
      </w:r>
      <w:r>
        <w:rPr>
          <w:rFonts w:ascii="Arial" w:cs="Arial" w:eastAsia="Arial" w:hAnsi="Arial"/>
          <w:sz w:val="11"/>
          <w:szCs w:val="11"/>
          <w:color w:val="auto"/>
        </w:rPr>
        <w:t>®</w:t>
      </w:r>
      <w:r>
        <w:rPr>
          <w:rFonts w:ascii="Arial" w:cs="Arial" w:eastAsia="Arial" w:hAnsi="Arial"/>
          <w:sz w:val="18"/>
          <w:szCs w:val="18"/>
          <w:color w:val="auto"/>
        </w:rPr>
        <w:t xml:space="preserve"> vendor management platform.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during the years ended December 31, 2011 and 2010 are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Technology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3"/>
              </w:rPr>
              <w:t>Services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6"/>
              <w:spacing w:after="0" w:line="148" w:lineRule="exact"/>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88"/>
              </w:rPr>
              <w:t>1,618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Acquisition of MPA</w:t>
            </w:r>
          </w:p>
        </w:tc>
        <w:tc>
          <w:tcPr>
            <w:tcW w:w="14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w w:val="83"/>
              </w:rPr>
              <w:t>10,218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5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Component 2 Amortization (a)</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Impairment Loss (b)</w:t>
            </w:r>
          </w:p>
        </w:tc>
        <w:tc>
          <w:tcPr>
            <w:tcW w:w="14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left="35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10,218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88"/>
              </w:rPr>
              <w:t>1,618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Acquisition of Springhouse</w:t>
            </w: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701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35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Tracmail</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3"/>
          </w:tcPr>
          <w:p>
            <w:pPr>
              <w:spacing w:after="0"/>
              <w:rPr>
                <w:sz w:val="20"/>
                <w:szCs w:val="20"/>
                <w:color w:val="auto"/>
              </w:rPr>
            </w:pPr>
            <w:r>
              <w:rPr>
                <w:rFonts w:ascii="Arial" w:cs="Arial" w:eastAsia="Arial" w:hAnsi="Arial"/>
                <w:sz w:val="18"/>
                <w:szCs w:val="18"/>
                <w:color w:val="auto"/>
              </w:rPr>
              <w:t>Balance, December 30, 2011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320"/>
              <w:spacing w:after="0"/>
              <w:rPr>
                <w:sz w:val="20"/>
                <w:szCs w:val="20"/>
                <w:color w:val="auto"/>
              </w:rPr>
            </w:pPr>
            <w:r>
              <w:rPr>
                <w:rFonts w:ascii="Arial" w:cs="Arial" w:eastAsia="Arial" w:hAnsi="Arial"/>
                <w:sz w:val="18"/>
                <w:szCs w:val="18"/>
                <w:color w:val="auto"/>
                <w:w w:val="83"/>
              </w:rPr>
              <w:t>10,919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36"/>
              <w:spacing w:after="0"/>
              <w:rPr>
                <w:sz w:val="20"/>
                <w:szCs w:val="20"/>
                <w:color w:val="auto"/>
              </w:rPr>
            </w:pPr>
            <w:r>
              <w:rPr>
                <w:rFonts w:ascii="Arial" w:cs="Arial" w:eastAsia="Arial" w:hAnsi="Arial"/>
                <w:sz w:val="18"/>
                <w:szCs w:val="18"/>
                <w:color w:val="auto"/>
                <w:w w:val="88"/>
              </w:rPr>
              <w:t>1,618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footnote (a) below Intangible Assets table below.</w:t>
      </w:r>
    </w:p>
    <w:p>
      <w:pPr>
        <w:spacing w:after="0" w:line="157"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the fourth quarter goodwill impairment test, management determined it was prudent to impair $2.8 million of goodwill in the Financial Services segment. This determination was made after considering quantitative and qualitative factors including past performance and execution risk.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relate to our acquisitions of MPA (see Note 4) and Nationwide Credit, Inc (“NCI</w:t>
      </w:r>
      <w:r>
        <w:rPr>
          <w:rFonts w:ascii="Arial" w:cs="Arial" w:eastAsia="Arial" w:hAnsi="Arial"/>
          <w:sz w:val="11"/>
          <w:szCs w:val="11"/>
          <w:color w:val="auto"/>
        </w:rPr>
        <w:t>®”</w:t>
      </w:r>
      <w:r>
        <w:rPr>
          <w:rFonts w:ascii="Arial" w:cs="Arial" w:eastAsia="Arial" w:hAnsi="Arial"/>
          <w:sz w:val="18"/>
          <w:szCs w:val="18"/>
          <w:color w:val="auto"/>
        </w:rPr>
        <w:t>). No impairment charges were taken during the periods presented.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during the years ended December 31, 2011 and 2010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Estimated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40" w:type="dxa"/>
            <w:vAlign w:val="bottom"/>
          </w:tcPr>
          <w:p>
            <w:pPr>
              <w:jc w:val="center"/>
              <w:ind w:left="72"/>
              <w:spacing w:after="0"/>
              <w:rPr>
                <w:sz w:val="20"/>
                <w:szCs w:val="20"/>
                <w:color w:val="auto"/>
              </w:rPr>
            </w:pPr>
            <w:r>
              <w:rPr>
                <w:rFonts w:ascii="Arial" w:cs="Arial" w:eastAsia="Arial" w:hAnsi="Arial"/>
                <w:sz w:val="14"/>
                <w:szCs w:val="14"/>
                <w:b w:val="1"/>
                <w:bCs w:val="1"/>
                <w:color w:val="auto"/>
                <w:w w:val="84"/>
              </w:rPr>
              <w:t>Useful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w w:val="94"/>
              </w:rPr>
              <w:t>Gross Carrying 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5"/>
                <w:szCs w:val="15"/>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2"/>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jc w:val="center"/>
              <w:ind w:left="72"/>
              <w:spacing w:after="0" w:line="142"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December 31,</w:t>
            </w: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80" w:type="dxa"/>
            <w:vAlign w:val="bottom"/>
            <w:gridSpan w:val="3"/>
            <w:vMerge w:val="continue"/>
          </w:tcPr>
          <w:p>
            <w:pPr>
              <w:spacing w:after="0"/>
              <w:rPr>
                <w:sz w:val="11"/>
                <w:szCs w:val="11"/>
                <w:color w:val="auto"/>
              </w:rPr>
            </w:pPr>
          </w:p>
        </w:tc>
        <w:tc>
          <w:tcPr>
            <w:tcW w:w="74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8"/>
              </w:rPr>
              <w:t>(Years)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Definite-lived Intangible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Trademarks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10,614</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3,353</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Customer Lists</w:t>
            </w:r>
          </w:p>
        </w:tc>
        <w:tc>
          <w:tcPr>
            <w:tcW w:w="7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38,366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37,700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13,010(a)</w:t>
            </w:r>
          </w:p>
        </w:tc>
        <w:tc>
          <w:tcPr>
            <w:tcW w:w="2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7,447</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25,356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30,253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Agreement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3,354</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1,604</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31,646</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Non-compete Agreement</w:t>
            </w:r>
          </w:p>
        </w:tc>
        <w:tc>
          <w:tcPr>
            <w:tcW w:w="740" w:type="dxa"/>
            <w:vAlign w:val="bottom"/>
          </w:tcPr>
          <w:p>
            <w:pPr>
              <w:spacing w:after="0"/>
              <w:rPr>
                <w:sz w:val="13"/>
                <w:szCs w:val="13"/>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613</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687</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Intangible Assets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85,280</w:t>
            </w:r>
          </w:p>
        </w:tc>
        <w:tc>
          <w:tcPr>
            <w:tcW w:w="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84,100</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11,672</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64,950</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460" w:hanging="452"/>
        <w:spacing w:after="0" w:line="28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our acquisition of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resulted in our recording periodic reductions first to our book goodwill balance in our consolidated financial statements. As our book goodwill balance was fully written off at December 31, 2010 (see Goodwill section above), we continue to amortize the remaining Component 2 goodwill for U.S. tax purposes by reducing certain intangible assets by the remaining tax benefits of the Component 2 goodwill as they are realized in our tax returns. The amount amortized was $3.4 million for the year ended December 31, 2011. The balance of Component 2 goodwill remaining was $5.7 million as of December 31, 2011 which should generate $3.5 million of reductions of intangible assets when the benefit can be realized for U.S. tax purposes.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definite lived intangible assets was $5.3 million, $4.9 million and $2.7 million for the fiscal years ended December 31, 2011, 2010 and 2009, respectively. Expected annual amortization for years 2012 through 2016, is $5.0 million, $4.8 million, $4.5 million, $4.4 million and $4.3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 IN EQUITY AFFILIATE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Correspondent One S.A. (“Correspondent One™”) facilitates the purchase of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As of December 31, 2011 we have no additional funding commitments to Correspondent One.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Correspondent One is in the initial phases of building its operations and therefore is expected to operate at a loss into 2012. The net loss on this investment using the equity method was $0.5 million for the year ended December 31, 2011. The following table presents summarized financial information for Correspondent One which had no revenues as of December 31, 2011 except for interest income as no loans were sold: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55"/>
        </w:trPr>
        <w:tc>
          <w:tcPr>
            <w:tcW w:w="92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31,2011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Non Current Assets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10. OTHER NON-CURRENT ASSETS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40" w:type="dxa"/>
            <w:vAlign w:val="bottom"/>
            <w:gridSpan w:val="3"/>
          </w:tcPr>
          <w:p>
            <w:pPr>
              <w:spacing w:after="0"/>
              <w:rPr>
                <w:sz w:val="20"/>
                <w:szCs w:val="20"/>
                <w:color w:val="auto"/>
              </w:rPr>
            </w:pPr>
            <w:r>
              <w:rPr>
                <w:rFonts w:ascii="Arial" w:cs="Arial" w:eastAsia="Arial" w:hAnsi="Arial"/>
                <w:sz w:val="18"/>
                <w:szCs w:val="18"/>
                <w:color w:val="auto"/>
              </w:rPr>
              <w:t>Other Non-Current Assets consist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7,615</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Unbilled Fees</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9,428</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ACCOUNTS PAYABLE, ACCRUED EXPENSES AND OTHER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4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9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9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Accrued Expenses—General</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18,485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44,867</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ind w:left="5620"/>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left="2580"/>
        <w:spacing w:after="0"/>
        <w:rPr>
          <w:sz w:val="20"/>
          <w:szCs w:val="20"/>
          <w:color w:val="auto"/>
        </w:rPr>
      </w:pPr>
      <w:r>
        <w:rPr>
          <w:rFonts w:ascii="Arial" w:cs="Arial" w:eastAsia="Arial" w:hAnsi="Arial"/>
          <w:sz w:val="15"/>
          <w:szCs w:val="15"/>
          <w:b w:val="1"/>
          <w:bCs w:val="1"/>
          <w:color w:val="auto"/>
        </w:rPr>
        <w:t xml:space="preserve">Notes to Consolidated Financial Statements </w:t>
      </w:r>
      <w:r>
        <w:rPr>
          <w:rFonts w:ascii="Arial" w:cs="Arial" w:eastAsia="Arial" w:hAnsi="Arial"/>
          <w:sz w:val="15"/>
          <w:szCs w:val="15"/>
          <w:b w:val="1"/>
          <w:bCs w:val="1"/>
          <w:i w:val="1"/>
          <w:iCs w:val="1"/>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0</wp:posOffset>
            </wp:positionV>
            <wp:extent cx="13290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tabs>
          <w:tab w:leader="none" w:pos="1140" w:val="left"/>
        </w:tabs>
        <w:rPr>
          <w:sz w:val="20"/>
          <w:szCs w:val="20"/>
          <w:color w:val="auto"/>
        </w:rPr>
      </w:pPr>
      <w:r>
        <w:rPr>
          <w:rFonts w:ascii="Arial" w:cs="Arial" w:eastAsia="Arial" w:hAnsi="Arial"/>
          <w:sz w:val="12"/>
          <w:szCs w:val="12"/>
          <w:b w:val="1"/>
          <w:bCs w:val="1"/>
          <w:color w:val="auto"/>
        </w:rPr>
        <w:t>2011</w:t>
      </w:r>
      <w:r>
        <w:rPr>
          <w:sz w:val="20"/>
          <w:szCs w:val="20"/>
          <w:color w:val="auto"/>
        </w:rPr>
        <w:tab/>
      </w:r>
      <w:r>
        <w:rPr>
          <w:rFonts w:ascii="Arial" w:cs="Arial" w:eastAsia="Arial" w:hAnsi="Arial"/>
          <w:sz w:val="12"/>
          <w:szCs w:val="12"/>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6985</wp:posOffset>
            </wp:positionV>
            <wp:extent cx="13290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8840" w:space="720"/>
            <w:col w:w="186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4,581</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4,459</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9,939</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Balance Sheet and in Selling, General and Administrative Expenses in the Statement of Operations) primarily consisting of lease exit costs (expected to be paid through 2014) and severance for the closure of two facilities. The following table summarizes the activity for severance and other charges, all recorded in our Financial Services segment, for the years ended December 31, 2011 and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3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95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gridSpan w:val="2"/>
          </w:tcPr>
          <w:p>
            <w:pPr>
              <w:ind w:left="42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gridSpan w:val="2"/>
          </w:tcPr>
          <w:p>
            <w:pPr>
              <w:ind w:left="420"/>
              <w:spacing w:after="0"/>
              <w:rPr>
                <w:sz w:val="20"/>
                <w:szCs w:val="20"/>
                <w:color w:val="auto"/>
              </w:rPr>
            </w:pPr>
            <w:r>
              <w:rPr>
                <w:rFonts w:ascii="Arial" w:cs="Arial" w:eastAsia="Arial" w:hAnsi="Arial"/>
                <w:sz w:val="18"/>
                <w:szCs w:val="18"/>
                <w:color w:val="auto"/>
              </w:rPr>
              <w:t>Less: Long-term Portion</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380" w:type="dxa"/>
            <w:vAlign w:val="bottom"/>
            <w:gridSpan w:val="3"/>
          </w:tcPr>
          <w:p>
            <w:pPr>
              <w:spacing w:after="0"/>
              <w:rPr>
                <w:sz w:val="20"/>
                <w:szCs w:val="20"/>
                <w:color w:val="auto"/>
              </w:rPr>
            </w:pPr>
            <w:r>
              <w:rPr>
                <w:rFonts w:ascii="Arial" w:cs="Arial" w:eastAsia="Arial" w:hAnsi="Arial"/>
                <w:sz w:val="18"/>
                <w:szCs w:val="18"/>
                <w:color w:val="auto"/>
              </w:rPr>
              <w:t>Balance, December 31, 2010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2"/>
        </w:trPr>
        <w:tc>
          <w:tcPr>
            <w:tcW w:w="10380" w:type="dxa"/>
            <w:vAlign w:val="bottom"/>
            <w:gridSpan w:val="3"/>
          </w:tcPr>
          <w:p>
            <w:pPr>
              <w:spacing w:after="0"/>
              <w:rPr>
                <w:sz w:val="20"/>
                <w:szCs w:val="20"/>
                <w:color w:val="auto"/>
              </w:rPr>
            </w:pPr>
            <w:r>
              <w:rPr>
                <w:rFonts w:ascii="Arial" w:cs="Arial" w:eastAsia="Arial" w:hAnsi="Arial"/>
                <w:sz w:val="18"/>
                <w:szCs w:val="18"/>
                <w:color w:val="auto"/>
              </w:rPr>
              <w:t>Balance, December 31, 2011</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Long-term Portion</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2"/>
        </w:trPr>
        <w:tc>
          <w:tcPr>
            <w:tcW w:w="10380" w:type="dxa"/>
            <w:vAlign w:val="bottom"/>
            <w:gridSpan w:val="3"/>
          </w:tcPr>
          <w:p>
            <w:pPr>
              <w:spacing w:after="0"/>
              <w:rPr>
                <w:sz w:val="20"/>
                <w:szCs w:val="20"/>
                <w:color w:val="auto"/>
              </w:rPr>
            </w:pPr>
            <w:r>
              <w:rPr>
                <w:rFonts w:ascii="Arial" w:cs="Arial" w:eastAsia="Arial" w:hAnsi="Arial"/>
                <w:sz w:val="18"/>
                <w:szCs w:val="18"/>
                <w:color w:val="auto"/>
              </w:rPr>
              <w:t>Facility Closure Cost Accrual, Current Portion</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p>
      <w:pPr>
        <w:spacing w:after="0" w:line="138" w:lineRule="exact"/>
        <w:rPr>
          <w:sz w:val="20"/>
          <w:szCs w:val="20"/>
          <w:color w:val="auto"/>
        </w:rPr>
      </w:pPr>
    </w:p>
    <w:p>
      <w:pPr>
        <w:ind w:right="5680" w:firstLine="8"/>
        <w:spacing w:after="0" w:line="410" w:lineRule="auto"/>
        <w:tabs>
          <w:tab w:leader="none" w:pos="26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SHARE-BASED COMPENSATION Common Stock</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has the power to issue shares of authorized but unissued common stock without further shareholder action subject to the requirements of applicable laws and stock exchanges. At December 31, 2011, we had authorized 100.0 million shares. At December 31, 2011, we had 23.4 million shares of common stock outstanding. The holders of shares of Altisource common stock are entitled to one vote for each share on all matters voted on by shareholders, and the holders of such shares will possess all voting power.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Through December 31, 2011, we purchased 2.3 million shares of our common stock on the open market at an average price of $34.55 per share, leaving 1.5 million shares still available for purchase under the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share-based awards to officers, directors, key employees and certain Ocwen employees. As of December 31, 2011, 2.3 million share-based awards were available for future grant under the Plan. The shares will be issued from authorized and unissued shares of our common stock. Expired and forfeited awards are available for re-issuance. Vesting and exercise of share-based awards are generally contingent on continued employment.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5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have issued stock-based awards in the form of stock options for certain employees and officers. We recorded total stock compensation expense of $4.0 million, $3.1 million and $0.3 million for the years ended December 31, 2011, 2010 and 2009, respectively. The total compensation expense for 2011 and 2010 includes $3.0 million and $0.5 million, respectively, related to the vesting of performance awards that vested in 2011 and 2010,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based compensation currently only consists of stock option grants that are a combination of service-based and market-based options:</w:t>
      </w:r>
    </w:p>
    <w:p>
      <w:pPr>
        <w:spacing w:after="0" w:line="16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market value on the date of grant. The options generally vest over four years with equal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cliff-vesting and expire on the earlier of 10 years after the date of grant or following termination of service. A total of 1.0 million service-based awards were outstanding at December 31, 2011.</w:t>
      </w:r>
    </w:p>
    <w:p>
      <w:pPr>
        <w:spacing w:after="0" w:line="113" w:lineRule="exact"/>
        <w:rPr>
          <w:sz w:val="20"/>
          <w:szCs w:val="20"/>
          <w:color w:val="auto"/>
        </w:rPr>
      </w:pPr>
    </w:p>
    <w:p>
      <w:pPr>
        <w:jc w:val="both"/>
        <w:ind w:left="460"/>
        <w:spacing w:after="0" w:line="290"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have two components each of which vest only upon the achievement of certain criteria. The first component,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over three years if the stock price realizes a compounded annual gain of at least 25% over the exercise price, so long as it is at least triple the exercise price. The vesting schedule for all market-based awards is 25% upon achievement of the criterion and the remaining 75% in three equal annual installments. A total of 2.2 million market-based awards were outstanding at December 31, 2011.</w:t>
      </w:r>
    </w:p>
    <w:p>
      <w:pPr>
        <w:spacing w:after="0" w:line="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granted 0.2 million stock options (at an average price of $33.15 per share) and 0.9 million stock options (at an average price of $23.58 per share) during the years ended December 31,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weighted average assumptions as of the grant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8"/>
              </w:rPr>
              <w:t>Black-Scholes</w:t>
            </w:r>
          </w:p>
        </w:tc>
        <w:tc>
          <w:tcPr>
            <w:tcW w:w="2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Binomial</w:t>
            </w:r>
          </w:p>
        </w:tc>
        <w:tc>
          <w:tcPr>
            <w:tcW w:w="2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Black-Scholes</w:t>
            </w:r>
          </w:p>
        </w:tc>
        <w:tc>
          <w:tcPr>
            <w:tcW w:w="2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Binomial</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Black-Scholes</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Binomial</w:t>
            </w:r>
          </w:p>
        </w:tc>
        <w:tc>
          <w:tcPr>
            <w:tcW w:w="200" w:type="dxa"/>
            <w:vAlign w:val="bottom"/>
            <w:tcBorders>
              <w:bottom w:val="single" w:sz="8" w:color="CCEEFF"/>
            </w:tcBorders>
          </w:tcPr>
          <w:p>
            <w:pPr>
              <w:spacing w:after="0"/>
              <w:rPr>
                <w:sz w:val="12"/>
                <w:szCs w:val="12"/>
                <w:color w:val="auto"/>
              </w:rPr>
            </w:pPr>
          </w:p>
        </w:tc>
      </w:tr>
      <w:tr>
        <w:trPr>
          <w:trHeight w:val="210"/>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 – 1.93%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 – 3.03%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 – 3.20%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 – 3.66%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 – 3.86%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55.7 – 55.8%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47 – 50%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51 – 52%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 – 46%</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980" w:type="dxa"/>
            <w:vAlign w:val="bottom"/>
            <w:gridSpan w:val="3"/>
          </w:tcPr>
          <w:p>
            <w:pPr>
              <w:jc w:val="right"/>
              <w:ind w:right="260"/>
              <w:spacing w:after="0"/>
              <w:rPr>
                <w:sz w:val="20"/>
                <w:szCs w:val="20"/>
                <w:color w:val="auto"/>
              </w:rPr>
            </w:pPr>
            <w:r>
              <w:rPr>
                <w:rFonts w:ascii="Arial" w:cs="Arial" w:eastAsia="Arial" w:hAnsi="Arial"/>
                <w:sz w:val="18"/>
                <w:szCs w:val="18"/>
                <w:color w:val="auto"/>
              </w:rPr>
              <w:t>6.25</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6.25 – 7</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Fair Value</w:t>
            </w:r>
          </w:p>
        </w:tc>
        <w:tc>
          <w:tcPr>
            <w:tcW w:w="1980" w:type="dxa"/>
            <w:vAlign w:val="bottom"/>
            <w:gridSpan w:val="3"/>
          </w:tcPr>
          <w:p>
            <w:pPr>
              <w:jc w:val="right"/>
              <w:ind w:right="260"/>
              <w:spacing w:after="0"/>
              <w:rPr>
                <w:sz w:val="20"/>
                <w:szCs w:val="20"/>
                <w:color w:val="auto"/>
              </w:rPr>
            </w:pPr>
            <w:r>
              <w:rPr>
                <w:rFonts w:ascii="Arial" w:cs="Arial" w:eastAsia="Arial" w:hAnsi="Arial"/>
                <w:sz w:val="18"/>
                <w:szCs w:val="18"/>
                <w:color w:val="auto"/>
              </w:rPr>
              <w:t>$16.33 – $17.85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$16.91 – $20.39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$11.95 – $13.24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$10.05 – $12.42</w:t>
            </w:r>
          </w:p>
        </w:tc>
        <w:tc>
          <w:tcPr>
            <w:tcW w:w="4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$4.54 – $5.33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weighted-average fair value of stock options granted, and the total intrinsic value of stock options exercised: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at Date of Grant</w:t>
            </w:r>
          </w:p>
        </w:tc>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580" w:type="dxa"/>
            <w:vAlign w:val="bottom"/>
          </w:tcPr>
          <w:p>
            <w:pPr>
              <w:ind w:left="240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4,966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580" w:type="dxa"/>
            <w:vAlign w:val="bottom"/>
            <w:shd w:val="clear" w:color="auto" w:fill="CCEEFF"/>
          </w:tcPr>
          <w:p>
            <w:pPr>
              <w:ind w:left="240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3,536</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2011, estimated unrecognized compensation costs related to share-based payments amounted to $5.8 million which we expect to recognize over a weighted-average remaining requisite service period of approximately 3.0 years.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years)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0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181,000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33.15</w:t>
            </w: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(231,908)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(156,747)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3,243,958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020" w:type="dxa"/>
            <w:vAlign w:val="bottom"/>
            <w:gridSpan w:val="2"/>
          </w:tcPr>
          <w:p>
            <w:pPr>
              <w:spacing w:after="0"/>
              <w:rPr>
                <w:sz w:val="20"/>
                <w:szCs w:val="20"/>
                <w:color w:val="auto"/>
              </w:rPr>
            </w:pPr>
            <w:r>
              <w:rPr>
                <w:rFonts w:ascii="Arial" w:cs="Arial" w:eastAsia="Arial" w:hAnsi="Arial"/>
                <w:sz w:val="18"/>
                <w:szCs w:val="18"/>
                <w:color w:val="auto"/>
              </w:rPr>
              <w:t>Exercisable at December 31, 2011</w:t>
            </w:r>
          </w:p>
        </w:tc>
        <w:tc>
          <w:tcPr>
            <w:tcW w:w="880" w:type="dxa"/>
            <w:vAlign w:val="bottom"/>
          </w:tcPr>
          <w:p>
            <w:pPr>
              <w:jc w:val="right"/>
              <w:spacing w:after="0"/>
              <w:rPr>
                <w:sz w:val="20"/>
                <w:szCs w:val="20"/>
                <w:color w:val="auto"/>
              </w:rPr>
            </w:pPr>
            <w:r>
              <w:rPr>
                <w:rFonts w:ascii="Arial" w:cs="Arial" w:eastAsia="Arial" w:hAnsi="Arial"/>
                <w:sz w:val="18"/>
                <w:szCs w:val="18"/>
                <w:color w:val="auto"/>
              </w:rPr>
              <w:t>1,787,132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Options Outstanding</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Options Exercisable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474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4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Range</w:t>
            </w:r>
          </w:p>
        </w:tc>
        <w:tc>
          <w:tcPr>
            <w:tcW w:w="94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 – $5.00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40,342</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$5.01 – $10.00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2,035,326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9.49</w:t>
            </w:r>
          </w:p>
        </w:tc>
        <w:tc>
          <w:tcPr>
            <w:tcW w:w="880" w:type="dxa"/>
            <w:vAlign w:val="bottom"/>
          </w:tcPr>
          <w:p>
            <w:pPr>
              <w:jc w:val="right"/>
              <w:spacing w:after="0"/>
              <w:rPr>
                <w:sz w:val="20"/>
                <w:szCs w:val="20"/>
                <w:color w:val="auto"/>
              </w:rPr>
            </w:pPr>
            <w:r>
              <w:rPr>
                <w:rFonts w:ascii="Arial" w:cs="Arial" w:eastAsia="Arial" w:hAnsi="Arial"/>
                <w:sz w:val="18"/>
                <w:szCs w:val="18"/>
                <w:color w:val="auto"/>
              </w:rPr>
              <w:t>1,387,416</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 $15.00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212,498</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$20.01 – $25.00</w:t>
            </w:r>
            <w:r>
              <w:rPr>
                <w:rFonts w:ascii="Arial" w:cs="Arial" w:eastAsia="Arial" w:hAnsi="Arial"/>
                <w:sz w:val="11"/>
                <w:szCs w:val="11"/>
                <w:color w:val="auto"/>
              </w:rPr>
              <w:t>(a)</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786,042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23.81</w:t>
            </w:r>
          </w:p>
        </w:tc>
        <w:tc>
          <w:tcPr>
            <w:tcW w:w="880" w:type="dxa"/>
            <w:vAlign w:val="bottom"/>
          </w:tcPr>
          <w:p>
            <w:pPr>
              <w:jc w:val="right"/>
              <w:spacing w:after="0"/>
              <w:rPr>
                <w:sz w:val="20"/>
                <w:szCs w:val="20"/>
                <w:color w:val="auto"/>
              </w:rPr>
            </w:pPr>
            <w:r>
              <w:rPr>
                <w:rFonts w:ascii="Arial" w:cs="Arial" w:eastAsia="Arial" w:hAnsi="Arial"/>
                <w:sz w:val="18"/>
                <w:szCs w:val="18"/>
                <w:color w:val="auto"/>
              </w:rPr>
              <w:t>146,876</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$30.01 – $35.00</w:t>
            </w:r>
            <w:r>
              <w:rPr>
                <w:rFonts w:ascii="Arial" w:cs="Arial" w:eastAsia="Arial" w:hAnsi="Arial"/>
                <w:sz w:val="11"/>
                <w:szCs w:val="11"/>
                <w:color w:val="auto"/>
              </w:rPr>
              <w:t>(a)</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$35.01 – $40.00</w:t>
            </w:r>
            <w:r>
              <w:rPr>
                <w:rFonts w:ascii="Arial" w:cs="Arial" w:eastAsia="Arial" w:hAnsi="Arial"/>
                <w:sz w:val="11"/>
                <w:szCs w:val="11"/>
                <w:color w:val="auto"/>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3,243,958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1,787,132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5620" w:right="3240" w:hanging="5612"/>
        <w:spacing w:after="0" w:line="387" w:lineRule="auto"/>
        <w:tabs>
          <w:tab w:leader="none" w:pos="448"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These options contain market-based components as described above. All other options are time-based awards. 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market prices necessary in order for the market performance options to begin to vest: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prices)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379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Market Based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0</wp:posOffset>
            </wp:positionV>
            <wp:extent cx="13290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ind w:left="100"/>
        <w:spacing w:after="0"/>
        <w:tabs>
          <w:tab w:leader="none" w:pos="1100" w:val="left"/>
        </w:tabs>
        <w:rPr>
          <w:sz w:val="20"/>
          <w:szCs w:val="20"/>
          <w:color w:val="auto"/>
        </w:rPr>
      </w:pPr>
      <w:r>
        <w:rPr>
          <w:rFonts w:ascii="Arial" w:cs="Arial" w:eastAsia="Arial" w:hAnsi="Arial"/>
          <w:sz w:val="12"/>
          <w:szCs w:val="12"/>
          <w:b w:val="1"/>
          <w:bCs w:val="1"/>
          <w:color w:val="auto"/>
        </w:rPr>
        <w:t>Ordinary</w:t>
      </w:r>
      <w:r>
        <w:rPr>
          <w:sz w:val="20"/>
          <w:szCs w:val="20"/>
          <w:color w:val="auto"/>
        </w:rPr>
        <w:tab/>
      </w:r>
      <w:r>
        <w:rPr>
          <w:rFonts w:ascii="Arial" w:cs="Arial" w:eastAsia="Arial" w:hAnsi="Arial"/>
          <w:sz w:val="12"/>
          <w:szCs w:val="12"/>
          <w:b w:val="1"/>
          <w:bCs w:val="1"/>
          <w:color w:val="auto"/>
        </w:rPr>
        <w:t>Extraordinary</w:t>
      </w:r>
    </w:p>
    <w:p>
      <w:pPr>
        <w:spacing w:after="0" w:line="25"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Performance</w:t>
      </w:r>
      <w:r>
        <w:rPr>
          <w:sz w:val="20"/>
          <w:szCs w:val="20"/>
          <w:color w:val="auto"/>
        </w:rPr>
        <w:tab/>
      </w:r>
      <w:r>
        <w:rPr>
          <w:rFonts w:ascii="Arial" w:cs="Arial" w:eastAsia="Arial" w:hAnsi="Arial"/>
          <w:sz w:val="12"/>
          <w:szCs w:val="12"/>
          <w:b w:val="1"/>
          <w:bCs w:val="1"/>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5715</wp:posOffset>
            </wp:positionV>
            <wp:extent cx="13290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600" w:space="720"/>
            <w:col w:w="21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$60.00 – $65.00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$65.01</w:t>
            </w:r>
          </w:p>
        </w:tc>
        <w:tc>
          <w:tcPr>
            <w:tcW w:w="8720" w:type="dxa"/>
            <w:vAlign w:val="bottom"/>
          </w:tcPr>
          <w:p>
            <w:pPr>
              <w:ind w:left="20"/>
              <w:spacing w:after="0"/>
              <w:rPr>
                <w:sz w:val="20"/>
                <w:szCs w:val="20"/>
                <w:color w:val="auto"/>
              </w:rPr>
            </w:pPr>
            <w:r>
              <w:rPr>
                <w:rFonts w:ascii="Arial" w:cs="Arial" w:eastAsia="Arial" w:hAnsi="Arial"/>
                <w:sz w:val="18"/>
                <w:szCs w:val="18"/>
                <w:color w:val="auto"/>
              </w:rPr>
              <w:t>– $70.00</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$70.01</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$75.01</w:t>
            </w:r>
          </w:p>
        </w:tc>
        <w:tc>
          <w:tcPr>
            <w:tcW w:w="8720" w:type="dxa"/>
            <w:vAlign w:val="bottom"/>
          </w:tcPr>
          <w:p>
            <w:pPr>
              <w:ind w:left="20"/>
              <w:spacing w:after="0"/>
              <w:rPr>
                <w:sz w:val="20"/>
                <w:szCs w:val="20"/>
                <w:color w:val="auto"/>
              </w:rPr>
            </w:pPr>
            <w:r>
              <w:rPr>
                <w:rFonts w:ascii="Arial" w:cs="Arial" w:eastAsia="Arial" w:hAnsi="Arial"/>
                <w:sz w:val="18"/>
                <w:szCs w:val="18"/>
                <w:color w:val="auto"/>
              </w:rPr>
              <w:t>– $95.00</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$95.01</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COST OF REVENUE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4"/>
                <w:szCs w:val="14"/>
                <w:b w:val="1"/>
                <w:bCs w:val="1"/>
                <w:color w:val="auto"/>
                <w:w w:val="86"/>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00" w:type="dxa"/>
            <w:vAlign w:val="bottom"/>
            <w:gridSpan w:val="3"/>
            <w:vMerge w:val="continue"/>
          </w:tcPr>
          <w:p>
            <w:pPr>
              <w:spacing w:after="0"/>
              <w:rPr>
                <w:sz w:val="11"/>
                <w:szCs w:val="11"/>
                <w:color w:val="auto"/>
              </w:rPr>
            </w:pPr>
          </w:p>
        </w:tc>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82,548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62,791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86,201</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60,583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82,074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47,449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18,772</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12,548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4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275,849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189,059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80" w:type="dxa"/>
            <w:vAlign w:val="bottom"/>
            <w:vMerge w:val="restart"/>
          </w:tcPr>
          <w:p>
            <w:pPr>
              <w:jc w:val="right"/>
              <w:ind w:right="2192"/>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SELLING, GENERAL AND ADMINISTRATIVE EXPENSES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for personnel employed in executive, sales, marketing, human resources and finance roles. This category also includes occupancy costs, professional fees, depreciation and amortization on non-operating assets. The components of Selling, General and Administrative Expenses were as follows for the periods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jc w:val="center"/>
              <w:ind w:left="336"/>
              <w:spacing w:after="0"/>
              <w:rPr>
                <w:sz w:val="20"/>
                <w:szCs w:val="20"/>
                <w:color w:val="auto"/>
              </w:rPr>
            </w:pPr>
            <w:r>
              <w:rPr>
                <w:rFonts w:ascii="Arial" w:cs="Arial" w:eastAsia="Arial" w:hAnsi="Arial"/>
                <w:sz w:val="14"/>
                <w:szCs w:val="14"/>
                <w:b w:val="1"/>
                <w:bCs w:val="1"/>
                <w:color w:val="auto"/>
                <w:w w:val="86"/>
              </w:rPr>
              <w:t>For the 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4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115"/>
              <w:spacing w:after="0" w:line="129"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22,327</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19,116</w:t>
            </w: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6,658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1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vMerge w:val="continue"/>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62,131</w:t>
            </w:r>
          </w:p>
        </w:tc>
        <w:tc>
          <w:tcPr>
            <w:tcW w:w="60" w:type="dxa"/>
            <w:vAlign w:val="bottom"/>
          </w:tcPr>
          <w:p>
            <w:pPr>
              <w:spacing w:after="0"/>
              <w:rPr>
                <w:sz w:val="19"/>
                <w:szCs w:val="19"/>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57,352</w:t>
            </w:r>
          </w:p>
        </w:tc>
        <w:tc>
          <w:tcPr>
            <w:tcW w:w="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Other in 2009 includes $1.4 million relating to a litigation settlement.</w:t>
            </w: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15. OTHER INCOME (EXPENSE), NET</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80" w:type="dxa"/>
            <w:vAlign w:val="bottom"/>
            <w:gridSpan w:val="3"/>
          </w:tcPr>
          <w:p>
            <w:pPr>
              <w:spacing w:after="0"/>
              <w:rPr>
                <w:sz w:val="20"/>
                <w:szCs w:val="20"/>
                <w:color w:val="auto"/>
              </w:rPr>
            </w:pPr>
            <w:r>
              <w:rPr>
                <w:rFonts w:ascii="Arial" w:cs="Arial" w:eastAsia="Arial" w:hAnsi="Arial"/>
                <w:sz w:val="18"/>
                <w:szCs w:val="18"/>
                <w:color w:val="auto"/>
              </w:rPr>
              <w:t>Other Income (Expense) consists of the following:</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For the Years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4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115"/>
              <w:spacing w:after="0" w:line="129"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1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Equity Loss in Affiliate, net</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gridSpan w:val="2"/>
            <w:vMerge w:val="continue"/>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3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the date of Separation, Interest Expense included an interest charge from Ocwen which represented an allocation of Ocwen’s total interest expense calculated based on our assets in comparison to Ocwen’s total assets. This charge was $1.3 million for the year ending December 31, 2009. Subsequent to the date of Separation, we are no longer subject to the interest charge from Ocwen.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Fair Value of Put Option relates to three put option agreements we entered into with certain of the sellers of MPA. The Put Option expired in December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Equity loss in affiliate represents our proportionate share of the earnings in Correspondent One (see Note 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net in 2009 includes $2.3 million of income relating to a litigation settlement.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provision consists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7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Domestic — Luxembourg</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 U.S. Federal</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Foreign — U.S. State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 Non U.S.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5,310</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Domestic — Luxembourg</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 U.S. Federal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Foreign — U.S. State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 Non U.S.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received a favorable ruling in June 2010 regarding the treatment of certain intangibles that exist for purposes of determining the Company’s taxable income. The ruling is retroactive to the date of Separation. As a result of the ruling, the Company recognized a $3.4 million credit attributable to 2009 in the second quarter of 2010. The impact of this is included above as a component of the current Luxembourg tax benefit. This ruling did not have a material impact on our deferred tax assets or liabilities. Income tax computed by applying the Luxembourg statutory income tax rate of 28.8% differs from income tax computed at the effective tax rate primarily because of the effect of the favorable tax ruling as well as differing tax rates in multiple jurisdictions, including losses recognized in our U.S. operations.</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left="2580"/>
        <w:spacing w:after="0"/>
        <w:rPr>
          <w:sz w:val="20"/>
          <w:szCs w:val="20"/>
          <w:color w:val="auto"/>
        </w:rPr>
      </w:pPr>
      <w:r>
        <w:rPr>
          <w:rFonts w:ascii="Arial" w:cs="Arial" w:eastAsia="Arial" w:hAnsi="Arial"/>
          <w:sz w:val="15"/>
          <w:szCs w:val="15"/>
          <w:b w:val="1"/>
          <w:bCs w:val="1"/>
          <w:color w:val="auto"/>
        </w:rPr>
        <w:t xml:space="preserve">Notes to Consolidated Financial Statements </w:t>
      </w:r>
      <w:r>
        <w:rPr>
          <w:rFonts w:ascii="Arial" w:cs="Arial" w:eastAsia="Arial" w:hAnsi="Arial"/>
          <w:sz w:val="15"/>
          <w:szCs w:val="15"/>
          <w:b w:val="1"/>
          <w:bCs w:val="1"/>
          <w:i w:val="1"/>
          <w:iCs w:val="1"/>
          <w:color w:val="auto"/>
        </w:rPr>
        <w:t>(continued)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0</wp:posOffset>
            </wp:positionV>
            <wp:extent cx="13208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tabs>
          <w:tab w:leader="none" w:pos="1140" w:val="left"/>
        </w:tabs>
        <w:rPr>
          <w:sz w:val="20"/>
          <w:szCs w:val="20"/>
          <w:color w:val="auto"/>
        </w:rPr>
      </w:pPr>
      <w:r>
        <w:rPr>
          <w:rFonts w:ascii="Arial" w:cs="Arial" w:eastAsia="Arial" w:hAnsi="Arial"/>
          <w:sz w:val="11"/>
          <w:szCs w:val="11"/>
          <w:b w:val="1"/>
          <w:bCs w:val="1"/>
          <w:color w:val="auto"/>
        </w:rPr>
        <w:t>2011</w:t>
      </w:r>
      <w:r>
        <w:rPr>
          <w:sz w:val="20"/>
          <w:szCs w:val="20"/>
          <w:color w:val="auto"/>
        </w:rPr>
        <w:tab/>
      </w: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13208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8840" w:space="720"/>
            <w:col w:w="186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Deferred Tax 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Allowance for Doubtful Accounts and Other Reserves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Current Deferred Tax Liabilities: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Deferred Tax Asset, Net:</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9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 Operating Loss Carryforwards — U.S. Federal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10,998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Operating Loss Carryforwards — U.S. State</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Deferred Tax Asset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Liabilities: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(8,014)</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Deferred Tax Asset, net</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2"/>
            <w:vMerge w:val="continue"/>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4,373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valuation allowance is provided when it is deemed more-likely-than-not that some portion or all of a deferred tax asset will not be realized. In determining whether a valuation allowance is needed, we considered estimates of future taxable income, future reversals of temporary differences, tax character and the impact of tax planning strategies that can be implemented, if warranted. As of December 31, 2011, we provided a valuation allowance of $2.2 million related to certain state operating losses. This represents an increase of $0.3 million compared to the prior year increase of $0.3 million. The increase in valuation allowance during 2011 relates to additional state losses generated in the current year.</w:t>
      </w:r>
    </w:p>
    <w:p>
      <w:pPr>
        <w:spacing w:after="0" w:line="8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these earnings have been indefinitely reinvested. The earnings relate to ongoing operations and at December 31, 2011, were $16 million.</w:t>
      </w:r>
    </w:p>
    <w:p>
      <w:pPr>
        <w:spacing w:after="0" w:line="10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As of December 31, 2011, the Company had a deferred tax asset of $13.2 million relating to U.S. Federal and State net operating losses. Of this amount, $2.2 million relating to state net operating losses were subject to a valuation allowance. The gross amount of net operating losses available for carryover to future years approximates $33 million. Of this amount, $15.9 million relates to NCI for periods prior to our acquisition and is subject to Section 382 of the Internal Revenue Code (the “Code”) which limits their use to approximately $1.3 million per year. These losses are scheduled to expire between the years 2022 and 2029.</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separation from Ocwen and relocation of certain operations to Luxembourg resulted in changes to deferred tax balances which include amounts charged to stockholders’ equity of approximately $1.0 million. For periods prior to the date of Separation, we are included in Ocwen’s tax returns. Our responsibility with respect to these periods is governed by a tax sharing agreement. In accordance with this agreement, U.S. income taxes were allocated as if they had been calculated on a separate company basis except that benefits for any net operating losses will be provided to the extent such loss is utilized in the consolidated U.S. federal tax return. The provision for income taxes prior to the date of Separation has been determined on a pro-forma basis as if we had filed separate income taxes under our current structure for the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Distribution was intended to be a tax-free transaction under Section 355 of the Code. However, Ocwen recognized, and paid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the expected tax treatments not be upheld upon review or audit to the extent related to our operating results. The Company does not anticipate a material obligation under this indemnity.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Income Tax Provision to the Luxembourg income tax rate: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7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87"/>
              </w:rPr>
              <w:t>For the Years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(19.27)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Tax Adjustment for Retroactive Ruling</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Valuation Allowances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Indefinite Deferral on Earnings of Non - U.S Luxembourg Affiliates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Based on this review, no reserves for uncertain income tax positions were required to have been recorded pursuant to ASC Topic 740. In addition, we determined that we did not need to record a cumulative effect adjustment related to the adoption of ASC Topic 740.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recognize accrued interest and penalties related to uncertain tax positions in Selling, General and Administrative Expenses in the Statements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and 2010, we did not have a liability recorded for payment of interest and penalties associated with uncertain tax positions.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stockholders by the weighted average number of common shares outstanding for the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dilutive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for the years ended December 31, 2011, 2010 and 2009 are calculated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5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49,271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25,083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Dilutive Effect of Stock Options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1,176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Dilutive Effect of Restricted Shares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3"/>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gridSpan w:val="2"/>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total of 0.1 million options that were anti-dilutive have been excluded from the computation of diluted EPS for each of the years ended December 31, 2011 and 2010 (negligible amount for 2009). These options were anti-dilutive because their exercise price was greater than the average market price of our stock. Also excluded from the computation of diluted EPS are 0.3 million options for December 31, 2011, and 0.7 million options for each of 2010 and 2009 respectively, granted for shares that are issuable upon the achievement of certain market and performance criteria related to our stock price and an annualized rate of return to investors that have not been met at this point.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45" w:lineRule="exact"/>
        <w:rPr>
          <w:sz w:val="20"/>
          <w:szCs w:val="20"/>
          <w:color w:val="auto"/>
        </w:rPr>
      </w:pPr>
    </w:p>
    <w:p>
      <w:pPr>
        <w:ind w:right="7780" w:firstLine="8"/>
        <w:spacing w:after="0" w:line="410" w:lineRule="auto"/>
        <w:tabs>
          <w:tab w:leader="none" w:pos="26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lease certain premises and equipment under various capital and operating lease agreements. Future minimum lease payments at December 31, 2011 under non-cancelable capital and operating leases with an original term exceeding one year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Capital Lease</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Operating Lease</w:t>
            </w:r>
          </w:p>
        </w:tc>
        <w:tc>
          <w:tcPr>
            <w:tcW w:w="0" w:type="dxa"/>
            <w:vAlign w:val="bottom"/>
          </w:tcPr>
          <w:p>
            <w:pPr>
              <w:spacing w:after="0"/>
              <w:rPr>
                <w:sz w:val="1"/>
                <w:szCs w:val="1"/>
                <w:color w:val="auto"/>
              </w:rPr>
            </w:pPr>
          </w:p>
        </w:tc>
      </w:tr>
      <w:tr>
        <w:trPr>
          <w:trHeight w:val="155"/>
        </w:trPr>
        <w:tc>
          <w:tcPr>
            <w:tcW w:w="6520" w:type="dxa"/>
            <w:vAlign w:val="bottom"/>
            <w:gridSpan w:val="3"/>
            <w:vMerge w:val="continue"/>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8"/>
              </w:rPr>
              <w:t>Obligations</w:t>
            </w:r>
          </w:p>
        </w:tc>
        <w:tc>
          <w:tcPr>
            <w:tcW w:w="120" w:type="dxa"/>
            <w:vAlign w:val="bottom"/>
          </w:tcPr>
          <w:p>
            <w:pPr>
              <w:spacing w:after="0"/>
              <w:rPr>
                <w:sz w:val="13"/>
                <w:szCs w:val="13"/>
                <w:color w:val="auto"/>
              </w:rPr>
            </w:pPr>
          </w:p>
        </w:tc>
        <w:tc>
          <w:tcPr>
            <w:tcW w:w="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2013</w:t>
            </w:r>
          </w:p>
        </w:tc>
        <w:tc>
          <w:tcPr>
            <w:tcW w:w="5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2015</w:t>
            </w:r>
          </w:p>
        </w:tc>
        <w:tc>
          <w:tcPr>
            <w:tcW w:w="5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20" w:type="dxa"/>
            <w:vAlign w:val="bottom"/>
            <w:gridSpan w:val="3"/>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Less: Current Portion Under Capital Lease Obligation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Under Capital Lease Obligation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Total operating lease expense, net of sublease income, was $10.8 million, $7.8 million and $4.2 million for the years ended December 31, 2011, 2010, and 2009, respectively. The operating leases generally relate to office locations and reflect customary lease terms which range from 1 to 7 years in duration.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hold customers’ assets in escrow at various financial institutions pending completion of certain real estate and debt collection activities. These amounts are held in escrow for limited periods of time, generally consisting of a few days. To the extent these assets are not co-mingled with our fees and are maintained in segregated bank accounts, they are generally not included in the Consolidated Balance Sheets, the balance of which is $17.7 million at December 31,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 customer relationship management.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consists of modular, comprehensive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integrated technological solutions for loan servicing, vendor management and invoice presentment and payment as well as providing infrastructure support. 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and this segment also includes costs recognized by us related to corporate support functions such as executive, finance, legal, human resources, vendor management and six sigma. Prior to the date of Separation, this segment included expenditures recognized by us related to the Separation.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6"/>
              </w:rPr>
              <w:t>For the Year Ended December 31, 2011</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44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w w:val="97"/>
              </w:rPr>
              <w:t>Services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3"/>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51,096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36,874</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(14,156)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15,634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26,352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(27,705)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44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gridSpan w:val="3"/>
            <w:vMerge w:val="continue"/>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7"/>
              </w:rPr>
              <w:t>For the Year Ended December 31, 2010</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44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7"/>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187,133</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56,575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28,909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(14,116)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20,739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17,910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(19,179)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56,505</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44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135,655</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87"/>
              </w:rPr>
              <w:t>For the Year Ended December 31, 2009</w:t>
            </w: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w w:val="88"/>
              </w:rPr>
              <w:t>Mortgage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Financial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Technology</w:t>
            </w: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Items and</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444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87,801</w:t>
            </w:r>
          </w:p>
        </w:tc>
        <w:tc>
          <w:tcPr>
            <w:tcW w:w="38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79,731</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(11,286)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44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3"/>
            <w:vMerge w:val="continue"/>
          </w:tcPr>
          <w:p>
            <w:pPr>
              <w:spacing w:after="0"/>
              <w:rPr>
                <w:sz w:val="18"/>
                <w:szCs w:val="18"/>
                <w:color w:val="auto"/>
              </w:rPr>
            </w:pPr>
          </w:p>
        </w:tc>
        <w:tc>
          <w:tcPr>
            <w:tcW w:w="15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2,712</w:t>
            </w:r>
          </w:p>
        </w:tc>
        <w:tc>
          <w:tcPr>
            <w:tcW w:w="3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Mortgage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Financial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3"/>
              </w:rPr>
              <w:t>Technology</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Items and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55"/>
        </w:trPr>
        <w:tc>
          <w:tcPr>
            <w:tcW w:w="57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w w:val="93"/>
              </w:rPr>
              <w:t>Services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40"/>
              <w:spacing w:after="0" w:line="148" w:lineRule="exact"/>
              <w:rPr>
                <w:sz w:val="20"/>
                <w:szCs w:val="20"/>
                <w:color w:val="auto"/>
              </w:rPr>
            </w:pPr>
            <w:r>
              <w:rPr>
                <w:rFonts w:ascii="Arial" w:cs="Arial" w:eastAsia="Arial" w:hAnsi="Arial"/>
                <w:sz w:val="14"/>
                <w:szCs w:val="14"/>
                <w:b w:val="1"/>
                <w:bCs w:val="1"/>
                <w:color w:val="auto"/>
                <w:w w:val="93"/>
              </w:rPr>
              <w:t>Services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3"/>
                <w:szCs w:val="13"/>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Eliminations</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December 31, 2011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112,780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41,276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32,279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37,824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vMerge w:val="restart"/>
          </w:tcPr>
          <w:p>
            <w:pPr>
              <w:ind w:left="420"/>
              <w:spacing w:after="0"/>
              <w:rPr>
                <w:sz w:val="20"/>
                <w:szCs w:val="20"/>
                <w:color w:val="auto"/>
              </w:rPr>
            </w:pPr>
            <w:r>
              <w:rPr>
                <w:rFonts w:ascii="Arial" w:cs="Arial" w:eastAsia="Arial" w:hAnsi="Arial"/>
                <w:sz w:val="18"/>
                <w:szCs w:val="18"/>
                <w:color w:val="auto"/>
              </w:rPr>
              <w:t>December 31, 2009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51,579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15,677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45,041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2011 and 2010.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Unaudited quarterly results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7"/>
              </w:rPr>
              <w:t>2011 Quarter Ended</w:t>
            </w:r>
            <w:r>
              <w:rPr>
                <w:rFonts w:ascii="Arial" w:cs="Arial" w:eastAsia="Arial" w:hAnsi="Arial"/>
                <w:sz w:val="22"/>
                <w:szCs w:val="22"/>
                <w:b w:val="1"/>
                <w:bCs w:val="1"/>
                <w:color w:val="auto"/>
                <w:w w:val="97"/>
                <w:vertAlign w:val="superscript"/>
              </w:rPr>
              <w:t>(1)</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11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1"/>
                <w:szCs w:val="11"/>
                <w:color w:val="auto"/>
              </w:rPr>
            </w:pPr>
          </w:p>
        </w:tc>
        <w:tc>
          <w:tcPr>
            <w:tcW w:w="10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1"/>
                <w:szCs w:val="11"/>
                <w:color w:val="auto"/>
              </w:rPr>
            </w:pPr>
          </w:p>
        </w:tc>
        <w:tc>
          <w:tcPr>
            <w:tcW w:w="8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131,956</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36,454</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30,171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20,805</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16,537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18,962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17,171</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13,385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9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24,341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25,489</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25,773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3"/>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20" w:type="dxa"/>
            <w:vAlign w:val="bottom"/>
          </w:tcPr>
          <w:p>
            <w:pPr>
              <w:jc w:val="right"/>
              <w:ind w:right="1012"/>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7"/>
              </w:rPr>
              <w:t>2010 Quarter Ended</w:t>
            </w:r>
            <w:r>
              <w:rPr>
                <w:rFonts w:ascii="Arial" w:cs="Arial" w:eastAsia="Arial" w:hAnsi="Arial"/>
                <w:sz w:val="22"/>
                <w:szCs w:val="22"/>
                <w:b w:val="1"/>
                <w:bCs w:val="1"/>
                <w:color w:val="auto"/>
                <w:w w:val="97"/>
                <w:vertAlign w:val="superscript"/>
              </w:rPr>
              <w:t>(1)</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82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11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1"/>
                <w:szCs w:val="11"/>
                <w:color w:val="auto"/>
              </w:rPr>
            </w:pPr>
          </w:p>
        </w:tc>
        <w:tc>
          <w:tcPr>
            <w:tcW w:w="102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1"/>
                <w:szCs w:val="11"/>
                <w:color w:val="auto"/>
              </w:rPr>
            </w:pPr>
          </w:p>
        </w:tc>
        <w:tc>
          <w:tcPr>
            <w:tcW w:w="8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91,477</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28,667</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26,973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14,635</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14,537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11,884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17,644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9,832</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16,347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3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0.67</w:t>
            </w: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26,544</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26,247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quarterly amounts, including per share amounts, may not equal amounts reported for year- to-date periods. This is due to the effects of rounding and changes in the number of weighted- average shares outstanding for each period.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carried out an evaluation required by the 1934 Act, under the supervision and with the participation of our principal executive officer and principal financial officer, of the effectiveness of the design and operation of our disclosure controls and procedures, as defined in Rule 13a-15(e) of the 1934 Act, as of December 31, 2011. Based on this evaluation, our principal executive officer and principal financial officer concluded that, as of December 31, 2011,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2011 based on criteria established in Internal Control—Integrated Framework issued by the Committee of Sponsoring Organizations of the Treadway Commission. As a result of this assessment, management concluded that, as of December 31, 2011, our internal control over financial reporting was effective in providing reasonable assurance regarding the reliability of financial reporting and the preparation of financial statements for external purposes in accordance with generally accepted accounting principles. Deloitte &amp; Touche LLP has independently assessed the effectiveness of our internal control over financial reporting and its report is included herein.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2011 that materially affected, or are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Controls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12"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pursuant to Regulation 14A under the Exchange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58" w:lineRule="exact"/>
        <w:rPr>
          <w:sz w:val="20"/>
          <w:szCs w:val="20"/>
          <w:color w:val="auto"/>
        </w:rPr>
      </w:pPr>
    </w:p>
    <w:p>
      <w:pPr>
        <w:ind w:left="460" w:right="9480" w:hanging="452"/>
        <w:spacing w:after="0" w:line="497" w:lineRule="auto"/>
        <w:tabs>
          <w:tab w:leader="none" w:pos="449"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See Item 8 above.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4"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Schedules for which provision is made in the applicable accounting regulations of the SEC are not required under the related instructions or are not applicable, and therefore have been omitted.</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8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3"/>
          </w:tcPr>
          <w:p>
            <w:pPr>
              <w:ind w:left="460"/>
              <w:spacing w:after="0"/>
              <w:rPr>
                <w:sz w:val="20"/>
                <w:szCs w:val="20"/>
                <w:color w:val="auto"/>
              </w:rPr>
            </w:pPr>
            <w:r>
              <w:rPr>
                <w:rFonts w:ascii="Arial" w:cs="Arial" w:eastAsia="Arial" w:hAnsi="Arial"/>
                <w:sz w:val="14"/>
                <w:szCs w:val="14"/>
                <w:b w:val="1"/>
                <w:bCs w:val="1"/>
                <w:color w:val="auto"/>
              </w:rPr>
              <w:t>Exhibit Description</w:t>
            </w:r>
          </w:p>
        </w:tc>
      </w:tr>
      <w:tr>
        <w:trPr>
          <w:trHeight w:val="27"/>
        </w:trPr>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9280" w:type="dxa"/>
            <w:vAlign w:val="bottom"/>
          </w:tcPr>
          <w:p>
            <w:pPr>
              <w:spacing w:after="0"/>
              <w:rPr>
                <w:sz w:val="2"/>
                <w:szCs w:val="2"/>
                <w:color w:val="auto"/>
              </w:rPr>
            </w:pPr>
          </w:p>
        </w:tc>
      </w:tr>
      <w:tr>
        <w:trPr>
          <w:trHeight w:val="383"/>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Form of Separation Agreement between Altisource Portfolio Solutions S.A. and Ocwen Financial Corporation (incorporated by reference to Exhibit</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2.1 of the Registrant’s Form 10-12B/A – Amendment No. 1 to Form 10, as filed with the Commission on June 29,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4"/>
              </w:rPr>
              <w:t>Articles of Incorporation of Altisource Portfolio Solutions S.A. (incorporated by reference to Exhibit 2.1 of the Registrant’s Form 10-12B/A –</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Amendment No. 1 to Form 10, as filed with the Commission on June 29,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5"/>
              </w:rPr>
              <w:t>Separation Agreement, dated as of August 10, 2009, by and between Altisource Portfolio Solutions S.A. and Ocwen Financial Corporation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(incorporated by reference to Exhibit 10.1 of the Registrant’s Current Report on Form 8-K, as filed with the Commission on August 13,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2"/>
              </w:rPr>
              <w:t>Tax Matters Agreement, dated as of August 10, 2009, between Altisource Solutions S.à r.l. and Ocwen Financial Corporation (incorporated by</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reference to Exhibit 10.2 of the Registrant’s Current Report on Form 8-K, as filed with the Commission on August 13,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8"/>
              </w:rPr>
              <w:t>Employee Matters Agreement, dated as of August 10, 2009, between Altisource Solutions S.à r.l. and Ocwen Financial Corporation (incorporated by</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reference to Exhibit 10.4 of the Registrant’s Current Report on Form 8-K, as filed with the Commission on August 13,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1"/>
              </w:rPr>
              <w:t>Technology Products Services Agreement, dated as of August 10, 2009, between Altisource Solutions S.à r.l. and Ocwen Financial Corporation</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(incorporated by reference to Exhibit 10.5 of the Registrant’s Current Report on Form 8-K, as filed with the Commission on August 13,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8"/>
              </w:rPr>
              <w:t>Services Agreement, dated as of August 10, 2009, between Altisource Solutions S.à r.l. and Ocwen Financial Corporation (incorporated by reference</w:t>
            </w:r>
          </w:p>
        </w:tc>
      </w:tr>
      <w:tr>
        <w:trPr>
          <w:trHeight w:val="222"/>
        </w:trPr>
        <w:tc>
          <w:tcPr>
            <w:tcW w:w="50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to Exhibit 10.6 of the Registrant’s Current Report on Form 8-K, as filed with the Commission on August 13, 2009)</w:t>
            </w:r>
          </w:p>
        </w:tc>
      </w:tr>
      <w:tr>
        <w:trPr>
          <w:trHeight w:val="385"/>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0"/>
              </w:rPr>
              <w:t>Data Center and Disaster Recovery Services Agreement, dated as of August 10, 2009, between Altisource Solutions S.à r.l. and Ocwen Financial</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Corporation (incorporated by reference to Exhibit 10.7 of the Registrant’s Current Report on Form 8-K, as filed with the Commission on August 13,</w:t>
            </w:r>
          </w:p>
        </w:tc>
      </w:tr>
      <w:tr>
        <w:trPr>
          <w:trHeight w:val="222"/>
        </w:trPr>
        <w:tc>
          <w:tcPr>
            <w:tcW w:w="500" w:type="dxa"/>
            <w:vAlign w:val="bottom"/>
          </w:tcPr>
          <w:p>
            <w:pPr>
              <w:spacing w:after="0"/>
              <w:rPr>
                <w:sz w:val="19"/>
                <w:szCs w:val="19"/>
                <w:color w:val="auto"/>
              </w:rPr>
            </w:pP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2009)</w:t>
            </w:r>
          </w:p>
        </w:tc>
        <w:tc>
          <w:tcPr>
            <w:tcW w:w="928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10920" w:type="dxa"/>
            <w:vAlign w:val="bottom"/>
            <w:gridSpan w:val="3"/>
          </w:tcPr>
          <w:p>
            <w:pPr>
              <w:ind w:left="512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16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800" w:type="dxa"/>
            <w:vAlign w:val="bottom"/>
            <w:gridSpan w:val="3"/>
          </w:tcPr>
          <w:p>
            <w:pPr>
              <w:ind w:left="460"/>
              <w:spacing w:after="0"/>
              <w:rPr>
                <w:sz w:val="20"/>
                <w:szCs w:val="20"/>
                <w:color w:val="auto"/>
              </w:rPr>
            </w:pPr>
            <w:r>
              <w:rPr>
                <w:rFonts w:ascii="Arial" w:cs="Arial" w:eastAsia="Arial" w:hAnsi="Arial"/>
                <w:sz w:val="14"/>
                <w:szCs w:val="14"/>
                <w:b w:val="1"/>
                <w:bCs w:val="1"/>
                <w:color w:val="auto"/>
              </w:rPr>
              <w:t>Exhibit Description</w:t>
            </w:r>
          </w:p>
        </w:tc>
      </w:tr>
      <w:tr>
        <w:trPr>
          <w:trHeight w:val="27"/>
        </w:trPr>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9160" w:type="dxa"/>
            <w:vAlign w:val="bottom"/>
          </w:tcPr>
          <w:p>
            <w:pPr>
              <w:spacing w:after="0"/>
              <w:rPr>
                <w:sz w:val="2"/>
                <w:szCs w:val="2"/>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2"/>
              </w:rPr>
              <w:t>Intellectual Property Agreement, dated as of August 10, 2009, by and between Altisource Solutions S.à r.l. and Ocwen Financial Corporation</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2"/>
              </w:rPr>
              <w:t>(incorporated by reference to Exhibit 10.8 of the Registrant’s Current Report on Form 8-K, as filed with the Commission on August 13,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3"/>
              </w:rPr>
              <w:t>Form of Altisource Portfolio Solutions S.A. 2009 Equity Incentive Plan (incorporated by reference to Exhibit 10.8 of Amendment No. 1 to the</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Registration Statement on Form 10, as filed with the Commission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5"/>
              </w:rPr>
              <w:t>Employment Agreement by and between Altisource Solutions S.à r.l. and William B. Shepro (incorporated by reference to Exhibit 10.9 of</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3"/>
              </w:rPr>
              <w:t>10.10</w:t>
            </w:r>
            <w:r>
              <w:rPr>
                <w:rFonts w:ascii="Arial" w:cs="Arial" w:eastAsia="Arial" w:hAnsi="Arial"/>
                <w:sz w:val="11"/>
                <w:szCs w:val="11"/>
                <w:color w:val="auto"/>
                <w:w w:val="93"/>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5"/>
              </w:rPr>
              <w:t>Employment Agreement by and between Altisource Solutions S.à r.l. and Robert D. Stiles (incorporated by reference to Exhibit 10.10 of</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3"/>
              </w:rPr>
              <w:t>10.11</w:t>
            </w:r>
            <w:r>
              <w:rPr>
                <w:rFonts w:ascii="Arial" w:cs="Arial" w:eastAsia="Arial" w:hAnsi="Arial"/>
                <w:sz w:val="11"/>
                <w:szCs w:val="11"/>
                <w:color w:val="auto"/>
                <w:w w:val="93"/>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6"/>
              </w:rPr>
              <w:t>Employment Agreement by and between Altisource Solutions S.à r.l. and Kevin J. Wilcox (incorporated by reference to Exhibit 10.11 of</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88"/>
              </w:rPr>
              <w:t>Purchase and Sale Agreement, dated as of February 12, 2010, by and among Altisource Portfolio Solutions S.A., and the Equity Interest Holders of</w:t>
            </w:r>
          </w:p>
        </w:tc>
      </w:tr>
      <w:tr>
        <w:trPr>
          <w:trHeight w:val="216"/>
        </w:trPr>
        <w:tc>
          <w:tcPr>
            <w:tcW w:w="500" w:type="dxa"/>
            <w:vAlign w:val="bottom"/>
          </w:tcPr>
          <w:p>
            <w:pPr>
              <w:spacing w:after="0"/>
              <w:rPr>
                <w:sz w:val="18"/>
                <w:szCs w:val="18"/>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89"/>
              </w:rPr>
              <w:t>The Mortgage Partnership of America, L.L.C. and the Management Owners (incorporated by reference to Exhibit 10.12 of the Company’s 10-K as</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filed with the Commission on March 17,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3"/>
              </w:rPr>
              <w:t>10.13</w:t>
            </w:r>
            <w:r>
              <w:rPr>
                <w:rFonts w:ascii="Arial" w:cs="Arial" w:eastAsia="Arial" w:hAnsi="Arial"/>
                <w:sz w:val="11"/>
                <w:szCs w:val="11"/>
                <w:color w:val="auto"/>
                <w:w w:val="93"/>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1"/>
              </w:rPr>
              <w:t>Form of Put Option Agreements (incorporated by reference to Exhibit 10.13 of the Company’s 10-K as filed with the Commission on March 17,</w:t>
            </w:r>
          </w:p>
        </w:tc>
      </w:tr>
      <w:tr>
        <w:trPr>
          <w:trHeight w:val="222"/>
        </w:trPr>
        <w:tc>
          <w:tcPr>
            <w:tcW w:w="500" w:type="dxa"/>
            <w:vAlign w:val="bottom"/>
          </w:tcPr>
          <w:p>
            <w:pPr>
              <w:spacing w:after="0"/>
              <w:rPr>
                <w:sz w:val="19"/>
                <w:szCs w:val="19"/>
                <w:color w:val="auto"/>
              </w:rPr>
            </w:pP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2010)</w:t>
            </w:r>
          </w:p>
        </w:tc>
        <w:tc>
          <w:tcPr>
            <w:tcW w:w="91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3"/>
              </w:rPr>
              <w:t>10.14</w:t>
            </w:r>
            <w:r>
              <w:rPr>
                <w:rFonts w:ascii="Arial" w:cs="Arial" w:eastAsia="Arial" w:hAnsi="Arial"/>
                <w:sz w:val="11"/>
                <w:szCs w:val="11"/>
                <w:color w:val="auto"/>
                <w:w w:val="93"/>
              </w:rPr>
              <w:t>†</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2"/>
              </w:rPr>
              <w:t>Form of Non-qualified Stock Option Agreement, pursuant to the 2009 Equity Incentive Plan (incorporated by reference to Exhibit 10.14 of the</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Company’s 10-K as filed with the Commission on February 18,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88"/>
              </w:rPr>
              <w:t>First Amendment to the Transition Services Agreement, dated as of August 10, 2011, by and between Ocwen Financial Corporation and Altisource</w:t>
            </w:r>
          </w:p>
        </w:tc>
      </w:tr>
      <w:tr>
        <w:trPr>
          <w:trHeight w:val="222"/>
        </w:trPr>
        <w:tc>
          <w:tcPr>
            <w:tcW w:w="500" w:type="dxa"/>
            <w:vAlign w:val="bottom"/>
          </w:tcPr>
          <w:p>
            <w:pPr>
              <w:spacing w:after="0"/>
              <w:rPr>
                <w:sz w:val="19"/>
                <w:szCs w:val="19"/>
                <w:color w:val="auto"/>
              </w:rPr>
            </w:pP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8"/>
              </w:rPr>
              <w:t>Solutions S.à r.l. (incorporated by reference to Exhibit 10.1 of the Company’s 8-K, as filed with the Commission on August 16, 2011)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 Section 906 of the Sarbanes-Oxley Act of</w:t>
            </w:r>
          </w:p>
        </w:tc>
      </w:tr>
      <w:tr>
        <w:trPr>
          <w:trHeight w:val="222"/>
        </w:trPr>
        <w:tc>
          <w:tcPr>
            <w:tcW w:w="500" w:type="dxa"/>
            <w:vAlign w:val="bottom"/>
          </w:tcPr>
          <w:p>
            <w:pPr>
              <w:spacing w:after="0"/>
              <w:rPr>
                <w:sz w:val="19"/>
                <w:szCs w:val="19"/>
                <w:color w:val="auto"/>
              </w:rPr>
            </w:pP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2002.</w:t>
            </w:r>
          </w:p>
        </w:tc>
        <w:tc>
          <w:tcPr>
            <w:tcW w:w="91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0800" w:type="dxa"/>
            <w:vAlign w:val="bottom"/>
            <w:gridSpan w:val="3"/>
          </w:tcPr>
          <w:p>
            <w:pPr>
              <w:ind w:left="460"/>
              <w:spacing w:after="0"/>
              <w:rPr>
                <w:sz w:val="20"/>
                <w:szCs w:val="20"/>
                <w:color w:val="auto"/>
              </w:rPr>
            </w:pPr>
            <w:r>
              <w:rPr>
                <w:rFonts w:ascii="Arial" w:cs="Arial" w:eastAsia="Arial" w:hAnsi="Arial"/>
                <w:sz w:val="18"/>
                <w:szCs w:val="18"/>
                <w:color w:val="auto"/>
                <w:w w:val="90"/>
              </w:rPr>
              <w:t>Certification of the Chief Financial Officer pursuant to 18 U.S.C. Section 1350, as adopted pursuant to Section 906 of the Sarbanes-Oxley Act of</w:t>
            </w:r>
          </w:p>
        </w:tc>
      </w:tr>
      <w:tr>
        <w:trPr>
          <w:trHeight w:val="222"/>
        </w:trPr>
        <w:tc>
          <w:tcPr>
            <w:tcW w:w="500" w:type="dxa"/>
            <w:vAlign w:val="bottom"/>
          </w:tcPr>
          <w:p>
            <w:pPr>
              <w:spacing w:after="0"/>
              <w:rPr>
                <w:sz w:val="19"/>
                <w:szCs w:val="19"/>
                <w:color w:val="auto"/>
              </w:rPr>
            </w:pP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2002.</w:t>
            </w:r>
          </w:p>
        </w:tc>
        <w:tc>
          <w:tcPr>
            <w:tcW w:w="9160" w:type="dxa"/>
            <w:vAlign w:val="bottom"/>
          </w:tcPr>
          <w:p>
            <w:pPr>
              <w:spacing w:after="0"/>
              <w:rPr>
                <w:sz w:val="19"/>
                <w:szCs w:val="19"/>
                <w:color w:val="auto"/>
              </w:rPr>
            </w:pPr>
          </w:p>
        </w:tc>
      </w:tr>
    </w:tbl>
    <w:p>
      <w:pPr>
        <w:spacing w:after="0" w:line="102" w:lineRule="exact"/>
        <w:rPr>
          <w:sz w:val="20"/>
          <w:szCs w:val="20"/>
          <w:color w:val="auto"/>
        </w:rPr>
      </w:pPr>
    </w:p>
    <w:p>
      <w:pPr>
        <w:ind w:left="960" w:hanging="952"/>
        <w:spacing w:after="0" w:line="290"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Rule 405 of Regulation S-T, the following financial information from the Company's Annual Report on Form 10-K for the period ended December 31, 2011, is formatted in XBRL interactive data files: (i) Consolidated Statement of Operations for each of the years in the three-year period ended December 31, 2011; (ii) Consolidated Balance Sheet at December 31, 2011, and December 31, 2010; (iii) Consolidated Statement of Changes in Stockholders’ Equity and Invested Equity for each of the years in the three-year period ended December 31, 2011; (iv) Consolidated Statement of Cash Flows for each of the years in the three-year period ended December 31, 2011; and (v) Notes to Financial Statements (as provided in Rule 406T of Regulation S-T, this information is furnished and not filed for purposes of Sections 11 and 12 of the Securities Act of 1933 and Section 18 of the Securities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Altisource Portfolio Solutions S.A.</w:t>
      </w:r>
    </w:p>
    <w:p>
      <w:pPr>
        <w:spacing w:after="0" w:line="19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10795</wp:posOffset>
            </wp:positionV>
            <wp:extent cx="3627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William B. Shepro</w:t>
      </w:r>
    </w:p>
    <w:p>
      <w:pPr>
        <w:spacing w:after="0" w:line="15" w:lineRule="exact"/>
        <w:rPr>
          <w:sz w:val="20"/>
          <w:szCs w:val="20"/>
          <w:color w:val="auto"/>
        </w:rPr>
      </w:pPr>
    </w:p>
    <w:p>
      <w:pPr>
        <w:jc w:val="center"/>
        <w:ind w:left="5700"/>
        <w:spacing w:after="0"/>
        <w:tabs>
          <w:tab w:leader="none" w:pos="180" w:val="left"/>
        </w:tabs>
        <w:rPr>
          <w:sz w:val="20"/>
          <w:szCs w:val="20"/>
          <w:color w:val="auto"/>
        </w:rPr>
      </w:pPr>
      <w:r>
        <w:rPr>
          <w:rFonts w:ascii="Arial" w:cs="Arial" w:eastAsia="Arial" w:hAnsi="Arial"/>
          <w:sz w:val="18"/>
          <w:szCs w:val="18"/>
          <w:color w:val="auto"/>
        </w:rPr>
        <w:t>Title:</w:t>
        <w:tab/>
        <w:t>Director and Chief Executive Officer</w:t>
      </w:r>
    </w:p>
    <w:p>
      <w:pPr>
        <w:spacing w:after="0" w:line="9" w:lineRule="exact"/>
        <w:rPr>
          <w:sz w:val="20"/>
          <w:szCs w:val="20"/>
          <w:color w:val="auto"/>
        </w:rPr>
      </w:pPr>
    </w:p>
    <w:p>
      <w:pPr>
        <w:jc w:val="center"/>
        <w:ind w:left="3200"/>
        <w:spacing w:after="0"/>
        <w:rPr>
          <w:sz w:val="20"/>
          <w:szCs w:val="20"/>
          <w:color w:val="auto"/>
        </w:rPr>
      </w:pPr>
      <w:r>
        <w:rPr>
          <w:rFonts w:ascii="Arial" w:cs="Arial" w:eastAsia="Arial" w:hAnsi="Arial"/>
          <w:sz w:val="18"/>
          <w:szCs w:val="18"/>
          <w:color w:val="auto"/>
        </w:rPr>
        <w:t>(Principal Executive Officer)</w:t>
      </w:r>
    </w:p>
    <w:p>
      <w:pPr>
        <w:spacing w:after="0" w:line="19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10795</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Robert D. Stiles</w:t>
      </w:r>
    </w:p>
    <w:p>
      <w:pPr>
        <w:spacing w:after="0" w:line="1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3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16, 2012.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5"/>
        </w:trPr>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420"/>
              <w:spacing w:after="0"/>
              <w:rPr>
                <w:sz w:val="20"/>
                <w:szCs w:val="20"/>
                <w:color w:val="auto"/>
              </w:rPr>
            </w:pPr>
            <w:r>
              <w:rPr>
                <w:rFonts w:ascii="Arial" w:cs="Arial" w:eastAsia="Arial" w:hAnsi="Arial"/>
                <w:sz w:val="18"/>
                <w:szCs w:val="18"/>
                <w:color w:val="auto"/>
                <w:w w:val="93"/>
              </w:rPr>
              <w:t>William C. Erbey</w:t>
            </w:r>
          </w:p>
        </w:tc>
        <w:tc>
          <w:tcPr>
            <w:tcW w:w="49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Chairman of the Board of Directors</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217"/>
        </w:trPr>
        <w:tc>
          <w:tcPr>
            <w:tcW w:w="1420" w:type="dxa"/>
            <w:vAlign w:val="bottom"/>
          </w:tcPr>
          <w:p>
            <w:pPr>
              <w:spacing w:after="0"/>
              <w:rPr>
                <w:sz w:val="18"/>
                <w:szCs w:val="18"/>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8"/>
                <w:szCs w:val="18"/>
                <w:color w:val="auto"/>
                <w:w w:val="93"/>
              </w:rPr>
              <w:t>William C. Erbey</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420"/>
              <w:spacing w:after="0"/>
              <w:rPr>
                <w:sz w:val="20"/>
                <w:szCs w:val="20"/>
                <w:color w:val="auto"/>
              </w:rPr>
            </w:pPr>
            <w:r>
              <w:rPr>
                <w:rFonts w:ascii="Arial" w:cs="Arial" w:eastAsia="Arial" w:hAnsi="Arial"/>
                <w:sz w:val="18"/>
                <w:szCs w:val="18"/>
                <w:color w:val="auto"/>
                <w:w w:val="92"/>
              </w:rPr>
              <w:t>William B. Shepro</w:t>
            </w:r>
          </w:p>
        </w:tc>
        <w:tc>
          <w:tcPr>
            <w:tcW w:w="494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Director and Chief Executive Officer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218"/>
        </w:trPr>
        <w:tc>
          <w:tcPr>
            <w:tcW w:w="1420" w:type="dxa"/>
            <w:vAlign w:val="bottom"/>
          </w:tcPr>
          <w:p>
            <w:pPr>
              <w:spacing w:after="0"/>
              <w:rPr>
                <w:sz w:val="18"/>
                <w:szCs w:val="18"/>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8"/>
                <w:szCs w:val="18"/>
                <w:color w:val="auto"/>
                <w:w w:val="92"/>
              </w:rPr>
              <w:t>William B. Shepro</w:t>
            </w:r>
          </w:p>
        </w:tc>
        <w:tc>
          <w:tcPr>
            <w:tcW w:w="4940" w:type="dxa"/>
            <w:vAlign w:val="bottom"/>
            <w:gridSpan w:val="3"/>
          </w:tcPr>
          <w:p>
            <w:pPr>
              <w:jc w:val="center"/>
              <w:ind w:left="452"/>
              <w:spacing w:after="0" w:line="202" w:lineRule="exact"/>
              <w:rPr>
                <w:sz w:val="20"/>
                <w:szCs w:val="20"/>
                <w:color w:val="auto"/>
              </w:rPr>
            </w:pPr>
            <w:r>
              <w:rPr>
                <w:rFonts w:ascii="Arial" w:cs="Arial" w:eastAsia="Arial" w:hAnsi="Arial"/>
                <w:sz w:val="18"/>
                <w:szCs w:val="18"/>
                <w:color w:val="auto"/>
                <w:w w:val="91"/>
              </w:rPr>
              <w:t>(Principal Executive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440"/>
              <w:spacing w:after="0"/>
              <w:rPr>
                <w:sz w:val="20"/>
                <w:szCs w:val="20"/>
                <w:color w:val="auto"/>
              </w:rPr>
            </w:pPr>
            <w:r>
              <w:rPr>
                <w:rFonts w:ascii="Arial" w:cs="Arial" w:eastAsia="Arial" w:hAnsi="Arial"/>
                <w:sz w:val="18"/>
                <w:szCs w:val="18"/>
                <w:color w:val="auto"/>
                <w:w w:val="92"/>
              </w:rPr>
              <w:t>W. Michael Linn</w:t>
            </w:r>
          </w:p>
        </w:tc>
        <w:tc>
          <w:tcPr>
            <w:tcW w:w="494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217"/>
        </w:trPr>
        <w:tc>
          <w:tcPr>
            <w:tcW w:w="1420" w:type="dxa"/>
            <w:vAlign w:val="bottom"/>
          </w:tcPr>
          <w:p>
            <w:pPr>
              <w:spacing w:after="0"/>
              <w:rPr>
                <w:sz w:val="18"/>
                <w:szCs w:val="18"/>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8"/>
                <w:szCs w:val="18"/>
                <w:color w:val="auto"/>
                <w:w w:val="93"/>
              </w:rPr>
              <w:t>W. Michael Linn</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4"/>
              </w:rPr>
              <w:t>/s/  Roland Müller-Ineichen</w:t>
            </w:r>
          </w:p>
        </w:tc>
        <w:tc>
          <w:tcPr>
            <w:tcW w:w="494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217"/>
        </w:trPr>
        <w:tc>
          <w:tcPr>
            <w:tcW w:w="4240" w:type="dxa"/>
            <w:vAlign w:val="bottom"/>
            <w:gridSpan w:val="4"/>
          </w:tcPr>
          <w:p>
            <w:pPr>
              <w:jc w:val="center"/>
              <w:spacing w:after="0"/>
              <w:rPr>
                <w:sz w:val="20"/>
                <w:szCs w:val="20"/>
                <w:color w:val="auto"/>
              </w:rPr>
            </w:pPr>
            <w:r>
              <w:rPr>
                <w:rFonts w:ascii="Arial" w:cs="Arial" w:eastAsia="Arial" w:hAnsi="Arial"/>
                <w:sz w:val="18"/>
                <w:szCs w:val="18"/>
                <w:color w:val="auto"/>
                <w:w w:val="90"/>
              </w:rPr>
              <w:t>Roland Müller-Ineichen</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8"/>
              </w:rPr>
              <w:t>/s/  Timo Vättö</w:t>
            </w:r>
          </w:p>
        </w:tc>
        <w:tc>
          <w:tcPr>
            <w:tcW w:w="494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217"/>
        </w:trPr>
        <w:tc>
          <w:tcPr>
            <w:tcW w:w="1420" w:type="dxa"/>
            <w:vAlign w:val="bottom"/>
          </w:tcPr>
          <w:p>
            <w:pPr>
              <w:spacing w:after="0"/>
              <w:rPr>
                <w:sz w:val="18"/>
                <w:szCs w:val="18"/>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8"/>
                <w:szCs w:val="18"/>
                <w:color w:val="auto"/>
                <w:w w:val="91"/>
              </w:rPr>
              <w:t>Timo Vättö</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2820" w:type="dxa"/>
            <w:vAlign w:val="bottom"/>
            <w:tcBorders>
              <w:bottom w:val="single" w:sz="8" w:color="auto"/>
            </w:tcBorders>
            <w:gridSpan w:val="3"/>
          </w:tcPr>
          <w:p>
            <w:pPr>
              <w:jc w:val="center"/>
              <w:ind w:right="1420"/>
              <w:spacing w:after="0"/>
              <w:rPr>
                <w:sz w:val="20"/>
                <w:szCs w:val="20"/>
                <w:color w:val="auto"/>
              </w:rPr>
            </w:pPr>
            <w:r>
              <w:rPr>
                <w:rFonts w:ascii="Arial" w:cs="Arial" w:eastAsia="Arial" w:hAnsi="Arial"/>
                <w:sz w:val="18"/>
                <w:szCs w:val="18"/>
                <w:color w:val="auto"/>
                <w:w w:val="88"/>
              </w:rPr>
              <w:t>Robert D. Stiles</w:t>
            </w:r>
          </w:p>
        </w:tc>
        <w:tc>
          <w:tcPr>
            <w:tcW w:w="4940" w:type="dxa"/>
            <w:vAlign w:val="bottom"/>
            <w:gridSpan w:val="3"/>
          </w:tcPr>
          <w:p>
            <w:pPr>
              <w:jc w:val="center"/>
              <w:ind w:left="452"/>
              <w:spacing w:after="0"/>
              <w:rPr>
                <w:sz w:val="20"/>
                <w:szCs w:val="20"/>
                <w:color w:val="auto"/>
              </w:rPr>
            </w:pPr>
            <w:r>
              <w:rPr>
                <w:rFonts w:ascii="Arial" w:cs="Arial" w:eastAsia="Arial" w:hAnsi="Arial"/>
                <w:sz w:val="18"/>
                <w:szCs w:val="18"/>
                <w:color w:val="auto"/>
                <w:w w:val="92"/>
              </w:rPr>
              <w:t>Chief Financial Officer</w:t>
            </w:r>
          </w:p>
        </w:tc>
        <w:tc>
          <w:tcPr>
            <w:tcW w:w="20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February 16, 2012</w:t>
            </w:r>
          </w:p>
        </w:tc>
      </w:tr>
      <w:tr>
        <w:trPr>
          <w:trHeight w:val="190"/>
        </w:trPr>
        <w:tc>
          <w:tcPr>
            <w:tcW w:w="1420" w:type="dxa"/>
            <w:vAlign w:val="bottom"/>
          </w:tcPr>
          <w:p>
            <w:pPr>
              <w:spacing w:after="0"/>
              <w:rPr>
                <w:sz w:val="16"/>
                <w:szCs w:val="16"/>
                <w:color w:val="auto"/>
              </w:rPr>
            </w:pPr>
          </w:p>
        </w:tc>
        <w:tc>
          <w:tcPr>
            <w:tcW w:w="2820" w:type="dxa"/>
            <w:vAlign w:val="bottom"/>
            <w:gridSpan w:val="3"/>
          </w:tcPr>
          <w:p>
            <w:pPr>
              <w:jc w:val="center"/>
              <w:ind w:right="1420"/>
              <w:spacing w:after="0" w:line="190" w:lineRule="exact"/>
              <w:rPr>
                <w:sz w:val="20"/>
                <w:szCs w:val="20"/>
                <w:color w:val="auto"/>
              </w:rPr>
            </w:pPr>
            <w:r>
              <w:rPr>
                <w:rFonts w:ascii="Arial" w:cs="Arial" w:eastAsia="Arial" w:hAnsi="Arial"/>
                <w:sz w:val="18"/>
                <w:szCs w:val="18"/>
                <w:color w:val="auto"/>
                <w:w w:val="88"/>
              </w:rPr>
              <w:t>Robert D. Stiles</w:t>
            </w:r>
          </w:p>
        </w:tc>
        <w:tc>
          <w:tcPr>
            <w:tcW w:w="4940" w:type="dxa"/>
            <w:vAlign w:val="bottom"/>
            <w:gridSpan w:val="3"/>
          </w:tcPr>
          <w:p>
            <w:pPr>
              <w:jc w:val="center"/>
              <w:ind w:left="452"/>
              <w:spacing w:after="0" w:line="190" w:lineRule="exact"/>
              <w:rPr>
                <w:sz w:val="20"/>
                <w:szCs w:val="20"/>
                <w:color w:val="auto"/>
              </w:rPr>
            </w:pPr>
            <w:r>
              <w:rPr>
                <w:rFonts w:ascii="Arial" w:cs="Arial" w:eastAsia="Arial" w:hAnsi="Arial"/>
                <w:sz w:val="18"/>
                <w:szCs w:val="18"/>
                <w:color w:val="auto"/>
                <w:w w:val="91"/>
              </w:rPr>
              <w:t>(Principal Financial Officer and Principal</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2"/>
        </w:trPr>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940" w:type="dxa"/>
            <w:vAlign w:val="bottom"/>
            <w:gridSpan w:val="3"/>
          </w:tcPr>
          <w:p>
            <w:pPr>
              <w:jc w:val="center"/>
              <w:ind w:left="432"/>
              <w:spacing w:after="0"/>
              <w:rPr>
                <w:sz w:val="20"/>
                <w:szCs w:val="20"/>
                <w:color w:val="auto"/>
              </w:rPr>
            </w:pPr>
            <w:r>
              <w:rPr>
                <w:rFonts w:ascii="Arial" w:cs="Arial" w:eastAsia="Arial" w:hAnsi="Arial"/>
                <w:sz w:val="18"/>
                <w:szCs w:val="18"/>
                <w:color w:val="auto"/>
                <w:w w:val="92"/>
              </w:rPr>
              <w:t>Accounting Officer)</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8"/>
        </w:trPr>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jc w:val="right"/>
              <w:ind w:right="952"/>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i w:val="1"/>
          <w:iCs w:val="1"/>
          <w:color w:val="auto"/>
        </w:rPr>
        <w:t>Exhibit 21.1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following are subsidiaries of Altisource Portfolio Solutions S.A. as of December 31, 2011 and the jurisdictions in which they are organized.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r>
      <w:tr>
        <w:trPr>
          <w:trHeight w:val="149"/>
        </w:trPr>
        <w:tc>
          <w:tcPr>
            <w:tcW w:w="38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r>
      <w:tr>
        <w:trPr>
          <w:trHeight w:val="168"/>
        </w:trPr>
        <w:tc>
          <w:tcPr>
            <w:tcW w:w="10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r>
      <w:tr>
        <w:trPr>
          <w:trHeight w:val="370"/>
        </w:trPr>
        <w:tc>
          <w:tcPr>
            <w:tcW w:w="10280" w:type="dxa"/>
            <w:vAlign w:val="bottom"/>
            <w:gridSpan w:val="2"/>
          </w:tcPr>
          <w:p>
            <w:pPr>
              <w:spacing w:after="0"/>
              <w:rPr>
                <w:sz w:val="20"/>
                <w:szCs w:val="20"/>
                <w:color w:val="auto"/>
              </w:rPr>
            </w:pPr>
            <w:r>
              <w:rPr>
                <w:rFonts w:ascii="Arial" w:cs="Arial" w:eastAsia="Arial" w:hAnsi="Arial"/>
                <w:sz w:val="18"/>
                <w:szCs w:val="18"/>
                <w:color w:val="auto"/>
              </w:rPr>
              <w:t>Altisource Solutions S.à r.l.</w:t>
            </w:r>
          </w:p>
        </w:tc>
        <w:tc>
          <w:tcPr>
            <w:tcW w:w="11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38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Altisource Asia Holdings, Ltd. I</w:t>
            </w:r>
          </w:p>
        </w:tc>
        <w:tc>
          <w:tcPr>
            <w:tcW w:w="1140" w:type="dxa"/>
            <w:vAlign w:val="bottom"/>
          </w:tcPr>
          <w:p>
            <w:pPr>
              <w:spacing w:after="0"/>
              <w:rPr>
                <w:sz w:val="20"/>
                <w:szCs w:val="20"/>
                <w:color w:val="auto"/>
              </w:rPr>
            </w:pPr>
            <w:r>
              <w:rPr>
                <w:rFonts w:ascii="Arial" w:cs="Arial" w:eastAsia="Arial" w:hAnsi="Arial"/>
                <w:sz w:val="18"/>
                <w:szCs w:val="18"/>
                <w:color w:val="auto"/>
              </w:rPr>
              <w:t>Mauritius</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Business Solutions Private Limited</w:t>
            </w:r>
          </w:p>
        </w:tc>
        <w:tc>
          <w:tcPr>
            <w:tcW w:w="11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8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Altisource Portfolio Solutions,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Fulfillment Operations,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Solutions,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US Data,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Valuation Advisors,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Nationwide Credit, Inc.</w:t>
            </w:r>
          </w:p>
        </w:tc>
        <w:tc>
          <w:tcPr>
            <w:tcW w:w="1140" w:type="dxa"/>
            <w:vAlign w:val="bottom"/>
          </w:tcPr>
          <w:p>
            <w:pPr>
              <w:spacing w:after="0"/>
              <w:rPr>
                <w:sz w:val="20"/>
                <w:szCs w:val="20"/>
                <w:color w:val="auto"/>
              </w:rPr>
            </w:pPr>
            <w:r>
              <w:rPr>
                <w:rFonts w:ascii="Arial" w:cs="Arial" w:eastAsia="Arial" w:hAnsi="Arial"/>
                <w:sz w:val="18"/>
                <w:szCs w:val="18"/>
                <w:color w:val="auto"/>
              </w:rPr>
              <w:t>Georgia</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Premium Title Services, Inc.</w:t>
            </w:r>
          </w:p>
        </w:tc>
        <w:tc>
          <w:tcPr>
            <w:tcW w:w="114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Premium Title of California, Inc.</w:t>
            </w:r>
          </w:p>
        </w:tc>
        <w:tc>
          <w:tcPr>
            <w:tcW w:w="114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Premium Title Agency,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PTS—Texas, Inc.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REALHome Services and Solutions, Inc.</w:t>
            </w:r>
          </w:p>
        </w:tc>
        <w:tc>
          <w:tcPr>
            <w:tcW w:w="114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Springhouse, L.L.C.</w:t>
            </w:r>
          </w:p>
        </w:tc>
        <w:tc>
          <w:tcPr>
            <w:tcW w:w="1140" w:type="dxa"/>
            <w:vAlign w:val="bottom"/>
          </w:tcPr>
          <w:p>
            <w:pPr>
              <w:spacing w:after="0"/>
              <w:rPr>
                <w:sz w:val="20"/>
                <w:szCs w:val="20"/>
                <w:color w:val="auto"/>
              </w:rPr>
            </w:pPr>
            <w:r>
              <w:rPr>
                <w:rFonts w:ascii="Arial" w:cs="Arial" w:eastAsia="Arial" w:hAnsi="Arial"/>
                <w:sz w:val="18"/>
                <w:szCs w:val="18"/>
                <w:color w:val="auto"/>
              </w:rPr>
              <w:t>Missouri</w:t>
            </w:r>
          </w:p>
        </w:tc>
      </w:tr>
      <w:tr>
        <w:trPr>
          <w:trHeight w:val="216"/>
        </w:trPr>
        <w:tc>
          <w:tcPr>
            <w:tcW w:w="38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Altisource Outsourcing Solutions S.R.L. (99.99% of outstanding stock)</w:t>
            </w:r>
          </w:p>
        </w:tc>
        <w:tc>
          <w:tcPr>
            <w:tcW w:w="1140" w:type="dxa"/>
            <w:vAlign w:val="bottom"/>
          </w:tcPr>
          <w:p>
            <w:pPr>
              <w:spacing w:after="0"/>
              <w:rPr>
                <w:sz w:val="20"/>
                <w:szCs w:val="20"/>
                <w:color w:val="auto"/>
              </w:rPr>
            </w:pPr>
            <w:r>
              <w:rPr>
                <w:rFonts w:ascii="Arial" w:cs="Arial" w:eastAsia="Arial" w:hAnsi="Arial"/>
                <w:sz w:val="18"/>
                <w:szCs w:val="18"/>
                <w:color w:val="auto"/>
              </w:rPr>
              <w:t>Uruguay</w:t>
            </w:r>
          </w:p>
        </w:tc>
      </w:tr>
      <w:tr>
        <w:trPr>
          <w:trHeight w:val="216"/>
        </w:trPr>
        <w:tc>
          <w:tcPr>
            <w:tcW w:w="38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Altisource Holdings, L.L.C.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8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Altisource Outsourcing Solutions S.R.L. (0.01% of outstanding stock)</w:t>
            </w:r>
          </w:p>
        </w:tc>
        <w:tc>
          <w:tcPr>
            <w:tcW w:w="1140" w:type="dxa"/>
            <w:vAlign w:val="bottom"/>
          </w:tcPr>
          <w:p>
            <w:pPr>
              <w:spacing w:after="0"/>
              <w:rPr>
                <w:sz w:val="20"/>
                <w:szCs w:val="20"/>
                <w:color w:val="auto"/>
              </w:rPr>
            </w:pPr>
            <w:r>
              <w:rPr>
                <w:rFonts w:ascii="Arial" w:cs="Arial" w:eastAsia="Arial" w:hAnsi="Arial"/>
                <w:sz w:val="18"/>
                <w:szCs w:val="18"/>
                <w:color w:val="auto"/>
              </w:rPr>
              <w:t>Uruguay</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Portfolio Management Outsourcing Solutions, L.L.C.</w:t>
            </w:r>
          </w:p>
        </w:tc>
        <w:tc>
          <w:tcPr>
            <w:tcW w:w="114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The Mortgage Partnership of America, L.L.C.</w:t>
            </w:r>
          </w:p>
        </w:tc>
        <w:tc>
          <w:tcPr>
            <w:tcW w:w="1140" w:type="dxa"/>
            <w:vAlign w:val="bottom"/>
          </w:tcPr>
          <w:p>
            <w:pPr>
              <w:spacing w:after="0"/>
              <w:rPr>
                <w:sz w:val="20"/>
                <w:szCs w:val="20"/>
                <w:color w:val="auto"/>
              </w:rPr>
            </w:pPr>
            <w:r>
              <w:rPr>
                <w:rFonts w:ascii="Arial" w:cs="Arial" w:eastAsia="Arial" w:hAnsi="Arial"/>
                <w:sz w:val="18"/>
                <w:szCs w:val="18"/>
                <w:color w:val="auto"/>
              </w:rPr>
              <w:t>Missouri</w:t>
            </w: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Western Progressive Trustee, L.L.C.</w:t>
            </w:r>
          </w:p>
        </w:tc>
        <w:tc>
          <w:tcPr>
            <w:tcW w:w="114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3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i w:val="1"/>
          <w:iCs w:val="1"/>
          <w:color w:val="auto"/>
        </w:rPr>
        <w:t>Exhibit 23.1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333-161175 on Form S-8 of our reports dated February 16, 2012, relating to the consolidated financial statements (which report expresses an unqualified opinion and includes an explanatory paragraph related to the significant transactions with Ocwen Financial Corporation, a related party) of Altisource Portfolio Solutions S.A. and subsidiaries (the “Company”) , and the effectiveness of the Company’s internal control over financial reporting appearing in this Annual Report on Form 10-K of the Company for the year ended December 31, 2011.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and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certify that:</w:t>
      </w:r>
    </w:p>
    <w:p>
      <w:pPr>
        <w:spacing w:after="0" w:line="15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Altisource Portfolio Solutions S.A.;</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26" w:lineRule="exact"/>
        <w:rPr>
          <w:rFonts w:ascii="Arial" w:cs="Arial" w:eastAsia="Arial" w:hAnsi="Arial"/>
          <w:sz w:val="18"/>
          <w:szCs w:val="18"/>
          <w:color w:val="auto"/>
        </w:rPr>
      </w:pPr>
    </w:p>
    <w:p>
      <w:pPr>
        <w:ind w:left="1480" w:right="160" w:hanging="567"/>
        <w:spacing w:after="0" w:line="259"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80" w:hanging="567"/>
        <w:spacing w:after="0" w:line="259"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right"/>
        <w:ind w:left="1480" w:right="420" w:hanging="567"/>
        <w:spacing w:after="0" w:line="370" w:lineRule="auto"/>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480" w:right="340" w:hanging="567"/>
        <w:spacing w:after="0" w:line="259"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680" w:hanging="567"/>
        <w:spacing w:after="0" w:line="332" w:lineRule="auto"/>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320" w:hanging="567"/>
        <w:spacing w:after="0" w:line="268" w:lineRule="auto"/>
        <w:rPr>
          <w:rFonts w:ascii="Arial" w:cs="Arial" w:eastAsia="Arial" w:hAnsi="Arial"/>
          <w:sz w:val="16"/>
          <w:szCs w:val="16"/>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controls over financial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Date: February 16, 2012</w:t>
            </w:r>
          </w:p>
        </w:tc>
        <w:tc>
          <w:tcPr>
            <w:tcW w:w="7600" w:type="dxa"/>
            <w:vAlign w:val="bottom"/>
            <w:gridSpan w:val="2"/>
          </w:tcPr>
          <w:p>
            <w:pPr>
              <w:ind w:left="2100"/>
              <w:spacing w:after="0"/>
              <w:rPr>
                <w:sz w:val="20"/>
                <w:szCs w:val="20"/>
                <w:color w:val="auto"/>
              </w:rPr>
            </w:pPr>
            <w:r>
              <w:rPr>
                <w:rFonts w:ascii="Arial" w:cs="Arial" w:eastAsia="Arial" w:hAnsi="Arial"/>
                <w:sz w:val="18"/>
                <w:szCs w:val="18"/>
                <w:color w:val="auto"/>
              </w:rPr>
              <w:t>By:  /s/ William B. Shepro</w:t>
            </w:r>
          </w:p>
        </w:tc>
      </w:tr>
      <w:tr>
        <w:trPr>
          <w:trHeight w:val="202"/>
        </w:trPr>
        <w:tc>
          <w:tcPr>
            <w:tcW w:w="3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William B. Shepro</w:t>
            </w:r>
          </w:p>
        </w:tc>
      </w:tr>
      <w:tr>
        <w:trPr>
          <w:trHeight w:val="216"/>
        </w:trPr>
        <w:tc>
          <w:tcPr>
            <w:tcW w:w="3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r>
      <w:tr>
        <w:trPr>
          <w:trHeight w:val="222"/>
        </w:trPr>
        <w:tc>
          <w:tcPr>
            <w:tcW w:w="3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certify that:</w:t>
      </w:r>
    </w:p>
    <w:p>
      <w:pPr>
        <w:spacing w:after="0" w:line="15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Altisource Portfolio Solutions S.A.;</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26" w:lineRule="exact"/>
        <w:rPr>
          <w:rFonts w:ascii="Arial" w:cs="Arial" w:eastAsia="Arial" w:hAnsi="Arial"/>
          <w:sz w:val="18"/>
          <w:szCs w:val="18"/>
          <w:color w:val="auto"/>
        </w:rPr>
      </w:pPr>
    </w:p>
    <w:p>
      <w:pPr>
        <w:ind w:left="1480" w:right="160" w:hanging="567"/>
        <w:spacing w:after="0" w:line="259"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80" w:hanging="567"/>
        <w:spacing w:after="0" w:line="259"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right"/>
        <w:ind w:left="1480" w:right="420" w:hanging="567"/>
        <w:spacing w:after="0" w:line="370" w:lineRule="auto"/>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480" w:right="340" w:hanging="567"/>
        <w:spacing w:after="0" w:line="259"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680" w:hanging="567"/>
        <w:spacing w:after="0" w:line="332" w:lineRule="auto"/>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sz w:val="20"/>
          <w:szCs w:val="20"/>
          <w:color w:val="auto"/>
        </w:rPr>
      </w:pPr>
    </w:p>
    <w:p>
      <w:pPr>
        <w:ind w:left="1480" w:right="320" w:hanging="567"/>
        <w:spacing w:after="0" w:line="268"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Date: February 16, 2012</w:t>
            </w:r>
          </w:p>
        </w:tc>
        <w:tc>
          <w:tcPr>
            <w:tcW w:w="7600" w:type="dxa"/>
            <w:vAlign w:val="bottom"/>
            <w:gridSpan w:val="2"/>
          </w:tcPr>
          <w:p>
            <w:pPr>
              <w:ind w:left="2100"/>
              <w:spacing w:after="0"/>
              <w:rPr>
                <w:sz w:val="20"/>
                <w:szCs w:val="20"/>
                <w:color w:val="auto"/>
              </w:rPr>
            </w:pPr>
            <w:r>
              <w:rPr>
                <w:rFonts w:ascii="Arial" w:cs="Arial" w:eastAsia="Arial" w:hAnsi="Arial"/>
                <w:sz w:val="18"/>
                <w:szCs w:val="18"/>
                <w:color w:val="auto"/>
              </w:rPr>
              <w:t>By:  /s/ Robert D. Stiles</w:t>
            </w:r>
          </w:p>
        </w:tc>
      </w:tr>
      <w:tr>
        <w:trPr>
          <w:trHeight w:val="202"/>
        </w:trPr>
        <w:tc>
          <w:tcPr>
            <w:tcW w:w="3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D. Stiles</w:t>
            </w:r>
          </w:p>
        </w:tc>
      </w:tr>
      <w:tr>
        <w:trPr>
          <w:trHeight w:val="216"/>
        </w:trPr>
        <w:tc>
          <w:tcPr>
            <w:tcW w:w="3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38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Annual Report of Altisource Portfolio Solutions S.A. (the “Company”) on Form 10-K for the year ended December 31, 2011 as filed with the Securities and Exchange Commission on the date hereof (the “Report”), I, William B. Shepro, Chief Executive Officer of the Company, certify, pursuant to 18 U.S.C. § 1350, as adopted pursuant to Section 906 of the Sarbanes-Oxley Act of 2002, that, to my knowledge:</w:t>
      </w:r>
    </w:p>
    <w:p>
      <w:pPr>
        <w:spacing w:after="0" w:line="93"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6"/>
          <w:szCs w:val="16"/>
          <w:color w:val="auto"/>
        </w:rPr>
        <w:t>By: /s/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William B. Shepro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right="6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i w:val="1"/>
          <w:iCs w:val="1"/>
          <w:color w:val="auto"/>
        </w:rPr>
        <w:t>Exhibit 32.2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Annual Report of Altisource Portfolio Solutions S.A. (the “Company”) on Form 10-K for the year ended December 31, 2011 as filed with the Securities and Exchange Commission on the date hereof (the “Report”), I, Robert D. Stiles, Chief Financial Officer of the Company, certify, pursuant to 18 U.S.C. § 1350, as adopted pursuant to Section 906 of the Sarbanes-Oxley Act of 2002, that to my knowledge:</w:t>
      </w:r>
    </w:p>
    <w:p>
      <w:pPr>
        <w:spacing w:after="0" w:line="93"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6"/>
          <w:szCs w:val="16"/>
          <w:color w:val="auto"/>
        </w:rPr>
        <w:t>By: /s/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D. Stiles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3" w:lineRule="exact"/>
        <w:rPr>
          <w:sz w:val="20"/>
          <w:szCs w:val="20"/>
          <w:color w:val="auto"/>
        </w:rPr>
      </w:pPr>
    </w:p>
    <w:p>
      <w:pPr>
        <w:ind w:left="460" w:right="6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8"/>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decimal"/>
      <w:start w:val="1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decimal"/>
      <w:start w:val="18"/>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0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b"/>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2019-12-09T19:08:04Z</dcterms:created>
  <dcterms:modified xsi:type="dcterms:W3CDTF">2019-12-09T19:08:04Z</dcterms:modified>
</cp:coreProperties>
</file>